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6F3213" w:rsidRPr="00E91BE1" w:rsidRDefault="006F3213"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D216E9C" w:rsidR="006F3213" w:rsidRPr="00E91BE1" w:rsidRDefault="006F3213"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Afforestation</w:t>
                            </w:r>
                          </w:p>
                          <w:p w14:paraId="6774E85B" w14:textId="77777777" w:rsidR="006F3213" w:rsidRPr="00EB247F" w:rsidRDefault="006F3213" w:rsidP="00EB247F">
                            <w:pPr>
                              <w:spacing w:line="240" w:lineRule="auto"/>
                              <w:jc w:val="center"/>
                              <w:rPr>
                                <w:rFonts w:cs="Times New Roman"/>
                                <w:smallCaps/>
                                <w:color w:val="404040" w:themeColor="text1" w:themeTint="BF"/>
                                <w:sz w:val="36"/>
                                <w:szCs w:val="36"/>
                              </w:rPr>
                            </w:pPr>
                          </w:p>
                          <w:p w14:paraId="4699D449" w14:textId="435E7CE3"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3239D2E"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Land Manager </w:t>
                            </w:r>
                          </w:p>
                          <w:p w14:paraId="29D510C4" w14:textId="26579E98"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Biomass Crops</w:t>
                            </w:r>
                          </w:p>
                          <w:p w14:paraId="6DF0E7C6" w14:textId="77777777" w:rsidR="006F3213" w:rsidRDefault="006F3213" w:rsidP="00FB2C53"/>
                          <w:p w14:paraId="4DF87617" w14:textId="77777777" w:rsidR="006F3213" w:rsidRDefault="006F3213" w:rsidP="00FB2C53"/>
                          <w:p w14:paraId="4FD71E35" w14:textId="77777777" w:rsidR="006F3213" w:rsidRDefault="006F3213" w:rsidP="00FB2C53"/>
                          <w:p w14:paraId="0AAEA688" w14:textId="77777777" w:rsidR="006F3213" w:rsidRDefault="006F3213" w:rsidP="00FB2C53"/>
                          <w:p w14:paraId="693769A0" w14:textId="0A4FE40E" w:rsidR="006F3213" w:rsidRPr="00E91BE1" w:rsidRDefault="006F3213"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6F3213" w:rsidRPr="000829DC" w:rsidRDefault="006F3213" w:rsidP="00FB2C53"/>
                          <w:p w14:paraId="4BB1447A" w14:textId="77777777" w:rsidR="006F3213" w:rsidRDefault="006F3213" w:rsidP="00FB2C53"/>
                          <w:p w14:paraId="6A9CEC43" w14:textId="77777777" w:rsidR="006F3213" w:rsidRDefault="006F3213" w:rsidP="00FB2C53"/>
                          <w:p w14:paraId="2120AE6B" w14:textId="77777777" w:rsidR="006F3213" w:rsidRDefault="006F3213" w:rsidP="00FB2C53"/>
                          <w:p w14:paraId="7DCFFDCF" w14:textId="77777777" w:rsidR="006F3213" w:rsidRDefault="006F3213" w:rsidP="00FB2C53"/>
                          <w:p w14:paraId="2F48DE38" w14:textId="77777777" w:rsidR="006F3213" w:rsidRPr="000829DC" w:rsidRDefault="006F3213" w:rsidP="00FB2C53"/>
                          <w:p w14:paraId="1981D31A" w14:textId="77777777" w:rsidR="006F3213" w:rsidRPr="00E91BE1" w:rsidRDefault="006F3213"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F74EFE6" w14:textId="73E78E59" w:rsidR="006F3213" w:rsidRDefault="006F3213" w:rsidP="000829DC">
                            <w:pPr>
                              <w:rPr>
                                <w:rFonts w:cs="Times New Roman"/>
                                <w:smallCaps/>
                                <w:color w:val="404040" w:themeColor="text1" w:themeTint="BF"/>
                              </w:rPr>
                            </w:pPr>
                            <w:r>
                              <w:rPr>
                                <w:rFonts w:cs="Times New Roman"/>
                                <w:smallCaps/>
                                <w:color w:val="404040" w:themeColor="text1" w:themeTint="BF"/>
                              </w:rPr>
                              <w:t>Ryan Hottle, Senior Fellow</w:t>
                            </w:r>
                          </w:p>
                          <w:p w14:paraId="6C4588F0" w14:textId="7A587B09" w:rsidR="006F3213" w:rsidRDefault="006F3213" w:rsidP="000829DC">
                            <w:pPr>
                              <w:rPr>
                                <w:rFonts w:cs="Times New Roman"/>
                                <w:smallCaps/>
                                <w:color w:val="404040" w:themeColor="text1" w:themeTint="BF"/>
                              </w:rPr>
                            </w:pPr>
                            <w:r>
                              <w:rPr>
                                <w:rFonts w:cs="Times New Roman"/>
                                <w:smallCaps/>
                                <w:color w:val="404040" w:themeColor="text1" w:themeTint="BF"/>
                              </w:rPr>
                              <w:t>Urmila Malvadkar, Research Fellow</w:t>
                            </w:r>
                          </w:p>
                          <w:p w14:paraId="756E1188" w14:textId="666773D6" w:rsidR="006F3213" w:rsidRDefault="006F3213" w:rsidP="000829DC">
                            <w:pPr>
                              <w:rPr>
                                <w:rFonts w:cs="Times New Roman"/>
                                <w:smallCaps/>
                                <w:color w:val="404040" w:themeColor="text1" w:themeTint="BF"/>
                              </w:rPr>
                            </w:pPr>
                            <w:r>
                              <w:rPr>
                                <w:rFonts w:cs="Times New Roman"/>
                                <w:smallCaps/>
                                <w:color w:val="404040" w:themeColor="text1" w:themeTint="BF"/>
                              </w:rPr>
                              <w:t>Johnnie Chamberlin, Junior Fellow</w:t>
                            </w:r>
                          </w:p>
                          <w:p w14:paraId="7849B494" w14:textId="34CA8020" w:rsidR="006F3213" w:rsidRPr="00EB247F" w:rsidRDefault="006F3213" w:rsidP="000829DC">
                            <w:pPr>
                              <w:rPr>
                                <w:rFonts w:cs="Times New Roman"/>
                                <w:smallCaps/>
                                <w:color w:val="404040" w:themeColor="text1" w:themeTint="BF"/>
                              </w:rPr>
                            </w:pPr>
                            <w:r>
                              <w:rPr>
                                <w:rFonts w:cs="Times New Roman"/>
                                <w:smallCaps/>
                                <w:color w:val="404040" w:themeColor="text1" w:themeTint="BF"/>
                              </w:rPr>
                              <w:t>Ariani Wartenberg, Research Fellow</w:t>
                            </w:r>
                          </w:p>
                          <w:p w14:paraId="4481356F" w14:textId="6C098178" w:rsidR="006F3213" w:rsidRPr="00EB247F" w:rsidRDefault="006F3213"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6F3213" w:rsidRPr="00E6531F" w:rsidRDefault="006F3213"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6F3213" w:rsidRPr="00E6531F" w:rsidRDefault="006F3213" w:rsidP="00C81D94">
                            <w:pPr>
                              <w:rPr>
                                <w:rFonts w:cs="Times New Roman"/>
                                <w:smallCaps/>
                                <w:color w:val="404040" w:themeColor="text1" w:themeTint="BF"/>
                                <w:sz w:val="36"/>
                                <w:szCs w:val="36"/>
                                <w:lang w:val="pt-PT"/>
                              </w:rPr>
                            </w:pPr>
                          </w:p>
                          <w:p w14:paraId="3D97FBF6" w14:textId="77777777" w:rsidR="006F3213" w:rsidRPr="00E6531F" w:rsidRDefault="006F3213"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6F3213" w:rsidRPr="00E91BE1" w:rsidRDefault="006F3213"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5D216E9C" w:rsidR="006F3213" w:rsidRPr="00E91BE1" w:rsidRDefault="006F3213"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Afforestation</w:t>
                      </w:r>
                    </w:p>
                    <w:p w14:paraId="6774E85B" w14:textId="77777777" w:rsidR="006F3213" w:rsidRPr="00EB247F" w:rsidRDefault="006F3213" w:rsidP="00EB247F">
                      <w:pPr>
                        <w:spacing w:line="240" w:lineRule="auto"/>
                        <w:jc w:val="center"/>
                        <w:rPr>
                          <w:rFonts w:cs="Times New Roman"/>
                          <w:smallCaps/>
                          <w:color w:val="404040" w:themeColor="text1" w:themeTint="BF"/>
                          <w:sz w:val="36"/>
                          <w:szCs w:val="36"/>
                        </w:rPr>
                      </w:pPr>
                    </w:p>
                    <w:p w14:paraId="4699D449" w14:textId="435E7CE3"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Land Use</w:t>
                      </w:r>
                    </w:p>
                    <w:p w14:paraId="1671E118" w14:textId="03239D2E"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Land Manager </w:t>
                      </w:r>
                    </w:p>
                    <w:p w14:paraId="29D510C4" w14:textId="26579E98" w:rsidR="006F3213" w:rsidRPr="00E91BE1" w:rsidRDefault="006F3213"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Biomass Crops</w:t>
                      </w:r>
                    </w:p>
                    <w:p w14:paraId="6DF0E7C6" w14:textId="77777777" w:rsidR="006F3213" w:rsidRDefault="006F3213" w:rsidP="00FB2C53"/>
                    <w:p w14:paraId="4DF87617" w14:textId="77777777" w:rsidR="006F3213" w:rsidRDefault="006F3213" w:rsidP="00FB2C53"/>
                    <w:p w14:paraId="4FD71E35" w14:textId="77777777" w:rsidR="006F3213" w:rsidRDefault="006F3213" w:rsidP="00FB2C53"/>
                    <w:p w14:paraId="0AAEA688" w14:textId="77777777" w:rsidR="006F3213" w:rsidRDefault="006F3213" w:rsidP="00FB2C53"/>
                    <w:p w14:paraId="693769A0" w14:textId="0A4FE40E" w:rsidR="006F3213" w:rsidRPr="00E91BE1" w:rsidRDefault="006F3213"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6F3213" w:rsidRPr="000829DC" w:rsidRDefault="006F3213" w:rsidP="00FB2C53"/>
                    <w:p w14:paraId="4BB1447A" w14:textId="77777777" w:rsidR="006F3213" w:rsidRDefault="006F3213" w:rsidP="00FB2C53"/>
                    <w:p w14:paraId="6A9CEC43" w14:textId="77777777" w:rsidR="006F3213" w:rsidRDefault="006F3213" w:rsidP="00FB2C53"/>
                    <w:p w14:paraId="2120AE6B" w14:textId="77777777" w:rsidR="006F3213" w:rsidRDefault="006F3213" w:rsidP="00FB2C53"/>
                    <w:p w14:paraId="7DCFFDCF" w14:textId="77777777" w:rsidR="006F3213" w:rsidRDefault="006F3213" w:rsidP="00FB2C53"/>
                    <w:p w14:paraId="2F48DE38" w14:textId="77777777" w:rsidR="006F3213" w:rsidRPr="000829DC" w:rsidRDefault="006F3213" w:rsidP="00FB2C53"/>
                    <w:p w14:paraId="1981D31A" w14:textId="77777777" w:rsidR="006F3213" w:rsidRPr="00E91BE1" w:rsidRDefault="006F3213"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F74EFE6" w14:textId="73E78E59" w:rsidR="006F3213" w:rsidRDefault="006F3213" w:rsidP="000829DC">
                      <w:pPr>
                        <w:rPr>
                          <w:rFonts w:cs="Times New Roman"/>
                          <w:smallCaps/>
                          <w:color w:val="404040" w:themeColor="text1" w:themeTint="BF"/>
                        </w:rPr>
                      </w:pPr>
                      <w:r>
                        <w:rPr>
                          <w:rFonts w:cs="Times New Roman"/>
                          <w:smallCaps/>
                          <w:color w:val="404040" w:themeColor="text1" w:themeTint="BF"/>
                        </w:rPr>
                        <w:t>Ryan Hottle, Senior Fellow</w:t>
                      </w:r>
                    </w:p>
                    <w:p w14:paraId="6C4588F0" w14:textId="7A587B09" w:rsidR="006F3213" w:rsidRDefault="006F3213" w:rsidP="000829DC">
                      <w:pPr>
                        <w:rPr>
                          <w:rFonts w:cs="Times New Roman"/>
                          <w:smallCaps/>
                          <w:color w:val="404040" w:themeColor="text1" w:themeTint="BF"/>
                        </w:rPr>
                      </w:pPr>
                      <w:r>
                        <w:rPr>
                          <w:rFonts w:cs="Times New Roman"/>
                          <w:smallCaps/>
                          <w:color w:val="404040" w:themeColor="text1" w:themeTint="BF"/>
                        </w:rPr>
                        <w:t>Urmila Malvadkar, Research Fellow</w:t>
                      </w:r>
                    </w:p>
                    <w:p w14:paraId="756E1188" w14:textId="666773D6" w:rsidR="006F3213" w:rsidRDefault="006F3213" w:rsidP="000829DC">
                      <w:pPr>
                        <w:rPr>
                          <w:rFonts w:cs="Times New Roman"/>
                          <w:smallCaps/>
                          <w:color w:val="404040" w:themeColor="text1" w:themeTint="BF"/>
                        </w:rPr>
                      </w:pPr>
                      <w:r>
                        <w:rPr>
                          <w:rFonts w:cs="Times New Roman"/>
                          <w:smallCaps/>
                          <w:color w:val="404040" w:themeColor="text1" w:themeTint="BF"/>
                        </w:rPr>
                        <w:t>Johnnie Chamberlin, Junior Fellow</w:t>
                      </w:r>
                    </w:p>
                    <w:p w14:paraId="7849B494" w14:textId="34CA8020" w:rsidR="006F3213" w:rsidRPr="00EB247F" w:rsidRDefault="006F3213" w:rsidP="000829DC">
                      <w:pPr>
                        <w:rPr>
                          <w:rFonts w:cs="Times New Roman"/>
                          <w:smallCaps/>
                          <w:color w:val="404040" w:themeColor="text1" w:themeTint="BF"/>
                        </w:rPr>
                      </w:pPr>
                      <w:r>
                        <w:rPr>
                          <w:rFonts w:cs="Times New Roman"/>
                          <w:smallCaps/>
                          <w:color w:val="404040" w:themeColor="text1" w:themeTint="BF"/>
                        </w:rPr>
                        <w:t>Ariani Wartenberg, Research Fellow</w:t>
                      </w:r>
                    </w:p>
                    <w:p w14:paraId="4481356F" w14:textId="6C098178" w:rsidR="006F3213" w:rsidRPr="00EB247F" w:rsidRDefault="006F3213"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6F3213" w:rsidRPr="00E6531F" w:rsidRDefault="006F3213"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6F3213" w:rsidRPr="00E6531F" w:rsidRDefault="006F3213" w:rsidP="00C81D94">
                      <w:pPr>
                        <w:rPr>
                          <w:rFonts w:cs="Times New Roman"/>
                          <w:smallCaps/>
                          <w:color w:val="404040" w:themeColor="text1" w:themeTint="BF"/>
                          <w:sz w:val="36"/>
                          <w:szCs w:val="36"/>
                          <w:lang w:val="pt-PT"/>
                        </w:rPr>
                      </w:pPr>
                    </w:p>
                    <w:p w14:paraId="3D97FBF6" w14:textId="77777777" w:rsidR="006F3213" w:rsidRPr="00E6531F" w:rsidRDefault="006F3213"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DB4CC8">
          <w:pPr>
            <w:rPr>
              <w:rStyle w:val="Heading1Char"/>
            </w:rPr>
          </w:pPr>
          <w:r w:rsidRPr="00C44058">
            <w:rPr>
              <w:rStyle w:val="Heading1Char"/>
            </w:rPr>
            <w:t>Table of Contents</w:t>
          </w:r>
        </w:p>
        <w:p w14:paraId="7C113E5F" w14:textId="0C368831" w:rsidR="00172CCC"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18443073" w:history="1">
            <w:r w:rsidR="00172CCC" w:rsidRPr="00EC208F">
              <w:rPr>
                <w:rStyle w:val="Hyperlink"/>
                <w:noProof/>
              </w:rPr>
              <w:t>List of Figures</w:t>
            </w:r>
            <w:r w:rsidR="00172CCC">
              <w:rPr>
                <w:noProof/>
                <w:webHidden/>
              </w:rPr>
              <w:tab/>
            </w:r>
            <w:r w:rsidR="00172CCC">
              <w:rPr>
                <w:noProof/>
                <w:webHidden/>
              </w:rPr>
              <w:fldChar w:fldCharType="begin"/>
            </w:r>
            <w:r w:rsidR="00172CCC">
              <w:rPr>
                <w:noProof/>
                <w:webHidden/>
              </w:rPr>
              <w:instrText xml:space="preserve"> PAGEREF _Toc18443073 \h </w:instrText>
            </w:r>
            <w:r w:rsidR="00172CCC">
              <w:rPr>
                <w:noProof/>
                <w:webHidden/>
              </w:rPr>
            </w:r>
            <w:r w:rsidR="00172CCC">
              <w:rPr>
                <w:noProof/>
                <w:webHidden/>
              </w:rPr>
              <w:fldChar w:fldCharType="separate"/>
            </w:r>
            <w:r w:rsidR="00636BAC">
              <w:rPr>
                <w:noProof/>
                <w:webHidden/>
              </w:rPr>
              <w:t>4</w:t>
            </w:r>
            <w:r w:rsidR="00172CCC">
              <w:rPr>
                <w:noProof/>
                <w:webHidden/>
              </w:rPr>
              <w:fldChar w:fldCharType="end"/>
            </w:r>
          </w:hyperlink>
        </w:p>
        <w:p w14:paraId="3C92C93C" w14:textId="46C22F35" w:rsidR="00172CCC" w:rsidRDefault="00172CCC">
          <w:pPr>
            <w:pStyle w:val="TOC1"/>
            <w:tabs>
              <w:tab w:val="right" w:leader="dot" w:pos="9350"/>
            </w:tabs>
            <w:rPr>
              <w:rFonts w:asciiTheme="minorHAnsi" w:hAnsiTheme="minorHAnsi"/>
              <w:noProof/>
              <w:lang w:eastAsia="en-US"/>
            </w:rPr>
          </w:pPr>
          <w:hyperlink w:anchor="_Toc18443074" w:history="1">
            <w:r w:rsidRPr="00EC208F">
              <w:rPr>
                <w:rStyle w:val="Hyperlink"/>
                <w:noProof/>
              </w:rPr>
              <w:t>List of Tables</w:t>
            </w:r>
            <w:r>
              <w:rPr>
                <w:noProof/>
                <w:webHidden/>
              </w:rPr>
              <w:tab/>
            </w:r>
            <w:r>
              <w:rPr>
                <w:noProof/>
                <w:webHidden/>
              </w:rPr>
              <w:fldChar w:fldCharType="begin"/>
            </w:r>
            <w:r>
              <w:rPr>
                <w:noProof/>
                <w:webHidden/>
              </w:rPr>
              <w:instrText xml:space="preserve"> PAGEREF _Toc18443074 \h </w:instrText>
            </w:r>
            <w:r>
              <w:rPr>
                <w:noProof/>
                <w:webHidden/>
              </w:rPr>
            </w:r>
            <w:r>
              <w:rPr>
                <w:noProof/>
                <w:webHidden/>
              </w:rPr>
              <w:fldChar w:fldCharType="separate"/>
            </w:r>
            <w:r w:rsidR="00636BAC">
              <w:rPr>
                <w:noProof/>
                <w:webHidden/>
              </w:rPr>
              <w:t>4</w:t>
            </w:r>
            <w:r>
              <w:rPr>
                <w:noProof/>
                <w:webHidden/>
              </w:rPr>
              <w:fldChar w:fldCharType="end"/>
            </w:r>
          </w:hyperlink>
        </w:p>
        <w:p w14:paraId="663ECD0C" w14:textId="04CA464F" w:rsidR="00172CCC" w:rsidRDefault="00172CCC">
          <w:pPr>
            <w:pStyle w:val="TOC1"/>
            <w:tabs>
              <w:tab w:val="right" w:leader="dot" w:pos="9350"/>
            </w:tabs>
            <w:rPr>
              <w:rFonts w:asciiTheme="minorHAnsi" w:hAnsiTheme="minorHAnsi"/>
              <w:noProof/>
              <w:lang w:eastAsia="en-US"/>
            </w:rPr>
          </w:pPr>
          <w:hyperlink w:anchor="_Toc18443075" w:history="1">
            <w:r w:rsidRPr="00EC208F">
              <w:rPr>
                <w:rStyle w:val="Hyperlink"/>
                <w:noProof/>
              </w:rPr>
              <w:t>Executive Summary</w:t>
            </w:r>
            <w:r>
              <w:rPr>
                <w:noProof/>
                <w:webHidden/>
              </w:rPr>
              <w:tab/>
            </w:r>
            <w:r>
              <w:rPr>
                <w:noProof/>
                <w:webHidden/>
              </w:rPr>
              <w:fldChar w:fldCharType="begin"/>
            </w:r>
            <w:r>
              <w:rPr>
                <w:noProof/>
                <w:webHidden/>
              </w:rPr>
              <w:instrText xml:space="preserve"> PAGEREF _Toc18443075 \h </w:instrText>
            </w:r>
            <w:r>
              <w:rPr>
                <w:noProof/>
                <w:webHidden/>
              </w:rPr>
            </w:r>
            <w:r>
              <w:rPr>
                <w:noProof/>
                <w:webHidden/>
              </w:rPr>
              <w:fldChar w:fldCharType="separate"/>
            </w:r>
            <w:r w:rsidR="00636BAC">
              <w:rPr>
                <w:noProof/>
                <w:webHidden/>
              </w:rPr>
              <w:t>5</w:t>
            </w:r>
            <w:r>
              <w:rPr>
                <w:noProof/>
                <w:webHidden/>
              </w:rPr>
              <w:fldChar w:fldCharType="end"/>
            </w:r>
          </w:hyperlink>
        </w:p>
        <w:p w14:paraId="124D45CA" w14:textId="67B9C1E2" w:rsidR="00172CCC" w:rsidRDefault="00172CCC">
          <w:pPr>
            <w:pStyle w:val="TOC1"/>
            <w:tabs>
              <w:tab w:val="left" w:pos="440"/>
              <w:tab w:val="right" w:leader="dot" w:pos="9350"/>
            </w:tabs>
            <w:rPr>
              <w:rFonts w:asciiTheme="minorHAnsi" w:hAnsiTheme="minorHAnsi"/>
              <w:noProof/>
              <w:lang w:eastAsia="en-US"/>
            </w:rPr>
          </w:pPr>
          <w:hyperlink w:anchor="_Toc18443076" w:history="1">
            <w:r w:rsidRPr="00EC208F">
              <w:rPr>
                <w:rStyle w:val="Hyperlink"/>
                <w:noProof/>
              </w:rPr>
              <w:t>1.</w:t>
            </w:r>
            <w:r>
              <w:rPr>
                <w:rFonts w:asciiTheme="minorHAnsi" w:hAnsiTheme="minorHAnsi"/>
                <w:noProof/>
                <w:lang w:eastAsia="en-US"/>
              </w:rPr>
              <w:tab/>
            </w:r>
            <w:r w:rsidRPr="00EC208F">
              <w:rPr>
                <w:rStyle w:val="Hyperlink"/>
                <w:noProof/>
              </w:rPr>
              <w:t>Literature Review</w:t>
            </w:r>
            <w:r>
              <w:rPr>
                <w:noProof/>
                <w:webHidden/>
              </w:rPr>
              <w:tab/>
            </w:r>
            <w:r>
              <w:rPr>
                <w:noProof/>
                <w:webHidden/>
              </w:rPr>
              <w:fldChar w:fldCharType="begin"/>
            </w:r>
            <w:r>
              <w:rPr>
                <w:noProof/>
                <w:webHidden/>
              </w:rPr>
              <w:instrText xml:space="preserve"> PAGEREF _Toc18443076 \h </w:instrText>
            </w:r>
            <w:r>
              <w:rPr>
                <w:noProof/>
                <w:webHidden/>
              </w:rPr>
            </w:r>
            <w:r>
              <w:rPr>
                <w:noProof/>
                <w:webHidden/>
              </w:rPr>
              <w:fldChar w:fldCharType="separate"/>
            </w:r>
            <w:r w:rsidR="00636BAC">
              <w:rPr>
                <w:noProof/>
                <w:webHidden/>
              </w:rPr>
              <w:t>6</w:t>
            </w:r>
            <w:r>
              <w:rPr>
                <w:noProof/>
                <w:webHidden/>
              </w:rPr>
              <w:fldChar w:fldCharType="end"/>
            </w:r>
          </w:hyperlink>
        </w:p>
        <w:p w14:paraId="397B1699" w14:textId="006093EE" w:rsidR="00172CCC" w:rsidRDefault="00172CCC">
          <w:pPr>
            <w:pStyle w:val="TOC2"/>
            <w:tabs>
              <w:tab w:val="left" w:pos="880"/>
              <w:tab w:val="right" w:leader="dot" w:pos="9350"/>
            </w:tabs>
            <w:rPr>
              <w:rFonts w:asciiTheme="minorHAnsi" w:hAnsiTheme="minorHAnsi"/>
              <w:noProof/>
              <w:lang w:eastAsia="en-US"/>
            </w:rPr>
          </w:pPr>
          <w:hyperlink w:anchor="_Toc18443077" w:history="1">
            <w:r w:rsidRPr="00EC208F">
              <w:rPr>
                <w:rStyle w:val="Hyperlink"/>
                <w:noProof/>
              </w:rPr>
              <w:t>1.1.</w:t>
            </w:r>
            <w:r>
              <w:rPr>
                <w:rFonts w:asciiTheme="minorHAnsi" w:hAnsiTheme="minorHAnsi"/>
                <w:noProof/>
                <w:lang w:eastAsia="en-US"/>
              </w:rPr>
              <w:tab/>
            </w:r>
            <w:r w:rsidRPr="00EC208F">
              <w:rPr>
                <w:rStyle w:val="Hyperlink"/>
                <w:noProof/>
              </w:rPr>
              <w:t>State of the Practice</w:t>
            </w:r>
            <w:r>
              <w:rPr>
                <w:noProof/>
                <w:webHidden/>
              </w:rPr>
              <w:tab/>
            </w:r>
            <w:r>
              <w:rPr>
                <w:noProof/>
                <w:webHidden/>
              </w:rPr>
              <w:fldChar w:fldCharType="begin"/>
            </w:r>
            <w:r>
              <w:rPr>
                <w:noProof/>
                <w:webHidden/>
              </w:rPr>
              <w:instrText xml:space="preserve"> PAGEREF _Toc18443077 \h </w:instrText>
            </w:r>
            <w:r>
              <w:rPr>
                <w:noProof/>
                <w:webHidden/>
              </w:rPr>
            </w:r>
            <w:r>
              <w:rPr>
                <w:noProof/>
                <w:webHidden/>
              </w:rPr>
              <w:fldChar w:fldCharType="separate"/>
            </w:r>
            <w:r w:rsidR="00636BAC">
              <w:rPr>
                <w:noProof/>
                <w:webHidden/>
              </w:rPr>
              <w:t>6</w:t>
            </w:r>
            <w:r>
              <w:rPr>
                <w:noProof/>
                <w:webHidden/>
              </w:rPr>
              <w:fldChar w:fldCharType="end"/>
            </w:r>
          </w:hyperlink>
        </w:p>
        <w:p w14:paraId="421EB89C" w14:textId="6EDF7D60" w:rsidR="00172CCC" w:rsidRDefault="00172CCC">
          <w:pPr>
            <w:pStyle w:val="TOC2"/>
            <w:tabs>
              <w:tab w:val="left" w:pos="880"/>
              <w:tab w:val="right" w:leader="dot" w:pos="9350"/>
            </w:tabs>
            <w:rPr>
              <w:rFonts w:asciiTheme="minorHAnsi" w:hAnsiTheme="minorHAnsi"/>
              <w:noProof/>
              <w:lang w:eastAsia="en-US"/>
            </w:rPr>
          </w:pPr>
          <w:hyperlink w:anchor="_Toc18443078" w:history="1">
            <w:r w:rsidRPr="00EC208F">
              <w:rPr>
                <w:rStyle w:val="Hyperlink"/>
                <w:noProof/>
              </w:rPr>
              <w:t>1.2.</w:t>
            </w:r>
            <w:r>
              <w:rPr>
                <w:rFonts w:asciiTheme="minorHAnsi" w:hAnsiTheme="minorHAnsi"/>
                <w:noProof/>
                <w:lang w:eastAsia="en-US"/>
              </w:rPr>
              <w:tab/>
            </w:r>
            <w:r w:rsidRPr="00EC208F">
              <w:rPr>
                <w:rStyle w:val="Hyperlink"/>
                <w:noProof/>
              </w:rPr>
              <w:t>Adoption Path</w:t>
            </w:r>
            <w:r>
              <w:rPr>
                <w:noProof/>
                <w:webHidden/>
              </w:rPr>
              <w:tab/>
            </w:r>
            <w:r>
              <w:rPr>
                <w:noProof/>
                <w:webHidden/>
              </w:rPr>
              <w:fldChar w:fldCharType="begin"/>
            </w:r>
            <w:r>
              <w:rPr>
                <w:noProof/>
                <w:webHidden/>
              </w:rPr>
              <w:instrText xml:space="preserve"> PAGEREF _Toc18443078 \h </w:instrText>
            </w:r>
            <w:r>
              <w:rPr>
                <w:noProof/>
                <w:webHidden/>
              </w:rPr>
            </w:r>
            <w:r>
              <w:rPr>
                <w:noProof/>
                <w:webHidden/>
              </w:rPr>
              <w:fldChar w:fldCharType="separate"/>
            </w:r>
            <w:r w:rsidR="00636BAC">
              <w:rPr>
                <w:noProof/>
                <w:webHidden/>
              </w:rPr>
              <w:t>9</w:t>
            </w:r>
            <w:r>
              <w:rPr>
                <w:noProof/>
                <w:webHidden/>
              </w:rPr>
              <w:fldChar w:fldCharType="end"/>
            </w:r>
          </w:hyperlink>
        </w:p>
        <w:p w14:paraId="2F9D0806" w14:textId="534582B2" w:rsidR="00172CCC" w:rsidRDefault="00172CCC">
          <w:pPr>
            <w:pStyle w:val="TOC3"/>
            <w:tabs>
              <w:tab w:val="left" w:pos="1320"/>
              <w:tab w:val="right" w:leader="dot" w:pos="9350"/>
            </w:tabs>
            <w:rPr>
              <w:rFonts w:asciiTheme="minorHAnsi" w:hAnsiTheme="minorHAnsi"/>
              <w:noProof/>
              <w:lang w:eastAsia="en-US"/>
            </w:rPr>
          </w:pPr>
          <w:hyperlink w:anchor="_Toc18443079" w:history="1">
            <w:r w:rsidRPr="00EC208F">
              <w:rPr>
                <w:rStyle w:val="Hyperlink"/>
                <w:noProof/>
              </w:rPr>
              <w:t>1.2.1</w:t>
            </w:r>
            <w:r>
              <w:rPr>
                <w:rFonts w:asciiTheme="minorHAnsi" w:hAnsiTheme="minorHAnsi"/>
                <w:noProof/>
                <w:lang w:eastAsia="en-US"/>
              </w:rPr>
              <w:tab/>
            </w:r>
            <w:r w:rsidRPr="00EC208F">
              <w:rPr>
                <w:rStyle w:val="Hyperlink"/>
                <w:noProof/>
              </w:rPr>
              <w:t>Current Adoption</w:t>
            </w:r>
            <w:r>
              <w:rPr>
                <w:noProof/>
                <w:webHidden/>
              </w:rPr>
              <w:tab/>
            </w:r>
            <w:r>
              <w:rPr>
                <w:noProof/>
                <w:webHidden/>
              </w:rPr>
              <w:fldChar w:fldCharType="begin"/>
            </w:r>
            <w:r>
              <w:rPr>
                <w:noProof/>
                <w:webHidden/>
              </w:rPr>
              <w:instrText xml:space="preserve"> PAGEREF _Toc18443079 \h </w:instrText>
            </w:r>
            <w:r>
              <w:rPr>
                <w:noProof/>
                <w:webHidden/>
              </w:rPr>
            </w:r>
            <w:r>
              <w:rPr>
                <w:noProof/>
                <w:webHidden/>
              </w:rPr>
              <w:fldChar w:fldCharType="separate"/>
            </w:r>
            <w:r w:rsidR="00636BAC">
              <w:rPr>
                <w:noProof/>
                <w:webHidden/>
              </w:rPr>
              <w:t>9</w:t>
            </w:r>
            <w:r>
              <w:rPr>
                <w:noProof/>
                <w:webHidden/>
              </w:rPr>
              <w:fldChar w:fldCharType="end"/>
            </w:r>
          </w:hyperlink>
        </w:p>
        <w:p w14:paraId="36498F5E" w14:textId="097F28EC" w:rsidR="00172CCC" w:rsidRDefault="00172CCC">
          <w:pPr>
            <w:pStyle w:val="TOC3"/>
            <w:tabs>
              <w:tab w:val="left" w:pos="1320"/>
              <w:tab w:val="right" w:leader="dot" w:pos="9350"/>
            </w:tabs>
            <w:rPr>
              <w:rFonts w:asciiTheme="minorHAnsi" w:hAnsiTheme="minorHAnsi"/>
              <w:noProof/>
              <w:lang w:eastAsia="en-US"/>
            </w:rPr>
          </w:pPr>
          <w:hyperlink w:anchor="_Toc18443080" w:history="1">
            <w:r w:rsidRPr="00EC208F">
              <w:rPr>
                <w:rStyle w:val="Hyperlink"/>
                <w:noProof/>
              </w:rPr>
              <w:t>1.2.2</w:t>
            </w:r>
            <w:r>
              <w:rPr>
                <w:rFonts w:asciiTheme="minorHAnsi" w:hAnsiTheme="minorHAnsi"/>
                <w:noProof/>
                <w:lang w:eastAsia="en-US"/>
              </w:rPr>
              <w:tab/>
            </w:r>
            <w:r w:rsidRPr="00EC208F">
              <w:rPr>
                <w:rStyle w:val="Hyperlink"/>
                <w:noProof/>
              </w:rPr>
              <w:t>Trends to Accelerate Adoption</w:t>
            </w:r>
            <w:r>
              <w:rPr>
                <w:noProof/>
                <w:webHidden/>
              </w:rPr>
              <w:tab/>
            </w:r>
            <w:r>
              <w:rPr>
                <w:noProof/>
                <w:webHidden/>
              </w:rPr>
              <w:fldChar w:fldCharType="begin"/>
            </w:r>
            <w:r>
              <w:rPr>
                <w:noProof/>
                <w:webHidden/>
              </w:rPr>
              <w:instrText xml:space="preserve"> PAGEREF _Toc18443080 \h </w:instrText>
            </w:r>
            <w:r>
              <w:rPr>
                <w:noProof/>
                <w:webHidden/>
              </w:rPr>
            </w:r>
            <w:r>
              <w:rPr>
                <w:noProof/>
                <w:webHidden/>
              </w:rPr>
              <w:fldChar w:fldCharType="separate"/>
            </w:r>
            <w:r w:rsidR="00636BAC">
              <w:rPr>
                <w:noProof/>
                <w:webHidden/>
              </w:rPr>
              <w:t>9</w:t>
            </w:r>
            <w:r>
              <w:rPr>
                <w:noProof/>
                <w:webHidden/>
              </w:rPr>
              <w:fldChar w:fldCharType="end"/>
            </w:r>
          </w:hyperlink>
        </w:p>
        <w:p w14:paraId="3F0DE409" w14:textId="4DAB848D" w:rsidR="00172CCC" w:rsidRDefault="00172CCC">
          <w:pPr>
            <w:pStyle w:val="TOC3"/>
            <w:tabs>
              <w:tab w:val="left" w:pos="1320"/>
              <w:tab w:val="right" w:leader="dot" w:pos="9350"/>
            </w:tabs>
            <w:rPr>
              <w:rFonts w:asciiTheme="minorHAnsi" w:hAnsiTheme="minorHAnsi"/>
              <w:noProof/>
              <w:lang w:eastAsia="en-US"/>
            </w:rPr>
          </w:pPr>
          <w:hyperlink w:anchor="_Toc18443081" w:history="1">
            <w:r w:rsidRPr="00EC208F">
              <w:rPr>
                <w:rStyle w:val="Hyperlink"/>
                <w:noProof/>
              </w:rPr>
              <w:t>1.2.3</w:t>
            </w:r>
            <w:r>
              <w:rPr>
                <w:rFonts w:asciiTheme="minorHAnsi" w:hAnsiTheme="minorHAnsi"/>
                <w:noProof/>
                <w:lang w:eastAsia="en-US"/>
              </w:rPr>
              <w:tab/>
            </w:r>
            <w:r w:rsidRPr="00EC208F">
              <w:rPr>
                <w:rStyle w:val="Hyperlink"/>
                <w:noProof/>
              </w:rPr>
              <w:t>Barriers to Adoption</w:t>
            </w:r>
            <w:r>
              <w:rPr>
                <w:noProof/>
                <w:webHidden/>
              </w:rPr>
              <w:tab/>
            </w:r>
            <w:r>
              <w:rPr>
                <w:noProof/>
                <w:webHidden/>
              </w:rPr>
              <w:fldChar w:fldCharType="begin"/>
            </w:r>
            <w:r>
              <w:rPr>
                <w:noProof/>
                <w:webHidden/>
              </w:rPr>
              <w:instrText xml:space="preserve"> PAGEREF _Toc18443081 \h </w:instrText>
            </w:r>
            <w:r>
              <w:rPr>
                <w:noProof/>
                <w:webHidden/>
              </w:rPr>
            </w:r>
            <w:r>
              <w:rPr>
                <w:noProof/>
                <w:webHidden/>
              </w:rPr>
              <w:fldChar w:fldCharType="separate"/>
            </w:r>
            <w:r w:rsidR="00636BAC">
              <w:rPr>
                <w:noProof/>
                <w:webHidden/>
              </w:rPr>
              <w:t>11</w:t>
            </w:r>
            <w:r>
              <w:rPr>
                <w:noProof/>
                <w:webHidden/>
              </w:rPr>
              <w:fldChar w:fldCharType="end"/>
            </w:r>
          </w:hyperlink>
        </w:p>
        <w:p w14:paraId="12F213C6" w14:textId="1D4EA1E1" w:rsidR="00172CCC" w:rsidRDefault="00172CCC">
          <w:pPr>
            <w:pStyle w:val="TOC3"/>
            <w:tabs>
              <w:tab w:val="left" w:pos="1320"/>
              <w:tab w:val="right" w:leader="dot" w:pos="9350"/>
            </w:tabs>
            <w:rPr>
              <w:rFonts w:asciiTheme="minorHAnsi" w:hAnsiTheme="minorHAnsi"/>
              <w:noProof/>
              <w:lang w:eastAsia="en-US"/>
            </w:rPr>
          </w:pPr>
          <w:hyperlink w:anchor="_Toc18443082" w:history="1">
            <w:r w:rsidRPr="00EC208F">
              <w:rPr>
                <w:rStyle w:val="Hyperlink"/>
                <w:noProof/>
              </w:rPr>
              <w:t>1.2.4</w:t>
            </w:r>
            <w:r>
              <w:rPr>
                <w:rFonts w:asciiTheme="minorHAnsi" w:hAnsiTheme="minorHAnsi"/>
                <w:noProof/>
                <w:lang w:eastAsia="en-US"/>
              </w:rPr>
              <w:tab/>
            </w:r>
            <w:r w:rsidRPr="00EC208F">
              <w:rPr>
                <w:rStyle w:val="Hyperlink"/>
                <w:noProof/>
              </w:rPr>
              <w:t>Adoption Potential</w:t>
            </w:r>
            <w:r>
              <w:rPr>
                <w:noProof/>
                <w:webHidden/>
              </w:rPr>
              <w:tab/>
            </w:r>
            <w:r>
              <w:rPr>
                <w:noProof/>
                <w:webHidden/>
              </w:rPr>
              <w:fldChar w:fldCharType="begin"/>
            </w:r>
            <w:r>
              <w:rPr>
                <w:noProof/>
                <w:webHidden/>
              </w:rPr>
              <w:instrText xml:space="preserve"> PAGEREF _Toc18443082 \h </w:instrText>
            </w:r>
            <w:r>
              <w:rPr>
                <w:noProof/>
                <w:webHidden/>
              </w:rPr>
            </w:r>
            <w:r>
              <w:rPr>
                <w:noProof/>
                <w:webHidden/>
              </w:rPr>
              <w:fldChar w:fldCharType="separate"/>
            </w:r>
            <w:r w:rsidR="00636BAC">
              <w:rPr>
                <w:noProof/>
                <w:webHidden/>
              </w:rPr>
              <w:t>12</w:t>
            </w:r>
            <w:r>
              <w:rPr>
                <w:noProof/>
                <w:webHidden/>
              </w:rPr>
              <w:fldChar w:fldCharType="end"/>
            </w:r>
          </w:hyperlink>
        </w:p>
        <w:p w14:paraId="6BED58FC" w14:textId="0EE8C696" w:rsidR="00172CCC" w:rsidRDefault="00172CCC">
          <w:pPr>
            <w:pStyle w:val="TOC2"/>
            <w:tabs>
              <w:tab w:val="left" w:pos="880"/>
              <w:tab w:val="right" w:leader="dot" w:pos="9350"/>
            </w:tabs>
            <w:rPr>
              <w:rFonts w:asciiTheme="minorHAnsi" w:hAnsiTheme="minorHAnsi"/>
              <w:noProof/>
              <w:lang w:eastAsia="en-US"/>
            </w:rPr>
          </w:pPr>
          <w:hyperlink w:anchor="_Toc18443083" w:history="1">
            <w:r w:rsidRPr="00EC208F">
              <w:rPr>
                <w:rStyle w:val="Hyperlink"/>
                <w:noProof/>
              </w:rPr>
              <w:t>1.3</w:t>
            </w:r>
            <w:r>
              <w:rPr>
                <w:rFonts w:asciiTheme="minorHAnsi" w:hAnsiTheme="minorHAnsi"/>
                <w:noProof/>
                <w:lang w:eastAsia="en-US"/>
              </w:rPr>
              <w:tab/>
            </w:r>
            <w:r w:rsidRPr="00EC208F">
              <w:rPr>
                <w:rStyle w:val="Hyperlink"/>
                <w:noProof/>
              </w:rPr>
              <w:t>Advantages and disadvantages of Forest plantations</w:t>
            </w:r>
            <w:r>
              <w:rPr>
                <w:noProof/>
                <w:webHidden/>
              </w:rPr>
              <w:tab/>
            </w:r>
            <w:r>
              <w:rPr>
                <w:noProof/>
                <w:webHidden/>
              </w:rPr>
              <w:fldChar w:fldCharType="begin"/>
            </w:r>
            <w:r>
              <w:rPr>
                <w:noProof/>
                <w:webHidden/>
              </w:rPr>
              <w:instrText xml:space="preserve"> PAGEREF _Toc18443083 \h </w:instrText>
            </w:r>
            <w:r>
              <w:rPr>
                <w:noProof/>
                <w:webHidden/>
              </w:rPr>
            </w:r>
            <w:r>
              <w:rPr>
                <w:noProof/>
                <w:webHidden/>
              </w:rPr>
              <w:fldChar w:fldCharType="separate"/>
            </w:r>
            <w:r w:rsidR="00636BAC">
              <w:rPr>
                <w:noProof/>
                <w:webHidden/>
              </w:rPr>
              <w:t>12</w:t>
            </w:r>
            <w:r>
              <w:rPr>
                <w:noProof/>
                <w:webHidden/>
              </w:rPr>
              <w:fldChar w:fldCharType="end"/>
            </w:r>
          </w:hyperlink>
        </w:p>
        <w:p w14:paraId="0B7BB562" w14:textId="7784D72E" w:rsidR="00172CCC" w:rsidRDefault="00172CCC">
          <w:pPr>
            <w:pStyle w:val="TOC3"/>
            <w:tabs>
              <w:tab w:val="left" w:pos="1320"/>
              <w:tab w:val="right" w:leader="dot" w:pos="9350"/>
            </w:tabs>
            <w:rPr>
              <w:rFonts w:asciiTheme="minorHAnsi" w:hAnsiTheme="minorHAnsi"/>
              <w:noProof/>
              <w:lang w:eastAsia="en-US"/>
            </w:rPr>
          </w:pPr>
          <w:hyperlink w:anchor="_Toc18443084" w:history="1">
            <w:r w:rsidRPr="00EC208F">
              <w:rPr>
                <w:rStyle w:val="Hyperlink"/>
                <w:noProof/>
              </w:rPr>
              <w:t>1.3.1</w:t>
            </w:r>
            <w:r>
              <w:rPr>
                <w:rFonts w:asciiTheme="minorHAnsi" w:hAnsiTheme="minorHAnsi"/>
                <w:noProof/>
                <w:lang w:eastAsia="en-US"/>
              </w:rPr>
              <w:tab/>
            </w:r>
            <w:r w:rsidRPr="00EC208F">
              <w:rPr>
                <w:rStyle w:val="Hyperlink"/>
                <w:noProof/>
              </w:rPr>
              <w:t>Similar Solutions</w:t>
            </w:r>
            <w:r>
              <w:rPr>
                <w:noProof/>
                <w:webHidden/>
              </w:rPr>
              <w:tab/>
            </w:r>
            <w:r>
              <w:rPr>
                <w:noProof/>
                <w:webHidden/>
              </w:rPr>
              <w:fldChar w:fldCharType="begin"/>
            </w:r>
            <w:r>
              <w:rPr>
                <w:noProof/>
                <w:webHidden/>
              </w:rPr>
              <w:instrText xml:space="preserve"> PAGEREF _Toc18443084 \h </w:instrText>
            </w:r>
            <w:r>
              <w:rPr>
                <w:noProof/>
                <w:webHidden/>
              </w:rPr>
            </w:r>
            <w:r>
              <w:rPr>
                <w:noProof/>
                <w:webHidden/>
              </w:rPr>
              <w:fldChar w:fldCharType="separate"/>
            </w:r>
            <w:r w:rsidR="00636BAC">
              <w:rPr>
                <w:noProof/>
                <w:webHidden/>
              </w:rPr>
              <w:t>12</w:t>
            </w:r>
            <w:r>
              <w:rPr>
                <w:noProof/>
                <w:webHidden/>
              </w:rPr>
              <w:fldChar w:fldCharType="end"/>
            </w:r>
          </w:hyperlink>
        </w:p>
        <w:p w14:paraId="23EA3191" w14:textId="3444740E" w:rsidR="00172CCC" w:rsidRDefault="00172CCC">
          <w:pPr>
            <w:pStyle w:val="TOC3"/>
            <w:tabs>
              <w:tab w:val="left" w:pos="1320"/>
              <w:tab w:val="right" w:leader="dot" w:pos="9350"/>
            </w:tabs>
            <w:rPr>
              <w:rFonts w:asciiTheme="minorHAnsi" w:hAnsiTheme="minorHAnsi"/>
              <w:noProof/>
              <w:lang w:eastAsia="en-US"/>
            </w:rPr>
          </w:pPr>
          <w:hyperlink w:anchor="_Toc18443085" w:history="1">
            <w:r w:rsidRPr="00EC208F">
              <w:rPr>
                <w:rStyle w:val="Hyperlink"/>
                <w:noProof/>
              </w:rPr>
              <w:t>1.3.2</w:t>
            </w:r>
            <w:r>
              <w:rPr>
                <w:rFonts w:asciiTheme="minorHAnsi" w:hAnsiTheme="minorHAnsi"/>
                <w:noProof/>
                <w:lang w:eastAsia="en-US"/>
              </w:rPr>
              <w:tab/>
            </w:r>
            <w:r w:rsidRPr="00EC208F">
              <w:rPr>
                <w:rStyle w:val="Hyperlink"/>
                <w:noProof/>
              </w:rPr>
              <w:t>Arguments for Adoption</w:t>
            </w:r>
            <w:r>
              <w:rPr>
                <w:noProof/>
                <w:webHidden/>
              </w:rPr>
              <w:tab/>
            </w:r>
            <w:r>
              <w:rPr>
                <w:noProof/>
                <w:webHidden/>
              </w:rPr>
              <w:fldChar w:fldCharType="begin"/>
            </w:r>
            <w:r>
              <w:rPr>
                <w:noProof/>
                <w:webHidden/>
              </w:rPr>
              <w:instrText xml:space="preserve"> PAGEREF _Toc18443085 \h </w:instrText>
            </w:r>
            <w:r>
              <w:rPr>
                <w:noProof/>
                <w:webHidden/>
              </w:rPr>
            </w:r>
            <w:r>
              <w:rPr>
                <w:noProof/>
                <w:webHidden/>
              </w:rPr>
              <w:fldChar w:fldCharType="separate"/>
            </w:r>
            <w:r w:rsidR="00636BAC">
              <w:rPr>
                <w:noProof/>
                <w:webHidden/>
              </w:rPr>
              <w:t>13</w:t>
            </w:r>
            <w:r>
              <w:rPr>
                <w:noProof/>
                <w:webHidden/>
              </w:rPr>
              <w:fldChar w:fldCharType="end"/>
            </w:r>
          </w:hyperlink>
        </w:p>
        <w:p w14:paraId="6A7C4DA8" w14:textId="44C84C79" w:rsidR="00172CCC" w:rsidRDefault="00172CCC">
          <w:pPr>
            <w:pStyle w:val="TOC3"/>
            <w:tabs>
              <w:tab w:val="left" w:pos="1320"/>
              <w:tab w:val="right" w:leader="dot" w:pos="9350"/>
            </w:tabs>
            <w:rPr>
              <w:rFonts w:asciiTheme="minorHAnsi" w:hAnsiTheme="minorHAnsi"/>
              <w:noProof/>
              <w:lang w:eastAsia="en-US"/>
            </w:rPr>
          </w:pPr>
          <w:hyperlink w:anchor="_Toc18443086" w:history="1">
            <w:r w:rsidRPr="00EC208F">
              <w:rPr>
                <w:rStyle w:val="Hyperlink"/>
                <w:noProof/>
              </w:rPr>
              <w:t>1.3.3</w:t>
            </w:r>
            <w:r>
              <w:rPr>
                <w:rFonts w:asciiTheme="minorHAnsi" w:hAnsiTheme="minorHAnsi"/>
                <w:noProof/>
                <w:lang w:eastAsia="en-US"/>
              </w:rPr>
              <w:tab/>
            </w:r>
            <w:r w:rsidRPr="00EC208F">
              <w:rPr>
                <w:rStyle w:val="Hyperlink"/>
                <w:noProof/>
              </w:rPr>
              <w:t>Additional Benefits and Burdens</w:t>
            </w:r>
            <w:r>
              <w:rPr>
                <w:noProof/>
                <w:webHidden/>
              </w:rPr>
              <w:tab/>
            </w:r>
            <w:r>
              <w:rPr>
                <w:noProof/>
                <w:webHidden/>
              </w:rPr>
              <w:fldChar w:fldCharType="begin"/>
            </w:r>
            <w:r>
              <w:rPr>
                <w:noProof/>
                <w:webHidden/>
              </w:rPr>
              <w:instrText xml:space="preserve"> PAGEREF _Toc18443086 \h </w:instrText>
            </w:r>
            <w:r>
              <w:rPr>
                <w:noProof/>
                <w:webHidden/>
              </w:rPr>
            </w:r>
            <w:r>
              <w:rPr>
                <w:noProof/>
                <w:webHidden/>
              </w:rPr>
              <w:fldChar w:fldCharType="separate"/>
            </w:r>
            <w:r w:rsidR="00636BAC">
              <w:rPr>
                <w:noProof/>
                <w:webHidden/>
              </w:rPr>
              <w:t>14</w:t>
            </w:r>
            <w:r>
              <w:rPr>
                <w:noProof/>
                <w:webHidden/>
              </w:rPr>
              <w:fldChar w:fldCharType="end"/>
            </w:r>
          </w:hyperlink>
        </w:p>
        <w:p w14:paraId="3DBC18E6" w14:textId="2136FF81" w:rsidR="00172CCC" w:rsidRDefault="00172CCC">
          <w:pPr>
            <w:pStyle w:val="TOC1"/>
            <w:tabs>
              <w:tab w:val="left" w:pos="440"/>
              <w:tab w:val="right" w:leader="dot" w:pos="9350"/>
            </w:tabs>
            <w:rPr>
              <w:rFonts w:asciiTheme="minorHAnsi" w:hAnsiTheme="minorHAnsi"/>
              <w:noProof/>
              <w:lang w:eastAsia="en-US"/>
            </w:rPr>
          </w:pPr>
          <w:hyperlink w:anchor="_Toc18443087" w:history="1">
            <w:r w:rsidRPr="00EC208F">
              <w:rPr>
                <w:rStyle w:val="Hyperlink"/>
                <w:noProof/>
              </w:rPr>
              <w:t>2</w:t>
            </w:r>
            <w:r>
              <w:rPr>
                <w:rFonts w:asciiTheme="minorHAnsi" w:hAnsiTheme="minorHAnsi"/>
                <w:noProof/>
                <w:lang w:eastAsia="en-US"/>
              </w:rPr>
              <w:tab/>
            </w:r>
            <w:r w:rsidRPr="00EC208F">
              <w:rPr>
                <w:rStyle w:val="Hyperlink"/>
                <w:noProof/>
              </w:rPr>
              <w:t>Methodology</w:t>
            </w:r>
            <w:r>
              <w:rPr>
                <w:noProof/>
                <w:webHidden/>
              </w:rPr>
              <w:tab/>
            </w:r>
            <w:r>
              <w:rPr>
                <w:noProof/>
                <w:webHidden/>
              </w:rPr>
              <w:fldChar w:fldCharType="begin"/>
            </w:r>
            <w:r>
              <w:rPr>
                <w:noProof/>
                <w:webHidden/>
              </w:rPr>
              <w:instrText xml:space="preserve"> PAGEREF _Toc18443087 \h </w:instrText>
            </w:r>
            <w:r>
              <w:rPr>
                <w:noProof/>
                <w:webHidden/>
              </w:rPr>
            </w:r>
            <w:r>
              <w:rPr>
                <w:noProof/>
                <w:webHidden/>
              </w:rPr>
              <w:fldChar w:fldCharType="separate"/>
            </w:r>
            <w:r w:rsidR="00636BAC">
              <w:rPr>
                <w:noProof/>
                <w:webHidden/>
              </w:rPr>
              <w:t>16</w:t>
            </w:r>
            <w:r>
              <w:rPr>
                <w:noProof/>
                <w:webHidden/>
              </w:rPr>
              <w:fldChar w:fldCharType="end"/>
            </w:r>
          </w:hyperlink>
        </w:p>
        <w:p w14:paraId="7413F47C" w14:textId="27524F49" w:rsidR="00172CCC" w:rsidRDefault="00172CCC">
          <w:pPr>
            <w:pStyle w:val="TOC2"/>
            <w:tabs>
              <w:tab w:val="left" w:pos="880"/>
              <w:tab w:val="right" w:leader="dot" w:pos="9350"/>
            </w:tabs>
            <w:rPr>
              <w:rFonts w:asciiTheme="minorHAnsi" w:hAnsiTheme="minorHAnsi"/>
              <w:noProof/>
              <w:lang w:eastAsia="en-US"/>
            </w:rPr>
          </w:pPr>
          <w:hyperlink w:anchor="_Toc18443088" w:history="1">
            <w:r w:rsidRPr="00EC208F">
              <w:rPr>
                <w:rStyle w:val="Hyperlink"/>
                <w:noProof/>
              </w:rPr>
              <w:t>2.1</w:t>
            </w:r>
            <w:r>
              <w:rPr>
                <w:rFonts w:asciiTheme="minorHAnsi" w:hAnsiTheme="minorHAnsi"/>
                <w:noProof/>
                <w:lang w:eastAsia="en-US"/>
              </w:rPr>
              <w:tab/>
            </w:r>
            <w:r w:rsidRPr="00EC208F">
              <w:rPr>
                <w:rStyle w:val="Hyperlink"/>
                <w:noProof/>
              </w:rPr>
              <w:t>Introduction</w:t>
            </w:r>
            <w:r>
              <w:rPr>
                <w:noProof/>
                <w:webHidden/>
              </w:rPr>
              <w:tab/>
            </w:r>
            <w:r>
              <w:rPr>
                <w:noProof/>
                <w:webHidden/>
              </w:rPr>
              <w:fldChar w:fldCharType="begin"/>
            </w:r>
            <w:r>
              <w:rPr>
                <w:noProof/>
                <w:webHidden/>
              </w:rPr>
              <w:instrText xml:space="preserve"> PAGEREF _Toc18443088 \h </w:instrText>
            </w:r>
            <w:r>
              <w:rPr>
                <w:noProof/>
                <w:webHidden/>
              </w:rPr>
            </w:r>
            <w:r>
              <w:rPr>
                <w:noProof/>
                <w:webHidden/>
              </w:rPr>
              <w:fldChar w:fldCharType="separate"/>
            </w:r>
            <w:r w:rsidR="00636BAC">
              <w:rPr>
                <w:noProof/>
                <w:webHidden/>
              </w:rPr>
              <w:t>16</w:t>
            </w:r>
            <w:r>
              <w:rPr>
                <w:noProof/>
                <w:webHidden/>
              </w:rPr>
              <w:fldChar w:fldCharType="end"/>
            </w:r>
          </w:hyperlink>
        </w:p>
        <w:p w14:paraId="3C973D72" w14:textId="0EDC2D8A" w:rsidR="00172CCC" w:rsidRDefault="00172CCC">
          <w:pPr>
            <w:pStyle w:val="TOC2"/>
            <w:tabs>
              <w:tab w:val="left" w:pos="880"/>
              <w:tab w:val="right" w:leader="dot" w:pos="9350"/>
            </w:tabs>
            <w:rPr>
              <w:rFonts w:asciiTheme="minorHAnsi" w:hAnsiTheme="minorHAnsi"/>
              <w:noProof/>
              <w:lang w:eastAsia="en-US"/>
            </w:rPr>
          </w:pPr>
          <w:hyperlink w:anchor="_Toc18443089" w:history="1">
            <w:r w:rsidRPr="00EC208F">
              <w:rPr>
                <w:rStyle w:val="Hyperlink"/>
                <w:noProof/>
              </w:rPr>
              <w:t>2.2</w:t>
            </w:r>
            <w:r>
              <w:rPr>
                <w:rFonts w:asciiTheme="minorHAnsi" w:hAnsiTheme="minorHAnsi"/>
                <w:noProof/>
                <w:lang w:eastAsia="en-US"/>
              </w:rPr>
              <w:tab/>
            </w:r>
            <w:r w:rsidRPr="00EC208F">
              <w:rPr>
                <w:rStyle w:val="Hyperlink"/>
                <w:noProof/>
              </w:rPr>
              <w:t>Data Sources</w:t>
            </w:r>
            <w:r>
              <w:rPr>
                <w:noProof/>
                <w:webHidden/>
              </w:rPr>
              <w:tab/>
            </w:r>
            <w:r>
              <w:rPr>
                <w:noProof/>
                <w:webHidden/>
              </w:rPr>
              <w:fldChar w:fldCharType="begin"/>
            </w:r>
            <w:r>
              <w:rPr>
                <w:noProof/>
                <w:webHidden/>
              </w:rPr>
              <w:instrText xml:space="preserve"> PAGEREF _Toc18443089 \h </w:instrText>
            </w:r>
            <w:r>
              <w:rPr>
                <w:noProof/>
                <w:webHidden/>
              </w:rPr>
            </w:r>
            <w:r>
              <w:rPr>
                <w:noProof/>
                <w:webHidden/>
              </w:rPr>
              <w:fldChar w:fldCharType="separate"/>
            </w:r>
            <w:r w:rsidR="00636BAC">
              <w:rPr>
                <w:noProof/>
                <w:webHidden/>
              </w:rPr>
              <w:t>16</w:t>
            </w:r>
            <w:r>
              <w:rPr>
                <w:noProof/>
                <w:webHidden/>
              </w:rPr>
              <w:fldChar w:fldCharType="end"/>
            </w:r>
          </w:hyperlink>
        </w:p>
        <w:p w14:paraId="111D16C2" w14:textId="34C8AF99" w:rsidR="00172CCC" w:rsidRDefault="00172CCC">
          <w:pPr>
            <w:pStyle w:val="TOC2"/>
            <w:tabs>
              <w:tab w:val="left" w:pos="880"/>
              <w:tab w:val="right" w:leader="dot" w:pos="9350"/>
            </w:tabs>
            <w:rPr>
              <w:rFonts w:asciiTheme="minorHAnsi" w:hAnsiTheme="minorHAnsi"/>
              <w:noProof/>
              <w:lang w:eastAsia="en-US"/>
            </w:rPr>
          </w:pPr>
          <w:hyperlink w:anchor="_Toc18443090" w:history="1">
            <w:r w:rsidRPr="00EC208F">
              <w:rPr>
                <w:rStyle w:val="Hyperlink"/>
                <w:noProof/>
              </w:rPr>
              <w:t>2.3</w:t>
            </w:r>
            <w:r>
              <w:rPr>
                <w:rFonts w:asciiTheme="minorHAnsi" w:hAnsiTheme="minorHAnsi"/>
                <w:noProof/>
                <w:lang w:eastAsia="en-US"/>
              </w:rPr>
              <w:tab/>
            </w:r>
            <w:r w:rsidRPr="00EC208F">
              <w:rPr>
                <w:rStyle w:val="Hyperlink"/>
                <w:noProof/>
              </w:rPr>
              <w:t>Total Available Land</w:t>
            </w:r>
            <w:r>
              <w:rPr>
                <w:noProof/>
                <w:webHidden/>
              </w:rPr>
              <w:tab/>
            </w:r>
            <w:r>
              <w:rPr>
                <w:noProof/>
                <w:webHidden/>
              </w:rPr>
              <w:fldChar w:fldCharType="begin"/>
            </w:r>
            <w:r>
              <w:rPr>
                <w:noProof/>
                <w:webHidden/>
              </w:rPr>
              <w:instrText xml:space="preserve"> PAGEREF _Toc18443090 \h </w:instrText>
            </w:r>
            <w:r>
              <w:rPr>
                <w:noProof/>
                <w:webHidden/>
              </w:rPr>
            </w:r>
            <w:r>
              <w:rPr>
                <w:noProof/>
                <w:webHidden/>
              </w:rPr>
              <w:fldChar w:fldCharType="separate"/>
            </w:r>
            <w:r w:rsidR="00636BAC">
              <w:rPr>
                <w:noProof/>
                <w:webHidden/>
              </w:rPr>
              <w:t>17</w:t>
            </w:r>
            <w:r>
              <w:rPr>
                <w:noProof/>
                <w:webHidden/>
              </w:rPr>
              <w:fldChar w:fldCharType="end"/>
            </w:r>
          </w:hyperlink>
        </w:p>
        <w:p w14:paraId="23FEC9E0" w14:textId="6E967F01" w:rsidR="00172CCC" w:rsidRDefault="00172CCC">
          <w:pPr>
            <w:pStyle w:val="TOC2"/>
            <w:tabs>
              <w:tab w:val="left" w:pos="880"/>
              <w:tab w:val="right" w:leader="dot" w:pos="9350"/>
            </w:tabs>
            <w:rPr>
              <w:rFonts w:asciiTheme="minorHAnsi" w:hAnsiTheme="minorHAnsi"/>
              <w:noProof/>
              <w:lang w:eastAsia="en-US"/>
            </w:rPr>
          </w:pPr>
          <w:hyperlink w:anchor="_Toc18443091" w:history="1">
            <w:r w:rsidRPr="00EC208F">
              <w:rPr>
                <w:rStyle w:val="Hyperlink"/>
                <w:noProof/>
              </w:rPr>
              <w:t>2.4</w:t>
            </w:r>
            <w:r>
              <w:rPr>
                <w:rFonts w:asciiTheme="minorHAnsi" w:hAnsiTheme="minorHAnsi"/>
                <w:noProof/>
                <w:lang w:eastAsia="en-US"/>
              </w:rPr>
              <w:tab/>
            </w:r>
            <w:r w:rsidRPr="00EC208F">
              <w:rPr>
                <w:rStyle w:val="Hyperlink"/>
                <w:noProof/>
              </w:rPr>
              <w:t>Adoption Scenarios</w:t>
            </w:r>
            <w:r>
              <w:rPr>
                <w:noProof/>
                <w:webHidden/>
              </w:rPr>
              <w:tab/>
            </w:r>
            <w:r>
              <w:rPr>
                <w:noProof/>
                <w:webHidden/>
              </w:rPr>
              <w:fldChar w:fldCharType="begin"/>
            </w:r>
            <w:r>
              <w:rPr>
                <w:noProof/>
                <w:webHidden/>
              </w:rPr>
              <w:instrText xml:space="preserve"> PAGEREF _Toc18443091 \h </w:instrText>
            </w:r>
            <w:r>
              <w:rPr>
                <w:noProof/>
                <w:webHidden/>
              </w:rPr>
            </w:r>
            <w:r>
              <w:rPr>
                <w:noProof/>
                <w:webHidden/>
              </w:rPr>
              <w:fldChar w:fldCharType="separate"/>
            </w:r>
            <w:r w:rsidR="00636BAC">
              <w:rPr>
                <w:noProof/>
                <w:webHidden/>
              </w:rPr>
              <w:t>18</w:t>
            </w:r>
            <w:r>
              <w:rPr>
                <w:noProof/>
                <w:webHidden/>
              </w:rPr>
              <w:fldChar w:fldCharType="end"/>
            </w:r>
          </w:hyperlink>
        </w:p>
        <w:p w14:paraId="00934F1A" w14:textId="11498A92" w:rsidR="00172CCC" w:rsidRDefault="00172CCC">
          <w:pPr>
            <w:pStyle w:val="TOC3"/>
            <w:tabs>
              <w:tab w:val="left" w:pos="1320"/>
              <w:tab w:val="right" w:leader="dot" w:pos="9350"/>
            </w:tabs>
            <w:rPr>
              <w:rFonts w:asciiTheme="minorHAnsi" w:hAnsiTheme="minorHAnsi"/>
              <w:noProof/>
              <w:lang w:eastAsia="en-US"/>
            </w:rPr>
          </w:pPr>
          <w:hyperlink w:anchor="_Toc18443092" w:history="1">
            <w:r w:rsidRPr="00EC208F">
              <w:rPr>
                <w:rStyle w:val="Hyperlink"/>
                <w:noProof/>
              </w:rPr>
              <w:t>2.4.1</w:t>
            </w:r>
            <w:r>
              <w:rPr>
                <w:rFonts w:asciiTheme="minorHAnsi" w:hAnsiTheme="minorHAnsi"/>
                <w:noProof/>
                <w:lang w:eastAsia="en-US"/>
              </w:rPr>
              <w:tab/>
            </w:r>
            <w:r w:rsidRPr="00EC208F">
              <w:rPr>
                <w:rStyle w:val="Hyperlink"/>
                <w:noProof/>
              </w:rPr>
              <w:t>Reference Case / Current Adoption</w:t>
            </w:r>
            <w:r>
              <w:rPr>
                <w:noProof/>
                <w:webHidden/>
              </w:rPr>
              <w:tab/>
            </w:r>
            <w:r>
              <w:rPr>
                <w:noProof/>
                <w:webHidden/>
              </w:rPr>
              <w:fldChar w:fldCharType="begin"/>
            </w:r>
            <w:r>
              <w:rPr>
                <w:noProof/>
                <w:webHidden/>
              </w:rPr>
              <w:instrText xml:space="preserve"> PAGEREF _Toc18443092 \h </w:instrText>
            </w:r>
            <w:r>
              <w:rPr>
                <w:noProof/>
                <w:webHidden/>
              </w:rPr>
            </w:r>
            <w:r>
              <w:rPr>
                <w:noProof/>
                <w:webHidden/>
              </w:rPr>
              <w:fldChar w:fldCharType="separate"/>
            </w:r>
            <w:r w:rsidR="00636BAC">
              <w:rPr>
                <w:noProof/>
                <w:webHidden/>
              </w:rPr>
              <w:t>19</w:t>
            </w:r>
            <w:r>
              <w:rPr>
                <w:noProof/>
                <w:webHidden/>
              </w:rPr>
              <w:fldChar w:fldCharType="end"/>
            </w:r>
          </w:hyperlink>
        </w:p>
        <w:p w14:paraId="2E4E38D1" w14:textId="6BE8DBE4" w:rsidR="00172CCC" w:rsidRDefault="00172CCC">
          <w:pPr>
            <w:pStyle w:val="TOC3"/>
            <w:tabs>
              <w:tab w:val="right" w:leader="dot" w:pos="9350"/>
            </w:tabs>
            <w:rPr>
              <w:rFonts w:asciiTheme="minorHAnsi" w:hAnsiTheme="minorHAnsi"/>
              <w:noProof/>
              <w:lang w:eastAsia="en-US"/>
            </w:rPr>
          </w:pPr>
          <w:hyperlink w:anchor="_Toc18443093" w:history="1">
            <w:r w:rsidRPr="00EC208F">
              <w:rPr>
                <w:rStyle w:val="Hyperlink"/>
                <w:noProof/>
              </w:rPr>
              <w:t>Project Drawdown Scenarios</w:t>
            </w:r>
            <w:r>
              <w:rPr>
                <w:noProof/>
                <w:webHidden/>
              </w:rPr>
              <w:tab/>
            </w:r>
            <w:r>
              <w:rPr>
                <w:noProof/>
                <w:webHidden/>
              </w:rPr>
              <w:fldChar w:fldCharType="begin"/>
            </w:r>
            <w:r>
              <w:rPr>
                <w:noProof/>
                <w:webHidden/>
              </w:rPr>
              <w:instrText xml:space="preserve"> PAGEREF _Toc18443093 \h </w:instrText>
            </w:r>
            <w:r>
              <w:rPr>
                <w:noProof/>
                <w:webHidden/>
              </w:rPr>
            </w:r>
            <w:r>
              <w:rPr>
                <w:noProof/>
                <w:webHidden/>
              </w:rPr>
              <w:fldChar w:fldCharType="separate"/>
            </w:r>
            <w:r w:rsidR="00636BAC">
              <w:rPr>
                <w:noProof/>
                <w:webHidden/>
              </w:rPr>
              <w:t>19</w:t>
            </w:r>
            <w:r>
              <w:rPr>
                <w:noProof/>
                <w:webHidden/>
              </w:rPr>
              <w:fldChar w:fldCharType="end"/>
            </w:r>
          </w:hyperlink>
        </w:p>
        <w:p w14:paraId="09E66F64" w14:textId="0166957E" w:rsidR="00172CCC" w:rsidRDefault="00172CCC">
          <w:pPr>
            <w:pStyle w:val="TOC2"/>
            <w:tabs>
              <w:tab w:val="left" w:pos="880"/>
              <w:tab w:val="right" w:leader="dot" w:pos="9350"/>
            </w:tabs>
            <w:rPr>
              <w:rFonts w:asciiTheme="minorHAnsi" w:hAnsiTheme="minorHAnsi"/>
              <w:noProof/>
              <w:lang w:eastAsia="en-US"/>
            </w:rPr>
          </w:pPr>
          <w:hyperlink w:anchor="_Toc18443094" w:history="1">
            <w:r w:rsidRPr="00EC208F">
              <w:rPr>
                <w:rStyle w:val="Hyperlink"/>
                <w:noProof/>
              </w:rPr>
              <w:t>2.5</w:t>
            </w:r>
            <w:r>
              <w:rPr>
                <w:rFonts w:asciiTheme="minorHAnsi" w:hAnsiTheme="minorHAnsi"/>
                <w:noProof/>
                <w:lang w:eastAsia="en-US"/>
              </w:rPr>
              <w:tab/>
            </w:r>
            <w:r w:rsidRPr="00EC208F">
              <w:rPr>
                <w:rStyle w:val="Hyperlink"/>
                <w:noProof/>
              </w:rPr>
              <w:t>Inputs</w:t>
            </w:r>
            <w:r>
              <w:rPr>
                <w:noProof/>
                <w:webHidden/>
              </w:rPr>
              <w:tab/>
            </w:r>
            <w:r>
              <w:rPr>
                <w:noProof/>
                <w:webHidden/>
              </w:rPr>
              <w:fldChar w:fldCharType="begin"/>
            </w:r>
            <w:r>
              <w:rPr>
                <w:noProof/>
                <w:webHidden/>
              </w:rPr>
              <w:instrText xml:space="preserve"> PAGEREF _Toc18443094 \h </w:instrText>
            </w:r>
            <w:r>
              <w:rPr>
                <w:noProof/>
                <w:webHidden/>
              </w:rPr>
            </w:r>
            <w:r>
              <w:rPr>
                <w:noProof/>
                <w:webHidden/>
              </w:rPr>
              <w:fldChar w:fldCharType="separate"/>
            </w:r>
            <w:r w:rsidR="00636BAC">
              <w:rPr>
                <w:noProof/>
                <w:webHidden/>
              </w:rPr>
              <w:t>20</w:t>
            </w:r>
            <w:r>
              <w:rPr>
                <w:noProof/>
                <w:webHidden/>
              </w:rPr>
              <w:fldChar w:fldCharType="end"/>
            </w:r>
          </w:hyperlink>
        </w:p>
        <w:p w14:paraId="684BF68D" w14:textId="24483D4C" w:rsidR="00172CCC" w:rsidRDefault="00172CCC">
          <w:pPr>
            <w:pStyle w:val="TOC3"/>
            <w:tabs>
              <w:tab w:val="left" w:pos="1320"/>
              <w:tab w:val="right" w:leader="dot" w:pos="9350"/>
            </w:tabs>
            <w:rPr>
              <w:rFonts w:asciiTheme="minorHAnsi" w:hAnsiTheme="minorHAnsi"/>
              <w:noProof/>
              <w:lang w:eastAsia="en-US"/>
            </w:rPr>
          </w:pPr>
          <w:hyperlink w:anchor="_Toc18443095" w:history="1">
            <w:r w:rsidRPr="00EC208F">
              <w:rPr>
                <w:rStyle w:val="Hyperlink"/>
                <w:noProof/>
              </w:rPr>
              <w:t>2.5.1</w:t>
            </w:r>
            <w:r>
              <w:rPr>
                <w:rFonts w:asciiTheme="minorHAnsi" w:hAnsiTheme="minorHAnsi"/>
                <w:noProof/>
                <w:lang w:eastAsia="en-US"/>
              </w:rPr>
              <w:tab/>
            </w:r>
            <w:r w:rsidRPr="00EC208F">
              <w:rPr>
                <w:rStyle w:val="Hyperlink"/>
                <w:noProof/>
              </w:rPr>
              <w:t>Climate Inputs</w:t>
            </w:r>
            <w:r>
              <w:rPr>
                <w:noProof/>
                <w:webHidden/>
              </w:rPr>
              <w:tab/>
            </w:r>
            <w:r>
              <w:rPr>
                <w:noProof/>
                <w:webHidden/>
              </w:rPr>
              <w:fldChar w:fldCharType="begin"/>
            </w:r>
            <w:r>
              <w:rPr>
                <w:noProof/>
                <w:webHidden/>
              </w:rPr>
              <w:instrText xml:space="preserve"> PAGEREF _Toc18443095 \h </w:instrText>
            </w:r>
            <w:r>
              <w:rPr>
                <w:noProof/>
                <w:webHidden/>
              </w:rPr>
            </w:r>
            <w:r>
              <w:rPr>
                <w:noProof/>
                <w:webHidden/>
              </w:rPr>
              <w:fldChar w:fldCharType="separate"/>
            </w:r>
            <w:r w:rsidR="00636BAC">
              <w:rPr>
                <w:noProof/>
                <w:webHidden/>
              </w:rPr>
              <w:t>20</w:t>
            </w:r>
            <w:r>
              <w:rPr>
                <w:noProof/>
                <w:webHidden/>
              </w:rPr>
              <w:fldChar w:fldCharType="end"/>
            </w:r>
          </w:hyperlink>
        </w:p>
        <w:p w14:paraId="453E6FA7" w14:textId="5FFD63FC" w:rsidR="00172CCC" w:rsidRDefault="00172CCC">
          <w:pPr>
            <w:pStyle w:val="TOC3"/>
            <w:tabs>
              <w:tab w:val="left" w:pos="1320"/>
              <w:tab w:val="right" w:leader="dot" w:pos="9350"/>
            </w:tabs>
            <w:rPr>
              <w:rFonts w:asciiTheme="minorHAnsi" w:hAnsiTheme="minorHAnsi"/>
              <w:noProof/>
              <w:lang w:eastAsia="en-US"/>
            </w:rPr>
          </w:pPr>
          <w:hyperlink w:anchor="_Toc18443096" w:history="1">
            <w:r w:rsidRPr="00EC208F">
              <w:rPr>
                <w:rStyle w:val="Hyperlink"/>
                <w:noProof/>
              </w:rPr>
              <w:t>2.5.2</w:t>
            </w:r>
            <w:r>
              <w:rPr>
                <w:rFonts w:asciiTheme="minorHAnsi" w:hAnsiTheme="minorHAnsi"/>
                <w:noProof/>
                <w:lang w:eastAsia="en-US"/>
              </w:rPr>
              <w:tab/>
            </w:r>
            <w:r w:rsidRPr="00EC208F">
              <w:rPr>
                <w:rStyle w:val="Hyperlink"/>
                <w:noProof/>
              </w:rPr>
              <w:t>Financial Inputs</w:t>
            </w:r>
            <w:r>
              <w:rPr>
                <w:noProof/>
                <w:webHidden/>
              </w:rPr>
              <w:tab/>
            </w:r>
            <w:r>
              <w:rPr>
                <w:noProof/>
                <w:webHidden/>
              </w:rPr>
              <w:fldChar w:fldCharType="begin"/>
            </w:r>
            <w:r>
              <w:rPr>
                <w:noProof/>
                <w:webHidden/>
              </w:rPr>
              <w:instrText xml:space="preserve"> PAGEREF _Toc18443096 \h </w:instrText>
            </w:r>
            <w:r>
              <w:rPr>
                <w:noProof/>
                <w:webHidden/>
              </w:rPr>
            </w:r>
            <w:r>
              <w:rPr>
                <w:noProof/>
                <w:webHidden/>
              </w:rPr>
              <w:fldChar w:fldCharType="separate"/>
            </w:r>
            <w:r w:rsidR="00636BAC">
              <w:rPr>
                <w:noProof/>
                <w:webHidden/>
              </w:rPr>
              <w:t>21</w:t>
            </w:r>
            <w:r>
              <w:rPr>
                <w:noProof/>
                <w:webHidden/>
              </w:rPr>
              <w:fldChar w:fldCharType="end"/>
            </w:r>
          </w:hyperlink>
        </w:p>
        <w:p w14:paraId="074E3589" w14:textId="4D497D77" w:rsidR="00172CCC" w:rsidRDefault="00172CCC">
          <w:pPr>
            <w:pStyle w:val="TOC2"/>
            <w:tabs>
              <w:tab w:val="left" w:pos="880"/>
              <w:tab w:val="right" w:leader="dot" w:pos="9350"/>
            </w:tabs>
            <w:rPr>
              <w:rFonts w:asciiTheme="minorHAnsi" w:hAnsiTheme="minorHAnsi"/>
              <w:noProof/>
              <w:lang w:eastAsia="en-US"/>
            </w:rPr>
          </w:pPr>
          <w:hyperlink w:anchor="_Toc18443097" w:history="1">
            <w:r w:rsidRPr="00EC208F">
              <w:rPr>
                <w:rStyle w:val="Hyperlink"/>
                <w:noProof/>
              </w:rPr>
              <w:t>2.6</w:t>
            </w:r>
            <w:r>
              <w:rPr>
                <w:rFonts w:asciiTheme="minorHAnsi" w:hAnsiTheme="minorHAnsi"/>
                <w:noProof/>
                <w:lang w:eastAsia="en-US"/>
              </w:rPr>
              <w:tab/>
            </w:r>
            <w:r w:rsidRPr="00EC208F">
              <w:rPr>
                <w:rStyle w:val="Hyperlink"/>
                <w:noProof/>
              </w:rPr>
              <w:t>Assumptions</w:t>
            </w:r>
            <w:r>
              <w:rPr>
                <w:noProof/>
                <w:webHidden/>
              </w:rPr>
              <w:tab/>
            </w:r>
            <w:r>
              <w:rPr>
                <w:noProof/>
                <w:webHidden/>
              </w:rPr>
              <w:fldChar w:fldCharType="begin"/>
            </w:r>
            <w:r>
              <w:rPr>
                <w:noProof/>
                <w:webHidden/>
              </w:rPr>
              <w:instrText xml:space="preserve"> PAGEREF _Toc18443097 \h </w:instrText>
            </w:r>
            <w:r>
              <w:rPr>
                <w:noProof/>
                <w:webHidden/>
              </w:rPr>
            </w:r>
            <w:r>
              <w:rPr>
                <w:noProof/>
                <w:webHidden/>
              </w:rPr>
              <w:fldChar w:fldCharType="separate"/>
            </w:r>
            <w:r w:rsidR="00636BAC">
              <w:rPr>
                <w:noProof/>
                <w:webHidden/>
              </w:rPr>
              <w:t>22</w:t>
            </w:r>
            <w:r>
              <w:rPr>
                <w:noProof/>
                <w:webHidden/>
              </w:rPr>
              <w:fldChar w:fldCharType="end"/>
            </w:r>
          </w:hyperlink>
        </w:p>
        <w:p w14:paraId="5E687068" w14:textId="38C8FE14" w:rsidR="00172CCC" w:rsidRDefault="00172CCC">
          <w:pPr>
            <w:pStyle w:val="TOC2"/>
            <w:tabs>
              <w:tab w:val="left" w:pos="880"/>
              <w:tab w:val="right" w:leader="dot" w:pos="9350"/>
            </w:tabs>
            <w:rPr>
              <w:rFonts w:asciiTheme="minorHAnsi" w:hAnsiTheme="minorHAnsi"/>
              <w:noProof/>
              <w:lang w:eastAsia="en-US"/>
            </w:rPr>
          </w:pPr>
          <w:hyperlink w:anchor="_Toc18443098" w:history="1">
            <w:r w:rsidRPr="00EC208F">
              <w:rPr>
                <w:rStyle w:val="Hyperlink"/>
                <w:noProof/>
              </w:rPr>
              <w:t>2.7</w:t>
            </w:r>
            <w:r>
              <w:rPr>
                <w:rFonts w:asciiTheme="minorHAnsi" w:hAnsiTheme="minorHAnsi"/>
                <w:noProof/>
                <w:lang w:eastAsia="en-US"/>
              </w:rPr>
              <w:tab/>
            </w:r>
            <w:r w:rsidRPr="00EC208F">
              <w:rPr>
                <w:rStyle w:val="Hyperlink"/>
                <w:noProof/>
              </w:rPr>
              <w:t>Integration</w:t>
            </w:r>
            <w:r>
              <w:rPr>
                <w:noProof/>
                <w:webHidden/>
              </w:rPr>
              <w:tab/>
            </w:r>
            <w:r>
              <w:rPr>
                <w:noProof/>
                <w:webHidden/>
              </w:rPr>
              <w:fldChar w:fldCharType="begin"/>
            </w:r>
            <w:r>
              <w:rPr>
                <w:noProof/>
                <w:webHidden/>
              </w:rPr>
              <w:instrText xml:space="preserve"> PAGEREF _Toc18443098 \h </w:instrText>
            </w:r>
            <w:r>
              <w:rPr>
                <w:noProof/>
                <w:webHidden/>
              </w:rPr>
            </w:r>
            <w:r>
              <w:rPr>
                <w:noProof/>
                <w:webHidden/>
              </w:rPr>
              <w:fldChar w:fldCharType="separate"/>
            </w:r>
            <w:r w:rsidR="00636BAC">
              <w:rPr>
                <w:noProof/>
                <w:webHidden/>
              </w:rPr>
              <w:t>23</w:t>
            </w:r>
            <w:r>
              <w:rPr>
                <w:noProof/>
                <w:webHidden/>
              </w:rPr>
              <w:fldChar w:fldCharType="end"/>
            </w:r>
          </w:hyperlink>
        </w:p>
        <w:p w14:paraId="67AD22FD" w14:textId="4521C332" w:rsidR="00172CCC" w:rsidRDefault="00172CCC">
          <w:pPr>
            <w:pStyle w:val="TOC2"/>
            <w:tabs>
              <w:tab w:val="left" w:pos="880"/>
              <w:tab w:val="right" w:leader="dot" w:pos="9350"/>
            </w:tabs>
            <w:rPr>
              <w:rFonts w:asciiTheme="minorHAnsi" w:hAnsiTheme="minorHAnsi"/>
              <w:noProof/>
              <w:lang w:eastAsia="en-US"/>
            </w:rPr>
          </w:pPr>
          <w:hyperlink w:anchor="_Toc18443099" w:history="1">
            <w:r w:rsidRPr="00EC208F">
              <w:rPr>
                <w:rStyle w:val="Hyperlink"/>
                <w:noProof/>
              </w:rPr>
              <w:t>2.8</w:t>
            </w:r>
            <w:r>
              <w:rPr>
                <w:rFonts w:asciiTheme="minorHAnsi" w:hAnsiTheme="minorHAnsi"/>
                <w:noProof/>
                <w:lang w:eastAsia="en-US"/>
              </w:rPr>
              <w:tab/>
            </w:r>
            <w:r w:rsidRPr="00EC208F">
              <w:rPr>
                <w:rStyle w:val="Hyperlink"/>
                <w:noProof/>
              </w:rPr>
              <w:t>Limitations/Further Development</w:t>
            </w:r>
            <w:r>
              <w:rPr>
                <w:noProof/>
                <w:webHidden/>
              </w:rPr>
              <w:tab/>
            </w:r>
            <w:r>
              <w:rPr>
                <w:noProof/>
                <w:webHidden/>
              </w:rPr>
              <w:fldChar w:fldCharType="begin"/>
            </w:r>
            <w:r>
              <w:rPr>
                <w:noProof/>
                <w:webHidden/>
              </w:rPr>
              <w:instrText xml:space="preserve"> PAGEREF _Toc18443099 \h </w:instrText>
            </w:r>
            <w:r>
              <w:rPr>
                <w:noProof/>
                <w:webHidden/>
              </w:rPr>
            </w:r>
            <w:r>
              <w:rPr>
                <w:noProof/>
                <w:webHidden/>
              </w:rPr>
              <w:fldChar w:fldCharType="separate"/>
            </w:r>
            <w:r w:rsidR="00636BAC">
              <w:rPr>
                <w:noProof/>
                <w:webHidden/>
              </w:rPr>
              <w:t>26</w:t>
            </w:r>
            <w:r>
              <w:rPr>
                <w:noProof/>
                <w:webHidden/>
              </w:rPr>
              <w:fldChar w:fldCharType="end"/>
            </w:r>
          </w:hyperlink>
        </w:p>
        <w:p w14:paraId="7824429C" w14:textId="29615ADF" w:rsidR="00172CCC" w:rsidRDefault="00172CCC">
          <w:pPr>
            <w:pStyle w:val="TOC1"/>
            <w:tabs>
              <w:tab w:val="left" w:pos="440"/>
              <w:tab w:val="right" w:leader="dot" w:pos="9350"/>
            </w:tabs>
            <w:rPr>
              <w:rFonts w:asciiTheme="minorHAnsi" w:hAnsiTheme="minorHAnsi"/>
              <w:noProof/>
              <w:lang w:eastAsia="en-US"/>
            </w:rPr>
          </w:pPr>
          <w:hyperlink w:anchor="_Toc18443100" w:history="1">
            <w:r w:rsidRPr="00EC208F">
              <w:rPr>
                <w:rStyle w:val="Hyperlink"/>
                <w:noProof/>
              </w:rPr>
              <w:t>3</w:t>
            </w:r>
            <w:r>
              <w:rPr>
                <w:rFonts w:asciiTheme="minorHAnsi" w:hAnsiTheme="minorHAnsi"/>
                <w:noProof/>
                <w:lang w:eastAsia="en-US"/>
              </w:rPr>
              <w:tab/>
            </w:r>
            <w:r w:rsidRPr="00EC208F">
              <w:rPr>
                <w:rStyle w:val="Hyperlink"/>
                <w:noProof/>
              </w:rPr>
              <w:t>Results</w:t>
            </w:r>
            <w:r>
              <w:rPr>
                <w:noProof/>
                <w:webHidden/>
              </w:rPr>
              <w:tab/>
            </w:r>
            <w:r>
              <w:rPr>
                <w:noProof/>
                <w:webHidden/>
              </w:rPr>
              <w:fldChar w:fldCharType="begin"/>
            </w:r>
            <w:r>
              <w:rPr>
                <w:noProof/>
                <w:webHidden/>
              </w:rPr>
              <w:instrText xml:space="preserve"> PAGEREF _Toc18443100 \h </w:instrText>
            </w:r>
            <w:r>
              <w:rPr>
                <w:noProof/>
                <w:webHidden/>
              </w:rPr>
            </w:r>
            <w:r>
              <w:rPr>
                <w:noProof/>
                <w:webHidden/>
              </w:rPr>
              <w:fldChar w:fldCharType="separate"/>
            </w:r>
            <w:r w:rsidR="00636BAC">
              <w:rPr>
                <w:noProof/>
                <w:webHidden/>
              </w:rPr>
              <w:t>27</w:t>
            </w:r>
            <w:r>
              <w:rPr>
                <w:noProof/>
                <w:webHidden/>
              </w:rPr>
              <w:fldChar w:fldCharType="end"/>
            </w:r>
          </w:hyperlink>
        </w:p>
        <w:p w14:paraId="221C60CC" w14:textId="596F17F7" w:rsidR="00172CCC" w:rsidRDefault="00172CCC">
          <w:pPr>
            <w:pStyle w:val="TOC2"/>
            <w:tabs>
              <w:tab w:val="left" w:pos="880"/>
              <w:tab w:val="right" w:leader="dot" w:pos="9350"/>
            </w:tabs>
            <w:rPr>
              <w:rFonts w:asciiTheme="minorHAnsi" w:hAnsiTheme="minorHAnsi"/>
              <w:noProof/>
              <w:lang w:eastAsia="en-US"/>
            </w:rPr>
          </w:pPr>
          <w:hyperlink w:anchor="_Toc18443101" w:history="1">
            <w:r w:rsidRPr="00EC208F">
              <w:rPr>
                <w:rStyle w:val="Hyperlink"/>
                <w:noProof/>
              </w:rPr>
              <w:t>3.2</w:t>
            </w:r>
            <w:r>
              <w:rPr>
                <w:rFonts w:asciiTheme="minorHAnsi" w:hAnsiTheme="minorHAnsi"/>
                <w:noProof/>
                <w:lang w:eastAsia="en-US"/>
              </w:rPr>
              <w:tab/>
            </w:r>
            <w:r w:rsidRPr="00EC208F">
              <w:rPr>
                <w:rStyle w:val="Hyperlink"/>
                <w:noProof/>
              </w:rPr>
              <w:t>Adoption</w:t>
            </w:r>
            <w:r>
              <w:rPr>
                <w:noProof/>
                <w:webHidden/>
              </w:rPr>
              <w:tab/>
            </w:r>
            <w:r>
              <w:rPr>
                <w:noProof/>
                <w:webHidden/>
              </w:rPr>
              <w:fldChar w:fldCharType="begin"/>
            </w:r>
            <w:r>
              <w:rPr>
                <w:noProof/>
                <w:webHidden/>
              </w:rPr>
              <w:instrText xml:space="preserve"> PAGEREF _Toc18443101 \h </w:instrText>
            </w:r>
            <w:r>
              <w:rPr>
                <w:noProof/>
                <w:webHidden/>
              </w:rPr>
            </w:r>
            <w:r>
              <w:rPr>
                <w:noProof/>
                <w:webHidden/>
              </w:rPr>
              <w:fldChar w:fldCharType="separate"/>
            </w:r>
            <w:r w:rsidR="00636BAC">
              <w:rPr>
                <w:noProof/>
                <w:webHidden/>
              </w:rPr>
              <w:t>27</w:t>
            </w:r>
            <w:r>
              <w:rPr>
                <w:noProof/>
                <w:webHidden/>
              </w:rPr>
              <w:fldChar w:fldCharType="end"/>
            </w:r>
          </w:hyperlink>
        </w:p>
        <w:p w14:paraId="35BA2AFB" w14:textId="492AE03C" w:rsidR="00172CCC" w:rsidRDefault="00172CCC">
          <w:pPr>
            <w:pStyle w:val="TOC2"/>
            <w:tabs>
              <w:tab w:val="left" w:pos="880"/>
              <w:tab w:val="right" w:leader="dot" w:pos="9350"/>
            </w:tabs>
            <w:rPr>
              <w:rFonts w:asciiTheme="minorHAnsi" w:hAnsiTheme="minorHAnsi"/>
              <w:noProof/>
              <w:lang w:eastAsia="en-US"/>
            </w:rPr>
          </w:pPr>
          <w:hyperlink w:anchor="_Toc18443102" w:history="1">
            <w:r w:rsidRPr="00EC208F">
              <w:rPr>
                <w:rStyle w:val="Hyperlink"/>
                <w:noProof/>
              </w:rPr>
              <w:t>3.3</w:t>
            </w:r>
            <w:r>
              <w:rPr>
                <w:rFonts w:asciiTheme="minorHAnsi" w:hAnsiTheme="minorHAnsi"/>
                <w:noProof/>
                <w:lang w:eastAsia="en-US"/>
              </w:rPr>
              <w:tab/>
            </w:r>
            <w:r w:rsidRPr="00EC208F">
              <w:rPr>
                <w:rStyle w:val="Hyperlink"/>
                <w:noProof/>
              </w:rPr>
              <w:t>Climate Impacts</w:t>
            </w:r>
            <w:r>
              <w:rPr>
                <w:noProof/>
                <w:webHidden/>
              </w:rPr>
              <w:tab/>
            </w:r>
            <w:r>
              <w:rPr>
                <w:noProof/>
                <w:webHidden/>
              </w:rPr>
              <w:fldChar w:fldCharType="begin"/>
            </w:r>
            <w:r>
              <w:rPr>
                <w:noProof/>
                <w:webHidden/>
              </w:rPr>
              <w:instrText xml:space="preserve"> PAGEREF _Toc18443102 \h </w:instrText>
            </w:r>
            <w:r>
              <w:rPr>
                <w:noProof/>
                <w:webHidden/>
              </w:rPr>
            </w:r>
            <w:r>
              <w:rPr>
                <w:noProof/>
                <w:webHidden/>
              </w:rPr>
              <w:fldChar w:fldCharType="separate"/>
            </w:r>
            <w:r w:rsidR="00636BAC">
              <w:rPr>
                <w:noProof/>
                <w:webHidden/>
              </w:rPr>
              <w:t>29</w:t>
            </w:r>
            <w:r>
              <w:rPr>
                <w:noProof/>
                <w:webHidden/>
              </w:rPr>
              <w:fldChar w:fldCharType="end"/>
            </w:r>
          </w:hyperlink>
        </w:p>
        <w:p w14:paraId="420FB3DA" w14:textId="6BAEC6E0" w:rsidR="00172CCC" w:rsidRDefault="00172CCC">
          <w:pPr>
            <w:pStyle w:val="TOC2"/>
            <w:tabs>
              <w:tab w:val="left" w:pos="880"/>
              <w:tab w:val="right" w:leader="dot" w:pos="9350"/>
            </w:tabs>
            <w:rPr>
              <w:rFonts w:asciiTheme="minorHAnsi" w:hAnsiTheme="minorHAnsi"/>
              <w:noProof/>
              <w:lang w:eastAsia="en-US"/>
            </w:rPr>
          </w:pPr>
          <w:hyperlink w:anchor="_Toc18443103" w:history="1">
            <w:r w:rsidRPr="00EC208F">
              <w:rPr>
                <w:rStyle w:val="Hyperlink"/>
                <w:noProof/>
              </w:rPr>
              <w:t>3.4</w:t>
            </w:r>
            <w:r>
              <w:rPr>
                <w:rFonts w:asciiTheme="minorHAnsi" w:hAnsiTheme="minorHAnsi"/>
                <w:noProof/>
                <w:lang w:eastAsia="en-US"/>
              </w:rPr>
              <w:tab/>
            </w:r>
            <w:r w:rsidRPr="00EC208F">
              <w:rPr>
                <w:rStyle w:val="Hyperlink"/>
                <w:noProof/>
              </w:rPr>
              <w:t>Financial Impacts</w:t>
            </w:r>
            <w:r>
              <w:rPr>
                <w:noProof/>
                <w:webHidden/>
              </w:rPr>
              <w:tab/>
            </w:r>
            <w:r>
              <w:rPr>
                <w:noProof/>
                <w:webHidden/>
              </w:rPr>
              <w:fldChar w:fldCharType="begin"/>
            </w:r>
            <w:r>
              <w:rPr>
                <w:noProof/>
                <w:webHidden/>
              </w:rPr>
              <w:instrText xml:space="preserve"> PAGEREF _Toc18443103 \h </w:instrText>
            </w:r>
            <w:r>
              <w:rPr>
                <w:noProof/>
                <w:webHidden/>
              </w:rPr>
            </w:r>
            <w:r>
              <w:rPr>
                <w:noProof/>
                <w:webHidden/>
              </w:rPr>
              <w:fldChar w:fldCharType="separate"/>
            </w:r>
            <w:r w:rsidR="00636BAC">
              <w:rPr>
                <w:noProof/>
                <w:webHidden/>
              </w:rPr>
              <w:t>30</w:t>
            </w:r>
            <w:r>
              <w:rPr>
                <w:noProof/>
                <w:webHidden/>
              </w:rPr>
              <w:fldChar w:fldCharType="end"/>
            </w:r>
          </w:hyperlink>
        </w:p>
        <w:p w14:paraId="6F7395C6" w14:textId="2E5DB798" w:rsidR="00172CCC" w:rsidRDefault="00172CCC">
          <w:pPr>
            <w:pStyle w:val="TOC1"/>
            <w:tabs>
              <w:tab w:val="left" w:pos="440"/>
              <w:tab w:val="right" w:leader="dot" w:pos="9350"/>
            </w:tabs>
            <w:rPr>
              <w:rFonts w:asciiTheme="minorHAnsi" w:hAnsiTheme="minorHAnsi"/>
              <w:noProof/>
              <w:lang w:eastAsia="en-US"/>
            </w:rPr>
          </w:pPr>
          <w:hyperlink w:anchor="_Toc18443104" w:history="1">
            <w:r w:rsidRPr="00EC208F">
              <w:rPr>
                <w:rStyle w:val="Hyperlink"/>
                <w:noProof/>
              </w:rPr>
              <w:t>4</w:t>
            </w:r>
            <w:r>
              <w:rPr>
                <w:rFonts w:asciiTheme="minorHAnsi" w:hAnsiTheme="minorHAnsi"/>
                <w:noProof/>
                <w:lang w:eastAsia="en-US"/>
              </w:rPr>
              <w:tab/>
            </w:r>
            <w:r w:rsidRPr="00EC208F">
              <w:rPr>
                <w:rStyle w:val="Hyperlink"/>
                <w:noProof/>
              </w:rPr>
              <w:t>Discussion</w:t>
            </w:r>
            <w:r>
              <w:rPr>
                <w:noProof/>
                <w:webHidden/>
              </w:rPr>
              <w:tab/>
            </w:r>
            <w:r>
              <w:rPr>
                <w:noProof/>
                <w:webHidden/>
              </w:rPr>
              <w:fldChar w:fldCharType="begin"/>
            </w:r>
            <w:r>
              <w:rPr>
                <w:noProof/>
                <w:webHidden/>
              </w:rPr>
              <w:instrText xml:space="preserve"> PAGEREF _Toc18443104 \h </w:instrText>
            </w:r>
            <w:r>
              <w:rPr>
                <w:noProof/>
                <w:webHidden/>
              </w:rPr>
            </w:r>
            <w:r>
              <w:rPr>
                <w:noProof/>
                <w:webHidden/>
              </w:rPr>
              <w:fldChar w:fldCharType="separate"/>
            </w:r>
            <w:r w:rsidR="00636BAC">
              <w:rPr>
                <w:noProof/>
                <w:webHidden/>
              </w:rPr>
              <w:t>33</w:t>
            </w:r>
            <w:r>
              <w:rPr>
                <w:noProof/>
                <w:webHidden/>
              </w:rPr>
              <w:fldChar w:fldCharType="end"/>
            </w:r>
          </w:hyperlink>
        </w:p>
        <w:p w14:paraId="4045B621" w14:textId="5CA29627" w:rsidR="00172CCC" w:rsidRDefault="00172CCC">
          <w:pPr>
            <w:pStyle w:val="TOC2"/>
            <w:tabs>
              <w:tab w:val="left" w:pos="880"/>
              <w:tab w:val="right" w:leader="dot" w:pos="9350"/>
            </w:tabs>
            <w:rPr>
              <w:rFonts w:asciiTheme="minorHAnsi" w:hAnsiTheme="minorHAnsi"/>
              <w:noProof/>
              <w:lang w:eastAsia="en-US"/>
            </w:rPr>
          </w:pPr>
          <w:hyperlink w:anchor="_Toc18443105" w:history="1">
            <w:r w:rsidRPr="00EC208F">
              <w:rPr>
                <w:rStyle w:val="Hyperlink"/>
                <w:noProof/>
              </w:rPr>
              <w:t>4.2</w:t>
            </w:r>
            <w:r>
              <w:rPr>
                <w:rFonts w:asciiTheme="minorHAnsi" w:hAnsiTheme="minorHAnsi"/>
                <w:noProof/>
                <w:lang w:eastAsia="en-US"/>
              </w:rPr>
              <w:tab/>
            </w:r>
            <w:r w:rsidRPr="00EC208F">
              <w:rPr>
                <w:rStyle w:val="Hyperlink"/>
                <w:noProof/>
              </w:rPr>
              <w:t>Limitations</w:t>
            </w:r>
            <w:r>
              <w:rPr>
                <w:noProof/>
                <w:webHidden/>
              </w:rPr>
              <w:tab/>
            </w:r>
            <w:r>
              <w:rPr>
                <w:noProof/>
                <w:webHidden/>
              </w:rPr>
              <w:fldChar w:fldCharType="begin"/>
            </w:r>
            <w:r>
              <w:rPr>
                <w:noProof/>
                <w:webHidden/>
              </w:rPr>
              <w:instrText xml:space="preserve"> PAGEREF _Toc18443105 \h </w:instrText>
            </w:r>
            <w:r>
              <w:rPr>
                <w:noProof/>
                <w:webHidden/>
              </w:rPr>
            </w:r>
            <w:r>
              <w:rPr>
                <w:noProof/>
                <w:webHidden/>
              </w:rPr>
              <w:fldChar w:fldCharType="separate"/>
            </w:r>
            <w:r w:rsidR="00636BAC">
              <w:rPr>
                <w:noProof/>
                <w:webHidden/>
              </w:rPr>
              <w:t>34</w:t>
            </w:r>
            <w:r>
              <w:rPr>
                <w:noProof/>
                <w:webHidden/>
              </w:rPr>
              <w:fldChar w:fldCharType="end"/>
            </w:r>
          </w:hyperlink>
        </w:p>
        <w:p w14:paraId="4D68EABA" w14:textId="67BD5679" w:rsidR="00172CCC" w:rsidRDefault="00172CCC">
          <w:pPr>
            <w:pStyle w:val="TOC2"/>
            <w:tabs>
              <w:tab w:val="left" w:pos="880"/>
              <w:tab w:val="right" w:leader="dot" w:pos="9350"/>
            </w:tabs>
            <w:rPr>
              <w:rFonts w:asciiTheme="minorHAnsi" w:hAnsiTheme="minorHAnsi"/>
              <w:noProof/>
              <w:lang w:eastAsia="en-US"/>
            </w:rPr>
          </w:pPr>
          <w:hyperlink w:anchor="_Toc18443106" w:history="1">
            <w:r w:rsidRPr="00EC208F">
              <w:rPr>
                <w:rStyle w:val="Hyperlink"/>
                <w:noProof/>
              </w:rPr>
              <w:t>4.3</w:t>
            </w:r>
            <w:r>
              <w:rPr>
                <w:rFonts w:asciiTheme="minorHAnsi" w:hAnsiTheme="minorHAnsi"/>
                <w:noProof/>
                <w:lang w:eastAsia="en-US"/>
              </w:rPr>
              <w:tab/>
            </w:r>
            <w:r w:rsidRPr="00EC208F">
              <w:rPr>
                <w:rStyle w:val="Hyperlink"/>
                <w:noProof/>
              </w:rPr>
              <w:t>Benchmarks</w:t>
            </w:r>
            <w:r>
              <w:rPr>
                <w:noProof/>
                <w:webHidden/>
              </w:rPr>
              <w:tab/>
            </w:r>
            <w:r>
              <w:rPr>
                <w:noProof/>
                <w:webHidden/>
              </w:rPr>
              <w:fldChar w:fldCharType="begin"/>
            </w:r>
            <w:r>
              <w:rPr>
                <w:noProof/>
                <w:webHidden/>
              </w:rPr>
              <w:instrText xml:space="preserve"> PAGEREF _Toc18443106 \h </w:instrText>
            </w:r>
            <w:r>
              <w:rPr>
                <w:noProof/>
                <w:webHidden/>
              </w:rPr>
            </w:r>
            <w:r>
              <w:rPr>
                <w:noProof/>
                <w:webHidden/>
              </w:rPr>
              <w:fldChar w:fldCharType="separate"/>
            </w:r>
            <w:r w:rsidR="00636BAC">
              <w:rPr>
                <w:noProof/>
                <w:webHidden/>
              </w:rPr>
              <w:t>34</w:t>
            </w:r>
            <w:r>
              <w:rPr>
                <w:noProof/>
                <w:webHidden/>
              </w:rPr>
              <w:fldChar w:fldCharType="end"/>
            </w:r>
          </w:hyperlink>
        </w:p>
        <w:p w14:paraId="4D01BA23" w14:textId="757EB126" w:rsidR="00172CCC" w:rsidRDefault="00172CCC">
          <w:pPr>
            <w:pStyle w:val="TOC1"/>
            <w:tabs>
              <w:tab w:val="left" w:pos="440"/>
              <w:tab w:val="right" w:leader="dot" w:pos="9350"/>
            </w:tabs>
            <w:rPr>
              <w:rFonts w:asciiTheme="minorHAnsi" w:hAnsiTheme="minorHAnsi"/>
              <w:noProof/>
              <w:lang w:eastAsia="en-US"/>
            </w:rPr>
          </w:pPr>
          <w:hyperlink w:anchor="_Toc18443107" w:history="1">
            <w:r w:rsidRPr="00EC208F">
              <w:rPr>
                <w:rStyle w:val="Hyperlink"/>
                <w:noProof/>
              </w:rPr>
              <w:t>5</w:t>
            </w:r>
            <w:r>
              <w:rPr>
                <w:rFonts w:asciiTheme="minorHAnsi" w:hAnsiTheme="minorHAnsi"/>
                <w:noProof/>
                <w:lang w:eastAsia="en-US"/>
              </w:rPr>
              <w:tab/>
            </w:r>
            <w:r w:rsidRPr="00EC208F">
              <w:rPr>
                <w:rStyle w:val="Hyperlink"/>
                <w:noProof/>
              </w:rPr>
              <w:t>References</w:t>
            </w:r>
            <w:r>
              <w:rPr>
                <w:noProof/>
                <w:webHidden/>
              </w:rPr>
              <w:tab/>
            </w:r>
            <w:r>
              <w:rPr>
                <w:noProof/>
                <w:webHidden/>
              </w:rPr>
              <w:fldChar w:fldCharType="begin"/>
            </w:r>
            <w:r>
              <w:rPr>
                <w:noProof/>
                <w:webHidden/>
              </w:rPr>
              <w:instrText xml:space="preserve"> PAGEREF _Toc18443107 \h </w:instrText>
            </w:r>
            <w:r>
              <w:rPr>
                <w:noProof/>
                <w:webHidden/>
              </w:rPr>
            </w:r>
            <w:r>
              <w:rPr>
                <w:noProof/>
                <w:webHidden/>
              </w:rPr>
              <w:fldChar w:fldCharType="separate"/>
            </w:r>
            <w:r w:rsidR="00636BAC">
              <w:rPr>
                <w:noProof/>
                <w:webHidden/>
              </w:rPr>
              <w:t>36</w:t>
            </w:r>
            <w:r>
              <w:rPr>
                <w:noProof/>
                <w:webHidden/>
              </w:rPr>
              <w:fldChar w:fldCharType="end"/>
            </w:r>
          </w:hyperlink>
        </w:p>
        <w:p w14:paraId="564E9F04" w14:textId="0D67388D" w:rsidR="00172CCC" w:rsidRDefault="00172CCC">
          <w:pPr>
            <w:pStyle w:val="TOC1"/>
            <w:tabs>
              <w:tab w:val="left" w:pos="440"/>
              <w:tab w:val="right" w:leader="dot" w:pos="9350"/>
            </w:tabs>
            <w:rPr>
              <w:rFonts w:asciiTheme="minorHAnsi" w:hAnsiTheme="minorHAnsi"/>
              <w:noProof/>
              <w:lang w:eastAsia="en-US"/>
            </w:rPr>
          </w:pPr>
          <w:hyperlink w:anchor="_Toc18443108" w:history="1">
            <w:r w:rsidRPr="00EC208F">
              <w:rPr>
                <w:rStyle w:val="Hyperlink"/>
                <w:noProof/>
              </w:rPr>
              <w:t>6</w:t>
            </w:r>
            <w:r>
              <w:rPr>
                <w:rFonts w:asciiTheme="minorHAnsi" w:hAnsiTheme="minorHAnsi"/>
                <w:noProof/>
                <w:lang w:eastAsia="en-US"/>
              </w:rPr>
              <w:tab/>
            </w:r>
            <w:r w:rsidRPr="00EC208F">
              <w:rPr>
                <w:rStyle w:val="Hyperlink"/>
                <w:noProof/>
              </w:rPr>
              <w:t>Glossary</w:t>
            </w:r>
            <w:r>
              <w:rPr>
                <w:noProof/>
                <w:webHidden/>
              </w:rPr>
              <w:tab/>
            </w:r>
            <w:r>
              <w:rPr>
                <w:noProof/>
                <w:webHidden/>
              </w:rPr>
              <w:fldChar w:fldCharType="begin"/>
            </w:r>
            <w:r>
              <w:rPr>
                <w:noProof/>
                <w:webHidden/>
              </w:rPr>
              <w:instrText xml:space="preserve"> PAGEREF _Toc18443108 \h </w:instrText>
            </w:r>
            <w:r>
              <w:rPr>
                <w:noProof/>
                <w:webHidden/>
              </w:rPr>
            </w:r>
            <w:r>
              <w:rPr>
                <w:noProof/>
                <w:webHidden/>
              </w:rPr>
              <w:fldChar w:fldCharType="separate"/>
            </w:r>
            <w:r w:rsidR="00636BAC">
              <w:rPr>
                <w:noProof/>
                <w:webHidden/>
              </w:rPr>
              <w:t>41</w:t>
            </w:r>
            <w:r>
              <w:rPr>
                <w:noProof/>
                <w:webHidden/>
              </w:rPr>
              <w:fldChar w:fldCharType="end"/>
            </w:r>
          </w:hyperlink>
        </w:p>
        <w:p w14:paraId="12C7DAF6" w14:textId="5783F315"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DB4CC8">
      <w:pPr>
        <w:pStyle w:val="Heading1"/>
        <w:numPr>
          <w:ilvl w:val="0"/>
          <w:numId w:val="0"/>
        </w:numPr>
        <w:rPr>
          <w:noProof/>
        </w:rPr>
      </w:pPr>
      <w:bookmarkStart w:id="0" w:name="_Toc18443073"/>
      <w:r>
        <w:rPr>
          <w:noProof/>
        </w:rPr>
        <w:lastRenderedPageBreak/>
        <w:t xml:space="preserve">List of </w:t>
      </w:r>
      <w:r w:rsidR="2D56E7D4" w:rsidRPr="2D56E7D4">
        <w:rPr>
          <w:noProof/>
        </w:rPr>
        <w:t>Figures</w:t>
      </w:r>
      <w:bookmarkEnd w:id="0"/>
    </w:p>
    <w:p w14:paraId="5A110700" w14:textId="11D00F8F" w:rsidR="00172CCC" w:rsidRPr="00172CCC"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3109" w:history="1">
        <w:r w:rsidR="00172CCC" w:rsidRPr="00172CCC">
          <w:rPr>
            <w:rStyle w:val="Hyperlink"/>
            <w:noProof/>
          </w:rPr>
          <w:t>Figure 3.1 World Annual Adoption 2020-2050 in Mha (a) and as a percentage of TLA (b).</w:t>
        </w:r>
        <w:r w:rsidR="00172CCC" w:rsidRPr="00172CCC">
          <w:rPr>
            <w:noProof/>
            <w:webHidden/>
          </w:rPr>
          <w:tab/>
        </w:r>
        <w:r w:rsidR="00172CCC" w:rsidRPr="00172CCC">
          <w:rPr>
            <w:noProof/>
            <w:webHidden/>
          </w:rPr>
          <w:fldChar w:fldCharType="begin"/>
        </w:r>
        <w:r w:rsidR="00172CCC" w:rsidRPr="00172CCC">
          <w:rPr>
            <w:noProof/>
            <w:webHidden/>
          </w:rPr>
          <w:instrText xml:space="preserve"> PAGEREF _Toc18443109 \h </w:instrText>
        </w:r>
        <w:r w:rsidR="00172CCC" w:rsidRPr="00172CCC">
          <w:rPr>
            <w:noProof/>
            <w:webHidden/>
          </w:rPr>
        </w:r>
        <w:r w:rsidR="00172CCC" w:rsidRPr="00172CCC">
          <w:rPr>
            <w:noProof/>
            <w:webHidden/>
          </w:rPr>
          <w:fldChar w:fldCharType="separate"/>
        </w:r>
        <w:r w:rsidR="00636BAC">
          <w:rPr>
            <w:noProof/>
            <w:webHidden/>
          </w:rPr>
          <w:t>28</w:t>
        </w:r>
        <w:r w:rsidR="00172CCC" w:rsidRPr="00172CCC">
          <w:rPr>
            <w:noProof/>
            <w:webHidden/>
          </w:rPr>
          <w:fldChar w:fldCharType="end"/>
        </w:r>
      </w:hyperlink>
    </w:p>
    <w:p w14:paraId="5A46607E" w14:textId="5061E510" w:rsidR="00172CCC" w:rsidRPr="00172CCC" w:rsidRDefault="00172CCC">
      <w:pPr>
        <w:pStyle w:val="TableofFigures"/>
        <w:tabs>
          <w:tab w:val="right" w:leader="dot" w:pos="9350"/>
        </w:tabs>
        <w:rPr>
          <w:rFonts w:asciiTheme="minorHAnsi" w:hAnsiTheme="minorHAnsi"/>
          <w:noProof/>
          <w:lang w:eastAsia="en-US"/>
        </w:rPr>
      </w:pPr>
      <w:hyperlink w:anchor="_Toc18443110" w:history="1">
        <w:r w:rsidRPr="00172CCC">
          <w:rPr>
            <w:rStyle w:val="Hyperlink"/>
            <w:noProof/>
          </w:rPr>
          <w:t>Figure 3.2 World Annual Greenhouse Gas Emissions Reduction</w:t>
        </w:r>
        <w:r w:rsidRPr="00172CCC">
          <w:rPr>
            <w:noProof/>
            <w:webHidden/>
          </w:rPr>
          <w:tab/>
        </w:r>
        <w:r w:rsidRPr="00172CCC">
          <w:rPr>
            <w:noProof/>
            <w:webHidden/>
          </w:rPr>
          <w:fldChar w:fldCharType="begin"/>
        </w:r>
        <w:r w:rsidRPr="00172CCC">
          <w:rPr>
            <w:noProof/>
            <w:webHidden/>
          </w:rPr>
          <w:instrText xml:space="preserve"> PAGEREF _Toc18443110 \h </w:instrText>
        </w:r>
        <w:r w:rsidRPr="00172CCC">
          <w:rPr>
            <w:noProof/>
            <w:webHidden/>
          </w:rPr>
        </w:r>
        <w:r w:rsidRPr="00172CCC">
          <w:rPr>
            <w:noProof/>
            <w:webHidden/>
          </w:rPr>
          <w:fldChar w:fldCharType="separate"/>
        </w:r>
        <w:r w:rsidR="00636BAC">
          <w:rPr>
            <w:noProof/>
            <w:webHidden/>
          </w:rPr>
          <w:t>30</w:t>
        </w:r>
        <w:r w:rsidRPr="00172CCC">
          <w:rPr>
            <w:noProof/>
            <w:webHidden/>
          </w:rPr>
          <w:fldChar w:fldCharType="end"/>
        </w:r>
      </w:hyperlink>
    </w:p>
    <w:p w14:paraId="58F0A547" w14:textId="70061333" w:rsidR="00172CCC" w:rsidRPr="00172CCC" w:rsidRDefault="00172CCC">
      <w:pPr>
        <w:pStyle w:val="TableofFigures"/>
        <w:tabs>
          <w:tab w:val="right" w:leader="dot" w:pos="9350"/>
        </w:tabs>
        <w:rPr>
          <w:rFonts w:asciiTheme="minorHAnsi" w:hAnsiTheme="minorHAnsi"/>
          <w:noProof/>
          <w:lang w:eastAsia="en-US"/>
        </w:rPr>
      </w:pPr>
      <w:hyperlink w:anchor="_Toc18443111" w:history="1">
        <w:r w:rsidRPr="00172CCC">
          <w:rPr>
            <w:rStyle w:val="Hyperlink"/>
            <w:noProof/>
          </w:rPr>
          <w:t>Figure 3.3 Net Profit Margin Increase</w:t>
        </w:r>
        <w:r w:rsidRPr="00172CCC">
          <w:rPr>
            <w:noProof/>
            <w:webHidden/>
          </w:rPr>
          <w:tab/>
        </w:r>
        <w:r w:rsidRPr="00172CCC">
          <w:rPr>
            <w:noProof/>
            <w:webHidden/>
          </w:rPr>
          <w:fldChar w:fldCharType="begin"/>
        </w:r>
        <w:r w:rsidRPr="00172CCC">
          <w:rPr>
            <w:noProof/>
            <w:webHidden/>
          </w:rPr>
          <w:instrText xml:space="preserve"> PAGEREF _Toc18443111 \h </w:instrText>
        </w:r>
        <w:r w:rsidRPr="00172CCC">
          <w:rPr>
            <w:noProof/>
            <w:webHidden/>
          </w:rPr>
        </w:r>
        <w:r w:rsidRPr="00172CCC">
          <w:rPr>
            <w:noProof/>
            <w:webHidden/>
          </w:rPr>
          <w:fldChar w:fldCharType="separate"/>
        </w:r>
        <w:r w:rsidR="00636BAC">
          <w:rPr>
            <w:noProof/>
            <w:webHidden/>
          </w:rPr>
          <w:t>32</w:t>
        </w:r>
        <w:r w:rsidRPr="00172CCC">
          <w:rPr>
            <w:noProof/>
            <w:webHidden/>
          </w:rPr>
          <w:fldChar w:fldCharType="end"/>
        </w:r>
      </w:hyperlink>
    </w:p>
    <w:p w14:paraId="5AD133BD" w14:textId="675F9CD8" w:rsidR="00640665" w:rsidRPr="003A0234" w:rsidRDefault="00F15AEE" w:rsidP="00DB4CC8">
      <w:r w:rsidRPr="003A0234">
        <w:fldChar w:fldCharType="end"/>
      </w:r>
    </w:p>
    <w:p w14:paraId="6055DED9" w14:textId="24973E3A" w:rsidR="006A4A08" w:rsidRPr="003A0234" w:rsidRDefault="00C23CAC" w:rsidP="00DB4CC8">
      <w:pPr>
        <w:pStyle w:val="Heading1"/>
        <w:numPr>
          <w:ilvl w:val="0"/>
          <w:numId w:val="0"/>
        </w:numPr>
      </w:pPr>
      <w:bookmarkStart w:id="1" w:name="_Toc18443074"/>
      <w:r w:rsidRPr="003A0234">
        <w:t xml:space="preserve">List of </w:t>
      </w:r>
      <w:r w:rsidR="2D56E7D4" w:rsidRPr="003A0234">
        <w:t>Tables</w:t>
      </w:r>
      <w:bookmarkEnd w:id="1"/>
    </w:p>
    <w:p w14:paraId="27A6027A" w14:textId="1FDD95E8" w:rsidR="00172CCC" w:rsidRPr="00172CCC" w:rsidRDefault="006A4A08">
      <w:pPr>
        <w:pStyle w:val="TableofFigures"/>
        <w:tabs>
          <w:tab w:val="right" w:leader="dot" w:pos="9350"/>
        </w:tabs>
        <w:rPr>
          <w:rFonts w:asciiTheme="minorHAnsi" w:hAnsiTheme="minorHAnsi"/>
          <w:noProof/>
          <w:lang w:eastAsia="en-US"/>
        </w:rPr>
      </w:pPr>
      <w:r w:rsidRPr="00172CCC">
        <w:fldChar w:fldCharType="begin"/>
      </w:r>
      <w:r w:rsidRPr="00172CCC">
        <w:instrText xml:space="preserve"> TOC \h \z \c "Table" </w:instrText>
      </w:r>
      <w:r w:rsidRPr="00172CCC">
        <w:fldChar w:fldCharType="separate"/>
      </w:r>
      <w:hyperlink w:anchor="_Toc18443153" w:history="1">
        <w:r w:rsidR="00172CCC" w:rsidRPr="00172CCC">
          <w:rPr>
            <w:rStyle w:val="Hyperlink"/>
            <w:noProof/>
          </w:rPr>
          <w:t>Table 1.1: Average Annual Growth Rate in Planted Forest (FAO 2015)</w:t>
        </w:r>
        <w:r w:rsidR="00172CCC" w:rsidRPr="00172CCC">
          <w:rPr>
            <w:noProof/>
            <w:webHidden/>
          </w:rPr>
          <w:tab/>
        </w:r>
        <w:r w:rsidR="00172CCC" w:rsidRPr="00172CCC">
          <w:rPr>
            <w:noProof/>
            <w:webHidden/>
          </w:rPr>
          <w:fldChar w:fldCharType="begin"/>
        </w:r>
        <w:r w:rsidR="00172CCC" w:rsidRPr="00172CCC">
          <w:rPr>
            <w:noProof/>
            <w:webHidden/>
          </w:rPr>
          <w:instrText xml:space="preserve"> PAGEREF _Toc18443153 \h </w:instrText>
        </w:r>
        <w:r w:rsidR="00172CCC" w:rsidRPr="00172CCC">
          <w:rPr>
            <w:noProof/>
            <w:webHidden/>
          </w:rPr>
        </w:r>
        <w:r w:rsidR="00172CCC" w:rsidRPr="00172CCC">
          <w:rPr>
            <w:noProof/>
            <w:webHidden/>
          </w:rPr>
          <w:fldChar w:fldCharType="separate"/>
        </w:r>
        <w:r w:rsidR="00636BAC">
          <w:rPr>
            <w:noProof/>
            <w:webHidden/>
          </w:rPr>
          <w:t>9</w:t>
        </w:r>
        <w:r w:rsidR="00172CCC" w:rsidRPr="00172CCC">
          <w:rPr>
            <w:noProof/>
            <w:webHidden/>
          </w:rPr>
          <w:fldChar w:fldCharType="end"/>
        </w:r>
      </w:hyperlink>
    </w:p>
    <w:p w14:paraId="26B9DBA3" w14:textId="5112595C" w:rsidR="00172CCC" w:rsidRPr="00172CCC" w:rsidRDefault="00172CCC">
      <w:pPr>
        <w:pStyle w:val="TableofFigures"/>
        <w:tabs>
          <w:tab w:val="right" w:leader="dot" w:pos="9350"/>
        </w:tabs>
        <w:rPr>
          <w:rFonts w:asciiTheme="minorHAnsi" w:hAnsiTheme="minorHAnsi"/>
          <w:noProof/>
          <w:lang w:eastAsia="en-US"/>
        </w:rPr>
      </w:pPr>
      <w:hyperlink w:anchor="_Toc18443154" w:history="1">
        <w:r w:rsidRPr="00172CCC">
          <w:rPr>
            <w:rStyle w:val="Hyperlink"/>
            <w:noProof/>
          </w:rPr>
          <w:t>Table 1.2: Land Use Solutions Comparison: Economic Impacts</w:t>
        </w:r>
        <w:r w:rsidRPr="00172CCC">
          <w:rPr>
            <w:noProof/>
            <w:webHidden/>
          </w:rPr>
          <w:tab/>
        </w:r>
        <w:r w:rsidRPr="00172CCC">
          <w:rPr>
            <w:noProof/>
            <w:webHidden/>
          </w:rPr>
          <w:fldChar w:fldCharType="begin"/>
        </w:r>
        <w:r w:rsidRPr="00172CCC">
          <w:rPr>
            <w:noProof/>
            <w:webHidden/>
          </w:rPr>
          <w:instrText xml:space="preserve"> PAGEREF _Toc18443154 \h </w:instrText>
        </w:r>
        <w:r w:rsidRPr="00172CCC">
          <w:rPr>
            <w:noProof/>
            <w:webHidden/>
          </w:rPr>
        </w:r>
        <w:r w:rsidRPr="00172CCC">
          <w:rPr>
            <w:noProof/>
            <w:webHidden/>
          </w:rPr>
          <w:fldChar w:fldCharType="separate"/>
        </w:r>
        <w:r w:rsidR="00636BAC">
          <w:rPr>
            <w:noProof/>
            <w:webHidden/>
          </w:rPr>
          <w:t>14</w:t>
        </w:r>
        <w:r w:rsidRPr="00172CCC">
          <w:rPr>
            <w:noProof/>
            <w:webHidden/>
          </w:rPr>
          <w:fldChar w:fldCharType="end"/>
        </w:r>
      </w:hyperlink>
    </w:p>
    <w:p w14:paraId="432BC379" w14:textId="029A0DF0" w:rsidR="00172CCC" w:rsidRPr="00172CCC" w:rsidRDefault="00172CCC">
      <w:pPr>
        <w:pStyle w:val="TableofFigures"/>
        <w:tabs>
          <w:tab w:val="right" w:leader="dot" w:pos="9350"/>
        </w:tabs>
        <w:rPr>
          <w:rFonts w:asciiTheme="minorHAnsi" w:hAnsiTheme="minorHAnsi"/>
          <w:noProof/>
          <w:lang w:eastAsia="en-US"/>
        </w:rPr>
      </w:pPr>
      <w:hyperlink w:anchor="_Toc18443155" w:history="1">
        <w:r w:rsidRPr="00172CCC">
          <w:rPr>
            <w:rStyle w:val="Hyperlink"/>
            <w:noProof/>
          </w:rPr>
          <w:t>Table 1.3: Land Use Solutions Comparison: Social and Climate Impacts</w:t>
        </w:r>
        <w:r w:rsidRPr="00172CCC">
          <w:rPr>
            <w:noProof/>
            <w:webHidden/>
          </w:rPr>
          <w:tab/>
        </w:r>
        <w:r w:rsidRPr="00172CCC">
          <w:rPr>
            <w:noProof/>
            <w:webHidden/>
          </w:rPr>
          <w:fldChar w:fldCharType="begin"/>
        </w:r>
        <w:r w:rsidRPr="00172CCC">
          <w:rPr>
            <w:noProof/>
            <w:webHidden/>
          </w:rPr>
          <w:instrText xml:space="preserve"> PAGEREF _Toc18443155 \h </w:instrText>
        </w:r>
        <w:r w:rsidRPr="00172CCC">
          <w:rPr>
            <w:noProof/>
            <w:webHidden/>
          </w:rPr>
        </w:r>
        <w:r w:rsidRPr="00172CCC">
          <w:rPr>
            <w:noProof/>
            <w:webHidden/>
          </w:rPr>
          <w:fldChar w:fldCharType="separate"/>
        </w:r>
        <w:r w:rsidR="00636BAC">
          <w:rPr>
            <w:noProof/>
            <w:webHidden/>
          </w:rPr>
          <w:t>15</w:t>
        </w:r>
        <w:r w:rsidRPr="00172CCC">
          <w:rPr>
            <w:noProof/>
            <w:webHidden/>
          </w:rPr>
          <w:fldChar w:fldCharType="end"/>
        </w:r>
      </w:hyperlink>
    </w:p>
    <w:p w14:paraId="00F6C8D6" w14:textId="2E442671" w:rsidR="00172CCC" w:rsidRPr="00172CCC" w:rsidRDefault="00172CCC">
      <w:pPr>
        <w:pStyle w:val="TableofFigures"/>
        <w:tabs>
          <w:tab w:val="right" w:leader="dot" w:pos="9350"/>
        </w:tabs>
        <w:rPr>
          <w:rFonts w:asciiTheme="minorHAnsi" w:hAnsiTheme="minorHAnsi"/>
          <w:noProof/>
          <w:lang w:eastAsia="en-US"/>
        </w:rPr>
      </w:pPr>
      <w:hyperlink w:anchor="_Toc18443156" w:history="1">
        <w:r w:rsidRPr="00172CCC">
          <w:rPr>
            <w:rStyle w:val="Hyperlink"/>
            <w:noProof/>
          </w:rPr>
          <w:t>Table 2.1 Climate Inputs</w:t>
        </w:r>
        <w:r w:rsidRPr="00172CCC">
          <w:rPr>
            <w:noProof/>
            <w:webHidden/>
          </w:rPr>
          <w:tab/>
        </w:r>
        <w:r w:rsidRPr="00172CCC">
          <w:rPr>
            <w:noProof/>
            <w:webHidden/>
          </w:rPr>
          <w:fldChar w:fldCharType="begin"/>
        </w:r>
        <w:r w:rsidRPr="00172CCC">
          <w:rPr>
            <w:noProof/>
            <w:webHidden/>
          </w:rPr>
          <w:instrText xml:space="preserve"> PAGEREF _Toc18443156 \h </w:instrText>
        </w:r>
        <w:r w:rsidRPr="00172CCC">
          <w:rPr>
            <w:noProof/>
            <w:webHidden/>
          </w:rPr>
        </w:r>
        <w:r w:rsidRPr="00172CCC">
          <w:rPr>
            <w:noProof/>
            <w:webHidden/>
          </w:rPr>
          <w:fldChar w:fldCharType="separate"/>
        </w:r>
        <w:r w:rsidR="00636BAC">
          <w:rPr>
            <w:noProof/>
            <w:webHidden/>
          </w:rPr>
          <w:t>20</w:t>
        </w:r>
        <w:r w:rsidRPr="00172CCC">
          <w:rPr>
            <w:noProof/>
            <w:webHidden/>
          </w:rPr>
          <w:fldChar w:fldCharType="end"/>
        </w:r>
      </w:hyperlink>
    </w:p>
    <w:p w14:paraId="16835EFC" w14:textId="5DC7BFEE" w:rsidR="00172CCC" w:rsidRPr="00172CCC" w:rsidRDefault="00172CCC">
      <w:pPr>
        <w:pStyle w:val="TableofFigures"/>
        <w:tabs>
          <w:tab w:val="right" w:leader="dot" w:pos="9350"/>
        </w:tabs>
        <w:rPr>
          <w:rFonts w:asciiTheme="minorHAnsi" w:hAnsiTheme="minorHAnsi"/>
          <w:noProof/>
          <w:lang w:eastAsia="en-US"/>
        </w:rPr>
      </w:pPr>
      <w:hyperlink w:anchor="_Toc18443157" w:history="1">
        <w:r w:rsidRPr="00172CCC">
          <w:rPr>
            <w:rStyle w:val="Hyperlink"/>
            <w:noProof/>
          </w:rPr>
          <w:t>Table 2.2 Financial Inputs for Conventional Practice (Grazing on Degraded Lands)</w:t>
        </w:r>
        <w:r w:rsidRPr="00172CCC">
          <w:rPr>
            <w:noProof/>
            <w:webHidden/>
          </w:rPr>
          <w:tab/>
        </w:r>
        <w:r w:rsidRPr="00172CCC">
          <w:rPr>
            <w:noProof/>
            <w:webHidden/>
          </w:rPr>
          <w:fldChar w:fldCharType="begin"/>
        </w:r>
        <w:r w:rsidRPr="00172CCC">
          <w:rPr>
            <w:noProof/>
            <w:webHidden/>
          </w:rPr>
          <w:instrText xml:space="preserve"> PAGEREF _Toc18443157 \h </w:instrText>
        </w:r>
        <w:r w:rsidRPr="00172CCC">
          <w:rPr>
            <w:noProof/>
            <w:webHidden/>
          </w:rPr>
        </w:r>
        <w:r w:rsidRPr="00172CCC">
          <w:rPr>
            <w:noProof/>
            <w:webHidden/>
          </w:rPr>
          <w:fldChar w:fldCharType="separate"/>
        </w:r>
        <w:r w:rsidR="00636BAC">
          <w:rPr>
            <w:noProof/>
            <w:webHidden/>
          </w:rPr>
          <w:t>22</w:t>
        </w:r>
        <w:r w:rsidRPr="00172CCC">
          <w:rPr>
            <w:noProof/>
            <w:webHidden/>
          </w:rPr>
          <w:fldChar w:fldCharType="end"/>
        </w:r>
      </w:hyperlink>
    </w:p>
    <w:p w14:paraId="48DFA797" w14:textId="4D082589" w:rsidR="00172CCC" w:rsidRPr="00172CCC" w:rsidRDefault="00172CCC">
      <w:pPr>
        <w:pStyle w:val="TableofFigures"/>
        <w:tabs>
          <w:tab w:val="right" w:leader="dot" w:pos="9350"/>
        </w:tabs>
        <w:rPr>
          <w:rFonts w:asciiTheme="minorHAnsi" w:hAnsiTheme="minorHAnsi"/>
          <w:noProof/>
          <w:lang w:eastAsia="en-US"/>
        </w:rPr>
      </w:pPr>
      <w:hyperlink w:anchor="_Toc18443158" w:history="1">
        <w:r w:rsidRPr="00172CCC">
          <w:rPr>
            <w:rStyle w:val="Hyperlink"/>
            <w:noProof/>
          </w:rPr>
          <w:t>Table 3.1 World Adoption of the Solution</w:t>
        </w:r>
        <w:r w:rsidRPr="00172CCC">
          <w:rPr>
            <w:noProof/>
            <w:webHidden/>
          </w:rPr>
          <w:tab/>
        </w:r>
        <w:r w:rsidRPr="00172CCC">
          <w:rPr>
            <w:noProof/>
            <w:webHidden/>
          </w:rPr>
          <w:fldChar w:fldCharType="begin"/>
        </w:r>
        <w:r w:rsidRPr="00172CCC">
          <w:rPr>
            <w:noProof/>
            <w:webHidden/>
          </w:rPr>
          <w:instrText xml:space="preserve"> PAGEREF _Toc18443158 \h </w:instrText>
        </w:r>
        <w:r w:rsidRPr="00172CCC">
          <w:rPr>
            <w:noProof/>
            <w:webHidden/>
          </w:rPr>
        </w:r>
        <w:r w:rsidRPr="00172CCC">
          <w:rPr>
            <w:noProof/>
            <w:webHidden/>
          </w:rPr>
          <w:fldChar w:fldCharType="separate"/>
        </w:r>
        <w:r w:rsidR="00636BAC">
          <w:rPr>
            <w:noProof/>
            <w:webHidden/>
          </w:rPr>
          <w:t>27</w:t>
        </w:r>
        <w:r w:rsidRPr="00172CCC">
          <w:rPr>
            <w:noProof/>
            <w:webHidden/>
          </w:rPr>
          <w:fldChar w:fldCharType="end"/>
        </w:r>
      </w:hyperlink>
    </w:p>
    <w:p w14:paraId="472D1A1E" w14:textId="072F1C04" w:rsidR="00172CCC" w:rsidRPr="00172CCC" w:rsidRDefault="00172CCC">
      <w:pPr>
        <w:pStyle w:val="TableofFigures"/>
        <w:tabs>
          <w:tab w:val="right" w:leader="dot" w:pos="9350"/>
        </w:tabs>
        <w:rPr>
          <w:rFonts w:asciiTheme="minorHAnsi" w:hAnsiTheme="minorHAnsi"/>
          <w:noProof/>
          <w:lang w:eastAsia="en-US"/>
        </w:rPr>
      </w:pPr>
      <w:hyperlink w:anchor="_Toc18443159" w:history="1">
        <w:r w:rsidRPr="00172CCC">
          <w:rPr>
            <w:rStyle w:val="Hyperlink"/>
            <w:noProof/>
          </w:rPr>
          <w:t>Table 3.2 Climate Impacts</w:t>
        </w:r>
        <w:r w:rsidRPr="00172CCC">
          <w:rPr>
            <w:noProof/>
            <w:webHidden/>
          </w:rPr>
          <w:tab/>
        </w:r>
        <w:r w:rsidRPr="00172CCC">
          <w:rPr>
            <w:noProof/>
            <w:webHidden/>
          </w:rPr>
          <w:fldChar w:fldCharType="begin"/>
        </w:r>
        <w:r w:rsidRPr="00172CCC">
          <w:rPr>
            <w:noProof/>
            <w:webHidden/>
          </w:rPr>
          <w:instrText xml:space="preserve"> PAGEREF _Toc18443159 \h </w:instrText>
        </w:r>
        <w:r w:rsidRPr="00172CCC">
          <w:rPr>
            <w:noProof/>
            <w:webHidden/>
          </w:rPr>
        </w:r>
        <w:r w:rsidRPr="00172CCC">
          <w:rPr>
            <w:noProof/>
            <w:webHidden/>
          </w:rPr>
          <w:fldChar w:fldCharType="separate"/>
        </w:r>
        <w:r w:rsidR="00636BAC">
          <w:rPr>
            <w:noProof/>
            <w:webHidden/>
          </w:rPr>
          <w:t>29</w:t>
        </w:r>
        <w:r w:rsidRPr="00172CCC">
          <w:rPr>
            <w:noProof/>
            <w:webHidden/>
          </w:rPr>
          <w:fldChar w:fldCharType="end"/>
        </w:r>
      </w:hyperlink>
    </w:p>
    <w:p w14:paraId="284FD35B" w14:textId="38B98B57" w:rsidR="00172CCC" w:rsidRPr="00172CCC" w:rsidRDefault="00172CCC">
      <w:pPr>
        <w:pStyle w:val="TableofFigures"/>
        <w:tabs>
          <w:tab w:val="right" w:leader="dot" w:pos="9350"/>
        </w:tabs>
        <w:rPr>
          <w:rFonts w:asciiTheme="minorHAnsi" w:hAnsiTheme="minorHAnsi"/>
          <w:noProof/>
          <w:lang w:eastAsia="en-US"/>
        </w:rPr>
      </w:pPr>
      <w:hyperlink w:anchor="_Toc18443160" w:history="1">
        <w:r w:rsidRPr="00172CCC">
          <w:rPr>
            <w:rStyle w:val="Hyperlink"/>
            <w:noProof/>
          </w:rPr>
          <w:t>Table 3.3 Impacts on Atmospheric Concentrations of CO2-eq</w:t>
        </w:r>
        <w:r w:rsidRPr="00172CCC">
          <w:rPr>
            <w:noProof/>
            <w:webHidden/>
          </w:rPr>
          <w:tab/>
        </w:r>
        <w:r w:rsidRPr="00172CCC">
          <w:rPr>
            <w:noProof/>
            <w:webHidden/>
          </w:rPr>
          <w:fldChar w:fldCharType="begin"/>
        </w:r>
        <w:r w:rsidRPr="00172CCC">
          <w:rPr>
            <w:noProof/>
            <w:webHidden/>
          </w:rPr>
          <w:instrText xml:space="preserve"> PAGEREF _Toc18443160 \h </w:instrText>
        </w:r>
        <w:r w:rsidRPr="00172CCC">
          <w:rPr>
            <w:noProof/>
            <w:webHidden/>
          </w:rPr>
        </w:r>
        <w:r w:rsidRPr="00172CCC">
          <w:rPr>
            <w:noProof/>
            <w:webHidden/>
          </w:rPr>
          <w:fldChar w:fldCharType="separate"/>
        </w:r>
        <w:r w:rsidR="00636BAC">
          <w:rPr>
            <w:noProof/>
            <w:webHidden/>
          </w:rPr>
          <w:t>29</w:t>
        </w:r>
        <w:r w:rsidRPr="00172CCC">
          <w:rPr>
            <w:noProof/>
            <w:webHidden/>
          </w:rPr>
          <w:fldChar w:fldCharType="end"/>
        </w:r>
      </w:hyperlink>
    </w:p>
    <w:p w14:paraId="196C1776" w14:textId="03B2D60A" w:rsidR="00172CCC" w:rsidRPr="00172CCC" w:rsidRDefault="00172CCC">
      <w:pPr>
        <w:pStyle w:val="TableofFigures"/>
        <w:tabs>
          <w:tab w:val="right" w:leader="dot" w:pos="9350"/>
        </w:tabs>
        <w:rPr>
          <w:rFonts w:asciiTheme="minorHAnsi" w:hAnsiTheme="minorHAnsi"/>
          <w:noProof/>
          <w:lang w:eastAsia="en-US"/>
        </w:rPr>
      </w:pPr>
      <w:hyperlink w:anchor="_Toc18443161" w:history="1">
        <w:r w:rsidRPr="00172CCC">
          <w:rPr>
            <w:rStyle w:val="Hyperlink"/>
            <w:noProof/>
          </w:rPr>
          <w:t>Table 3.4 Financial Impacts</w:t>
        </w:r>
        <w:r w:rsidRPr="00172CCC">
          <w:rPr>
            <w:noProof/>
            <w:webHidden/>
          </w:rPr>
          <w:tab/>
        </w:r>
        <w:r w:rsidRPr="00172CCC">
          <w:rPr>
            <w:noProof/>
            <w:webHidden/>
          </w:rPr>
          <w:fldChar w:fldCharType="begin"/>
        </w:r>
        <w:r w:rsidRPr="00172CCC">
          <w:rPr>
            <w:noProof/>
            <w:webHidden/>
          </w:rPr>
          <w:instrText xml:space="preserve"> PAGEREF _Toc18443161 \h </w:instrText>
        </w:r>
        <w:r w:rsidRPr="00172CCC">
          <w:rPr>
            <w:noProof/>
            <w:webHidden/>
          </w:rPr>
        </w:r>
        <w:r w:rsidRPr="00172CCC">
          <w:rPr>
            <w:noProof/>
            <w:webHidden/>
          </w:rPr>
          <w:fldChar w:fldCharType="separate"/>
        </w:r>
        <w:r w:rsidR="00636BAC">
          <w:rPr>
            <w:noProof/>
            <w:webHidden/>
          </w:rPr>
          <w:t>31</w:t>
        </w:r>
        <w:r w:rsidRPr="00172CCC">
          <w:rPr>
            <w:noProof/>
            <w:webHidden/>
          </w:rPr>
          <w:fldChar w:fldCharType="end"/>
        </w:r>
      </w:hyperlink>
    </w:p>
    <w:p w14:paraId="62CCD5B1" w14:textId="267276FB" w:rsidR="00172CCC" w:rsidRPr="00172CCC" w:rsidRDefault="00172CCC">
      <w:pPr>
        <w:pStyle w:val="TableofFigures"/>
        <w:tabs>
          <w:tab w:val="right" w:leader="dot" w:pos="9350"/>
        </w:tabs>
        <w:rPr>
          <w:rFonts w:asciiTheme="minorHAnsi" w:hAnsiTheme="minorHAnsi"/>
          <w:noProof/>
          <w:lang w:eastAsia="en-US"/>
        </w:rPr>
      </w:pPr>
      <w:hyperlink w:anchor="_Toc18443162" w:history="1">
        <w:r w:rsidRPr="00172CCC">
          <w:rPr>
            <w:rStyle w:val="Hyperlink"/>
            <w:noProof/>
          </w:rPr>
          <w:t>Table 4.1: Benchmarks</w:t>
        </w:r>
        <w:r w:rsidRPr="00172CCC">
          <w:rPr>
            <w:noProof/>
            <w:webHidden/>
          </w:rPr>
          <w:tab/>
        </w:r>
        <w:r w:rsidRPr="00172CCC">
          <w:rPr>
            <w:noProof/>
            <w:webHidden/>
          </w:rPr>
          <w:fldChar w:fldCharType="begin"/>
        </w:r>
        <w:r w:rsidRPr="00172CCC">
          <w:rPr>
            <w:noProof/>
            <w:webHidden/>
          </w:rPr>
          <w:instrText xml:space="preserve"> PAGEREF _Toc18443162 \h </w:instrText>
        </w:r>
        <w:r w:rsidRPr="00172CCC">
          <w:rPr>
            <w:noProof/>
            <w:webHidden/>
          </w:rPr>
        </w:r>
        <w:r w:rsidRPr="00172CCC">
          <w:rPr>
            <w:noProof/>
            <w:webHidden/>
          </w:rPr>
          <w:fldChar w:fldCharType="separate"/>
        </w:r>
        <w:r w:rsidR="00636BAC">
          <w:rPr>
            <w:noProof/>
            <w:webHidden/>
          </w:rPr>
          <w:t>35</w:t>
        </w:r>
        <w:r w:rsidRPr="00172CCC">
          <w:rPr>
            <w:noProof/>
            <w:webHidden/>
          </w:rPr>
          <w:fldChar w:fldCharType="end"/>
        </w:r>
      </w:hyperlink>
    </w:p>
    <w:p w14:paraId="59531BD3" w14:textId="59A19A36" w:rsidR="006A4A08" w:rsidRPr="003A0234" w:rsidRDefault="006A4A08" w:rsidP="00DB4CC8">
      <w:r w:rsidRPr="00172CCC">
        <w:fldChar w:fldCharType="end"/>
      </w:r>
    </w:p>
    <w:p w14:paraId="25BC328C" w14:textId="18D554F7" w:rsidR="00FB2C53" w:rsidRDefault="00FB2C53" w:rsidP="2135B0AA">
      <w:pPr>
        <w:spacing w:after="160"/>
        <w:rPr>
          <w:rFonts w:asciiTheme="majorHAnsi" w:eastAsiaTheme="majorEastAsia" w:hAnsiTheme="majorHAnsi" w:cs="Times New Roman (Headings CS)"/>
          <w:b/>
          <w:bCs/>
          <w:smallCaps/>
          <w:color w:val="4F81BD" w:themeColor="accent1"/>
          <w:sz w:val="36"/>
          <w:szCs w:val="36"/>
        </w:rPr>
      </w:pPr>
      <w:r>
        <w:br w:type="page"/>
      </w:r>
      <w:bookmarkStart w:id="2" w:name="_GoBack"/>
      <w:bookmarkEnd w:id="2"/>
    </w:p>
    <w:p w14:paraId="029D340D" w14:textId="149557CD" w:rsidR="00F52595" w:rsidRPr="00655B1D" w:rsidRDefault="551A77D0" w:rsidP="001F3053">
      <w:pPr>
        <w:pStyle w:val="Heading1"/>
        <w:numPr>
          <w:ilvl w:val="0"/>
          <w:numId w:val="0"/>
        </w:numPr>
      </w:pPr>
      <w:bookmarkStart w:id="3" w:name="_Toc18443075"/>
      <w:r w:rsidRPr="00E367F4">
        <w:lastRenderedPageBreak/>
        <w:t>Executive Summary</w:t>
      </w:r>
      <w:bookmarkEnd w:id="3"/>
    </w:p>
    <w:p w14:paraId="37255B05" w14:textId="67963DA9" w:rsidR="007066D1" w:rsidRDefault="007066D1" w:rsidP="00591491">
      <w:pPr>
        <w:spacing w:after="0"/>
        <w:rPr>
          <w:rFonts w:ascii="Times" w:eastAsia="Times New Roman" w:hAnsi="Times" w:cs="Times New Roman"/>
          <w:color w:val="000000" w:themeColor="text1"/>
          <w:lang w:eastAsia="zh-CN"/>
        </w:rPr>
      </w:pPr>
      <w:r>
        <w:rPr>
          <w:rFonts w:ascii="Times" w:eastAsia="Times New Roman" w:hAnsi="Times" w:cs="Times New Roman"/>
          <w:color w:val="000000" w:themeColor="text1"/>
          <w:lang w:eastAsia="zh-CN"/>
        </w:rPr>
        <w:t>C</w:t>
      </w:r>
      <w:r w:rsidRPr="003310C7">
        <w:rPr>
          <w:rFonts w:ascii="Times" w:eastAsia="Times New Roman" w:hAnsi="Times" w:cs="Times New Roman"/>
          <w:color w:val="000000" w:themeColor="text1"/>
          <w:shd w:val="clear" w:color="auto" w:fill="FFFFFF"/>
          <w:lang w:eastAsia="zh-CN"/>
        </w:rPr>
        <w:t xml:space="preserve">limate mitigation literature often </w:t>
      </w:r>
      <w:r>
        <w:rPr>
          <w:rFonts w:ascii="Times" w:eastAsia="Times New Roman" w:hAnsi="Times" w:cs="Times New Roman"/>
          <w:color w:val="000000" w:themeColor="text1"/>
          <w:shd w:val="clear" w:color="auto" w:fill="FFFFFF"/>
          <w:lang w:eastAsia="zh-CN"/>
        </w:rPr>
        <w:t>fail</w:t>
      </w:r>
      <w:r w:rsidR="006D50D6">
        <w:rPr>
          <w:rFonts w:ascii="Times" w:eastAsia="Times New Roman" w:hAnsi="Times" w:cs="Times New Roman"/>
          <w:color w:val="000000" w:themeColor="text1"/>
          <w:shd w:val="clear" w:color="auto" w:fill="FFFFFF"/>
          <w:lang w:eastAsia="zh-CN"/>
        </w:rPr>
        <w:t>s</w:t>
      </w:r>
      <w:r>
        <w:rPr>
          <w:rFonts w:ascii="Times" w:eastAsia="Times New Roman" w:hAnsi="Times" w:cs="Times New Roman"/>
          <w:color w:val="000000" w:themeColor="text1"/>
          <w:shd w:val="clear" w:color="auto" w:fill="FFFFFF"/>
          <w:lang w:eastAsia="zh-CN"/>
        </w:rPr>
        <w:t xml:space="preserve"> to differentiate between</w:t>
      </w:r>
      <w:r w:rsidRPr="003310C7">
        <w:rPr>
          <w:rFonts w:ascii="Times" w:eastAsia="Times New Roman" w:hAnsi="Times" w:cs="Times New Roman"/>
          <w:color w:val="000000" w:themeColor="text1"/>
          <w:shd w:val="clear" w:color="auto" w:fill="FFFFFF"/>
          <w:lang w:eastAsia="zh-CN"/>
        </w:rPr>
        <w:t> </w:t>
      </w:r>
      <w:r w:rsidR="00541BED">
        <w:rPr>
          <w:rFonts w:ascii="Times" w:eastAsia="Times New Roman" w:hAnsi="Times" w:cs="Times New Roman"/>
          <w:i/>
          <w:iCs/>
          <w:color w:val="000000" w:themeColor="text1"/>
          <w:shd w:val="clear" w:color="auto" w:fill="FFFFFF"/>
          <w:lang w:eastAsia="zh-CN"/>
        </w:rPr>
        <w:t>afforestation</w:t>
      </w:r>
      <w:r w:rsidRPr="003310C7">
        <w:rPr>
          <w:rFonts w:ascii="Times" w:eastAsia="Times New Roman" w:hAnsi="Times" w:cs="Times New Roman"/>
          <w:color w:val="000000" w:themeColor="text1"/>
          <w:shd w:val="clear" w:color="auto" w:fill="FFFFFF"/>
          <w:lang w:eastAsia="zh-CN"/>
        </w:rPr>
        <w:t> </w:t>
      </w:r>
      <w:r>
        <w:rPr>
          <w:rFonts w:ascii="Times" w:eastAsia="Times New Roman" w:hAnsi="Times" w:cs="Times New Roman"/>
          <w:color w:val="000000" w:themeColor="text1"/>
          <w:shd w:val="clear" w:color="auto" w:fill="FFFFFF"/>
          <w:lang w:eastAsia="zh-CN"/>
        </w:rPr>
        <w:t>and other</w:t>
      </w:r>
      <w:r w:rsidRPr="003310C7">
        <w:rPr>
          <w:rFonts w:ascii="Times" w:eastAsia="Times New Roman" w:hAnsi="Times" w:cs="Times New Roman"/>
          <w:color w:val="000000" w:themeColor="text1"/>
          <w:shd w:val="clear" w:color="auto" w:fill="FFFFFF"/>
          <w:lang w:eastAsia="zh-CN"/>
        </w:rPr>
        <w:t xml:space="preserve"> "a</w:t>
      </w:r>
      <w:r>
        <w:rPr>
          <w:rFonts w:ascii="Times" w:eastAsia="Times New Roman" w:hAnsi="Times" w:cs="Times New Roman"/>
          <w:color w:val="000000" w:themeColor="text1"/>
          <w:shd w:val="clear" w:color="auto" w:fill="FFFFFF"/>
          <w:lang w:eastAsia="zh-CN"/>
        </w:rPr>
        <w:t>fforestation</w:t>
      </w:r>
      <w:r w:rsidRPr="003310C7">
        <w:rPr>
          <w:rFonts w:ascii="Times" w:eastAsia="Times New Roman" w:hAnsi="Times" w:cs="Times New Roman"/>
          <w:color w:val="000000" w:themeColor="text1"/>
          <w:shd w:val="clear" w:color="auto" w:fill="FFFFFF"/>
          <w:lang w:eastAsia="zh-CN"/>
        </w:rPr>
        <w:t xml:space="preserve">" </w:t>
      </w:r>
      <w:r>
        <w:rPr>
          <w:rFonts w:ascii="Times" w:eastAsia="Times New Roman" w:hAnsi="Times" w:cs="Times New Roman"/>
          <w:color w:val="000000" w:themeColor="text1"/>
          <w:shd w:val="clear" w:color="auto" w:fill="FFFFFF"/>
          <w:lang w:eastAsia="zh-CN"/>
        </w:rPr>
        <w:t>systems such as</w:t>
      </w:r>
      <w:r w:rsidRPr="003310C7">
        <w:rPr>
          <w:rFonts w:ascii="Times" w:eastAsia="Times New Roman" w:hAnsi="Times" w:cs="Times New Roman"/>
          <w:color w:val="000000" w:themeColor="text1"/>
          <w:shd w:val="clear" w:color="auto" w:fill="FFFFFF"/>
          <w:lang w:eastAsia="zh-CN"/>
        </w:rPr>
        <w:t> </w:t>
      </w:r>
      <w:r>
        <w:rPr>
          <w:rFonts w:ascii="Times" w:eastAsia="Times New Roman" w:hAnsi="Times" w:cs="Times New Roman"/>
          <w:i/>
          <w:iCs/>
          <w:color w:val="000000" w:themeColor="text1"/>
          <w:shd w:val="clear" w:color="auto" w:fill="FFFFFF"/>
          <w:lang w:eastAsia="zh-CN"/>
        </w:rPr>
        <w:t>bamboo</w:t>
      </w:r>
      <w:r w:rsidRPr="003310C7">
        <w:rPr>
          <w:rFonts w:ascii="Times" w:eastAsia="Times New Roman" w:hAnsi="Times" w:cs="Times New Roman"/>
          <w:color w:val="000000" w:themeColor="text1"/>
          <w:shd w:val="clear" w:color="auto" w:fill="FFFFFF"/>
          <w:lang w:eastAsia="zh-CN"/>
        </w:rPr>
        <w:t> and </w:t>
      </w:r>
      <w:r>
        <w:rPr>
          <w:rFonts w:ascii="Times" w:eastAsia="Times New Roman" w:hAnsi="Times" w:cs="Times New Roman"/>
          <w:i/>
          <w:iCs/>
          <w:color w:val="000000" w:themeColor="text1"/>
          <w:shd w:val="clear" w:color="auto" w:fill="FFFFFF"/>
          <w:lang w:eastAsia="zh-CN"/>
        </w:rPr>
        <w:t>perennial biomass</w:t>
      </w:r>
      <w:r>
        <w:rPr>
          <w:rFonts w:ascii="Times" w:eastAsia="Times New Roman" w:hAnsi="Times" w:cs="Times New Roman"/>
          <w:iCs/>
          <w:color w:val="000000" w:themeColor="text1"/>
          <w:shd w:val="clear" w:color="auto" w:fill="FFFFFF"/>
          <w:lang w:eastAsia="zh-CN"/>
        </w:rPr>
        <w:t>, grouping these systems together.</w:t>
      </w:r>
      <w:r w:rsidRPr="003310C7">
        <w:rPr>
          <w:rFonts w:ascii="Times" w:eastAsia="Times New Roman" w:hAnsi="Times" w:cs="Times New Roman"/>
          <w:color w:val="000000" w:themeColor="text1"/>
          <w:shd w:val="clear" w:color="auto" w:fill="FFFFFF"/>
          <w:lang w:eastAsia="zh-CN"/>
        </w:rPr>
        <w:t> </w:t>
      </w:r>
      <w:r w:rsidR="006F389B" w:rsidRPr="00E367F4">
        <w:rPr>
          <w:rFonts w:ascii="Times" w:eastAsia="Times New Roman" w:hAnsi="Times" w:cs="Times New Roman"/>
          <w:color w:val="000000" w:themeColor="text1"/>
          <w:lang w:eastAsia="zh-CN"/>
        </w:rPr>
        <w:t xml:space="preserve">Project Drawdown defines </w:t>
      </w:r>
      <w:r w:rsidR="007E0AA7">
        <w:rPr>
          <w:rFonts w:ascii="Times" w:eastAsia="Times New Roman" w:hAnsi="Times" w:cs="Times New Roman"/>
          <w:i/>
          <w:color w:val="000000" w:themeColor="text1"/>
          <w:lang w:eastAsia="zh-CN"/>
        </w:rPr>
        <w:t>afforestation</w:t>
      </w:r>
      <w:r w:rsidR="006F389B" w:rsidRPr="00E367F4">
        <w:rPr>
          <w:rFonts w:ascii="Times" w:eastAsia="Times New Roman" w:hAnsi="Times" w:cs="Times New Roman"/>
          <w:color w:val="000000" w:themeColor="text1"/>
          <w:lang w:eastAsia="zh-CN"/>
        </w:rPr>
        <w:t xml:space="preserve"> </w:t>
      </w:r>
      <w:r w:rsidR="00876319" w:rsidRPr="00B632C7">
        <w:t xml:space="preserve">as productive </w:t>
      </w:r>
      <w:r w:rsidR="00AE2E5D">
        <w:t xml:space="preserve">tree </w:t>
      </w:r>
      <w:r w:rsidR="00876319" w:rsidRPr="00B632C7">
        <w:t xml:space="preserve">plantations established </w:t>
      </w:r>
      <w:r w:rsidR="00876319">
        <w:t>through afforestation, e.g. on previously non-forested land (which includes</w:t>
      </w:r>
      <w:r w:rsidR="00876319" w:rsidRPr="00B632C7">
        <w:t xml:space="preserve"> abandoned or degraded pasture- or cropland or other marginal land</w:t>
      </w:r>
      <w:r w:rsidR="00876319">
        <w:t>)</w:t>
      </w:r>
      <w:r w:rsidR="006F389B" w:rsidRPr="00655B1D">
        <w:rPr>
          <w:rFonts w:ascii="Times" w:eastAsia="Times New Roman" w:hAnsi="Times" w:cs="Times New Roman"/>
          <w:color w:val="000000" w:themeColor="text1"/>
          <w:lang w:eastAsia="zh-CN"/>
        </w:rPr>
        <w:t>.</w:t>
      </w:r>
      <w:r w:rsidR="006F389B" w:rsidRPr="006F389B">
        <w:rPr>
          <w:rFonts w:ascii="Times" w:eastAsia="Times New Roman" w:hAnsi="Times" w:cs="Times New Roman"/>
          <w:color w:val="000000" w:themeColor="text1"/>
          <w:lang w:eastAsia="zh-CN"/>
        </w:rPr>
        <w:t xml:space="preserve"> </w:t>
      </w:r>
    </w:p>
    <w:p w14:paraId="372DDF47" w14:textId="77777777" w:rsidR="007066D1" w:rsidRDefault="007066D1" w:rsidP="00591491">
      <w:pPr>
        <w:spacing w:after="0"/>
        <w:rPr>
          <w:rFonts w:ascii="Times" w:eastAsia="Times New Roman" w:hAnsi="Times" w:cs="Times New Roman"/>
          <w:color w:val="000000" w:themeColor="text1"/>
          <w:lang w:eastAsia="zh-CN"/>
        </w:rPr>
      </w:pPr>
    </w:p>
    <w:p w14:paraId="120FF15E" w14:textId="78108601" w:rsidR="00591491" w:rsidRDefault="00C36B63" w:rsidP="00591491">
      <w:pPr>
        <w:spacing w:after="0"/>
        <w:rPr>
          <w:rFonts w:ascii="Times" w:eastAsia="Times New Roman" w:hAnsi="Times" w:cs="Times New Roman"/>
          <w:color w:val="000000" w:themeColor="text1"/>
          <w:lang w:eastAsia="zh-CN"/>
        </w:rPr>
      </w:pPr>
      <w:r w:rsidRPr="006F389B">
        <w:rPr>
          <w:rFonts w:ascii="Times" w:eastAsia="Times New Roman" w:hAnsi="Times" w:cs="Times New Roman"/>
          <w:color w:val="000000" w:themeColor="text1"/>
          <w:lang w:eastAsia="zh-CN"/>
        </w:rPr>
        <w:t xml:space="preserve">This </w:t>
      </w:r>
      <w:r>
        <w:rPr>
          <w:rFonts w:ascii="Times" w:eastAsia="Times New Roman" w:hAnsi="Times" w:cs="Times New Roman"/>
          <w:color w:val="000000" w:themeColor="text1"/>
          <w:lang w:eastAsia="zh-CN"/>
        </w:rPr>
        <w:t>solution has the potential to</w:t>
      </w:r>
      <w:r w:rsidRPr="006F389B">
        <w:rPr>
          <w:rFonts w:ascii="Times" w:eastAsia="Times New Roman" w:hAnsi="Times" w:cs="Times New Roman"/>
          <w:color w:val="000000" w:themeColor="text1"/>
          <w:lang w:eastAsia="zh-CN"/>
        </w:rPr>
        <w:t xml:space="preserve"> </w:t>
      </w:r>
      <w:r w:rsidR="00F96DC9">
        <w:rPr>
          <w:rFonts w:ascii="Times" w:eastAsia="Times New Roman" w:hAnsi="Times" w:cs="Times New Roman"/>
          <w:color w:val="000000" w:themeColor="text1"/>
          <w:lang w:eastAsia="zh-CN"/>
        </w:rPr>
        <w:t>provide alternatives to</w:t>
      </w:r>
      <w:r>
        <w:rPr>
          <w:rFonts w:ascii="Times" w:eastAsia="Times New Roman" w:hAnsi="Times" w:cs="Times New Roman"/>
          <w:color w:val="000000" w:themeColor="text1"/>
          <w:lang w:eastAsia="zh-CN"/>
        </w:rPr>
        <w:t xml:space="preserve"> deforestation </w:t>
      </w:r>
      <w:r w:rsidR="00F96DC9">
        <w:rPr>
          <w:rFonts w:ascii="Times" w:eastAsia="Times New Roman" w:hAnsi="Times" w:cs="Times New Roman"/>
          <w:color w:val="000000" w:themeColor="text1"/>
          <w:lang w:eastAsia="zh-CN"/>
        </w:rPr>
        <w:t xml:space="preserve">for the logging industry </w:t>
      </w:r>
      <w:r>
        <w:rPr>
          <w:rFonts w:ascii="Times" w:eastAsia="Times New Roman" w:hAnsi="Times" w:cs="Times New Roman"/>
          <w:color w:val="000000" w:themeColor="text1"/>
          <w:lang w:eastAsia="zh-CN"/>
        </w:rPr>
        <w:t>and to contribute to carbon sequestration and restoration of degraded land.</w:t>
      </w:r>
      <w:r w:rsidR="007066D1">
        <w:rPr>
          <w:rFonts w:ascii="Times" w:eastAsia="Times New Roman" w:hAnsi="Times" w:cs="Times New Roman"/>
          <w:color w:val="000000" w:themeColor="text1"/>
          <w:lang w:eastAsia="zh-CN"/>
        </w:rPr>
        <w:t xml:space="preserve"> It has been </w:t>
      </w:r>
      <w:r w:rsidRPr="006F389B">
        <w:rPr>
          <w:rFonts w:ascii="Times" w:eastAsia="Times New Roman" w:hAnsi="Times" w:cs="Times New Roman"/>
          <w:color w:val="000000" w:themeColor="text1"/>
          <w:lang w:eastAsia="zh-CN"/>
        </w:rPr>
        <w:t xml:space="preserve">widely promoted as a land-based mitigation strategy due in part to its high </w:t>
      </w:r>
      <w:r w:rsidR="00F4499C">
        <w:rPr>
          <w:rFonts w:ascii="Times" w:eastAsia="Times New Roman" w:hAnsi="Times" w:cs="Times New Roman"/>
          <w:color w:val="000000" w:themeColor="text1"/>
          <w:lang w:eastAsia="zh-CN"/>
        </w:rPr>
        <w:t xml:space="preserve">carbon </w:t>
      </w:r>
      <w:r w:rsidRPr="006F389B">
        <w:rPr>
          <w:rFonts w:ascii="Times" w:eastAsia="Times New Roman" w:hAnsi="Times" w:cs="Times New Roman"/>
          <w:color w:val="000000" w:themeColor="text1"/>
          <w:lang w:eastAsia="zh-CN"/>
        </w:rPr>
        <w:t>sequestration rates</w:t>
      </w:r>
      <w:r>
        <w:rPr>
          <w:rFonts w:ascii="Times" w:eastAsia="Times New Roman" w:hAnsi="Times" w:cs="Times New Roman"/>
          <w:color w:val="000000" w:themeColor="text1"/>
          <w:lang w:eastAsia="zh-CN"/>
        </w:rPr>
        <w:t xml:space="preserve"> in</w:t>
      </w:r>
      <w:r w:rsidR="006F389B" w:rsidRPr="006F389B">
        <w:rPr>
          <w:rFonts w:ascii="Times" w:eastAsia="Times New Roman" w:hAnsi="Times" w:cs="Times New Roman"/>
          <w:color w:val="000000" w:themeColor="text1"/>
          <w:lang w:eastAsia="zh-CN"/>
        </w:rPr>
        <w:t xml:space="preserve"> soils</w:t>
      </w:r>
      <w:r w:rsidR="00F4499C">
        <w:rPr>
          <w:rFonts w:ascii="Times" w:eastAsia="Times New Roman" w:hAnsi="Times" w:cs="Times New Roman"/>
          <w:color w:val="000000" w:themeColor="text1"/>
          <w:lang w:eastAsia="zh-CN"/>
        </w:rPr>
        <w:t xml:space="preserve"> and above- and belowground tree </w:t>
      </w:r>
      <w:r w:rsidR="006F389B" w:rsidRPr="006F389B">
        <w:rPr>
          <w:rFonts w:ascii="Times" w:eastAsia="Times New Roman" w:hAnsi="Times" w:cs="Times New Roman"/>
          <w:color w:val="000000" w:themeColor="text1"/>
          <w:lang w:eastAsia="zh-CN"/>
        </w:rPr>
        <w:t>biomass.</w:t>
      </w:r>
      <w:r w:rsidR="00F4499C">
        <w:rPr>
          <w:rFonts w:ascii="Times" w:eastAsia="Times New Roman" w:hAnsi="Times" w:cs="Times New Roman"/>
          <w:color w:val="000000" w:themeColor="text1"/>
          <w:lang w:eastAsia="zh-CN"/>
        </w:rPr>
        <w:t xml:space="preserve"> </w:t>
      </w:r>
      <w:r w:rsidR="006F389B" w:rsidRPr="006F389B">
        <w:rPr>
          <w:rFonts w:ascii="Times" w:eastAsia="Times New Roman" w:hAnsi="Times" w:cs="Times New Roman"/>
          <w:color w:val="000000" w:themeColor="text1"/>
          <w:lang w:eastAsia="zh-CN"/>
        </w:rPr>
        <w:t xml:space="preserve">Drawdown's </w:t>
      </w:r>
      <w:r w:rsidR="000B1629">
        <w:rPr>
          <w:rFonts w:ascii="Times" w:eastAsia="Times New Roman" w:hAnsi="Times" w:cs="Times New Roman"/>
          <w:color w:val="000000" w:themeColor="text1"/>
          <w:lang w:eastAsia="zh-CN"/>
        </w:rPr>
        <w:t>forest plantations</w:t>
      </w:r>
      <w:r w:rsidR="006F389B" w:rsidRPr="006F389B">
        <w:rPr>
          <w:rFonts w:ascii="Times" w:eastAsia="Times New Roman" w:hAnsi="Times" w:cs="Times New Roman"/>
          <w:color w:val="000000" w:themeColor="text1"/>
          <w:lang w:eastAsia="zh-CN"/>
        </w:rPr>
        <w:t xml:space="preserve"> scenarios are more modest than </w:t>
      </w:r>
      <w:r w:rsidR="00D74BCD">
        <w:rPr>
          <w:rFonts w:ascii="Times" w:eastAsia="Times New Roman" w:hAnsi="Times" w:cs="Times New Roman"/>
          <w:color w:val="000000" w:themeColor="text1"/>
          <w:lang w:eastAsia="zh-CN"/>
        </w:rPr>
        <w:t>others existing in current literature.</w:t>
      </w:r>
      <w:r w:rsidR="006F389B" w:rsidRPr="006F389B">
        <w:rPr>
          <w:rFonts w:ascii="Times" w:eastAsia="Times New Roman" w:hAnsi="Times" w:cs="Times New Roman"/>
          <w:color w:val="000000" w:themeColor="text1"/>
          <w:lang w:eastAsia="zh-CN"/>
        </w:rPr>
        <w:t xml:space="preserve"> This is because </w:t>
      </w:r>
      <w:r w:rsidR="00D74BCD">
        <w:rPr>
          <w:rFonts w:ascii="Times" w:eastAsia="Times New Roman" w:hAnsi="Times" w:cs="Times New Roman"/>
          <w:color w:val="000000" w:themeColor="text1"/>
          <w:lang w:eastAsia="zh-CN"/>
        </w:rPr>
        <w:t xml:space="preserve">under Drawdown modeling hierarchy, </w:t>
      </w:r>
      <w:r w:rsidR="006F389B" w:rsidRPr="006F389B">
        <w:rPr>
          <w:rFonts w:ascii="Times" w:eastAsia="Times New Roman" w:hAnsi="Times" w:cs="Times New Roman"/>
          <w:color w:val="000000" w:themeColor="text1"/>
          <w:lang w:eastAsia="zh-CN"/>
        </w:rPr>
        <w:t xml:space="preserve">other tree-focused solutions with high sequestration rates are given higher priority, including </w:t>
      </w:r>
      <w:r w:rsidR="00DD014C">
        <w:rPr>
          <w:rFonts w:ascii="Times" w:eastAsia="Times New Roman" w:hAnsi="Times" w:cs="Times New Roman"/>
          <w:iCs/>
          <w:color w:val="000000" w:themeColor="text1"/>
          <w:lang w:eastAsia="zh-CN"/>
        </w:rPr>
        <w:t>agroforestry, forest restoration, and tree cropping approaches</w:t>
      </w:r>
      <w:r w:rsidR="006A4070">
        <w:rPr>
          <w:rFonts w:ascii="Times" w:eastAsia="Times New Roman" w:hAnsi="Times" w:cs="Times New Roman"/>
          <w:iCs/>
          <w:color w:val="000000" w:themeColor="text1"/>
          <w:lang w:eastAsia="zh-CN"/>
        </w:rPr>
        <w:t xml:space="preserve">. Drawdown also models </w:t>
      </w:r>
      <w:r w:rsidR="006A4070">
        <w:rPr>
          <w:rFonts w:ascii="Times" w:eastAsia="Times New Roman" w:hAnsi="Times" w:cs="Times New Roman"/>
          <w:i/>
          <w:color w:val="000000" w:themeColor="text1"/>
          <w:lang w:eastAsia="zh-CN"/>
        </w:rPr>
        <w:t xml:space="preserve">bamboo </w:t>
      </w:r>
      <w:r w:rsidR="006A4070">
        <w:rPr>
          <w:rFonts w:ascii="Times" w:eastAsia="Times New Roman" w:hAnsi="Times" w:cs="Times New Roman"/>
          <w:iCs/>
          <w:color w:val="000000" w:themeColor="text1"/>
          <w:lang w:eastAsia="zh-CN"/>
        </w:rPr>
        <w:t xml:space="preserve">and </w:t>
      </w:r>
      <w:r w:rsidR="006A4070">
        <w:rPr>
          <w:rFonts w:ascii="Times" w:eastAsia="Times New Roman" w:hAnsi="Times" w:cs="Times New Roman"/>
          <w:i/>
          <w:color w:val="000000" w:themeColor="text1"/>
          <w:lang w:eastAsia="zh-CN"/>
        </w:rPr>
        <w:t>perennial biomass</w:t>
      </w:r>
      <w:r w:rsidR="006A4070">
        <w:rPr>
          <w:rFonts w:ascii="Times" w:eastAsia="Times New Roman" w:hAnsi="Times" w:cs="Times New Roman"/>
          <w:iCs/>
          <w:color w:val="000000" w:themeColor="text1"/>
          <w:lang w:eastAsia="zh-CN"/>
        </w:rPr>
        <w:t xml:space="preserve"> independently</w:t>
      </w:r>
      <w:r w:rsidR="006F389B" w:rsidRPr="006F389B">
        <w:rPr>
          <w:rFonts w:ascii="Times" w:eastAsia="Times New Roman" w:hAnsi="Times" w:cs="Times New Roman"/>
          <w:color w:val="000000" w:themeColor="text1"/>
          <w:lang w:eastAsia="zh-CN"/>
        </w:rPr>
        <w:t xml:space="preserve">. Nonetheless, </w:t>
      </w:r>
      <w:r w:rsidR="000B1629">
        <w:rPr>
          <w:rFonts w:ascii="Times" w:eastAsia="Times New Roman" w:hAnsi="Times" w:cs="Times New Roman"/>
          <w:color w:val="000000" w:themeColor="text1"/>
          <w:lang w:eastAsia="zh-CN"/>
        </w:rPr>
        <w:t>forest plantations</w:t>
      </w:r>
      <w:r w:rsidR="006F389B" w:rsidRPr="006F389B">
        <w:rPr>
          <w:rFonts w:ascii="Times" w:eastAsia="Times New Roman" w:hAnsi="Times" w:cs="Times New Roman"/>
          <w:color w:val="000000" w:themeColor="text1"/>
          <w:lang w:eastAsia="zh-CN"/>
        </w:rPr>
        <w:t xml:space="preserve"> </w:t>
      </w:r>
      <w:r w:rsidR="00F4499C">
        <w:rPr>
          <w:rFonts w:ascii="Times" w:eastAsia="Times New Roman" w:hAnsi="Times" w:cs="Times New Roman"/>
          <w:color w:val="000000" w:themeColor="text1"/>
          <w:lang w:eastAsia="zh-CN"/>
        </w:rPr>
        <w:t>are</w:t>
      </w:r>
      <w:r w:rsidR="006F389B" w:rsidRPr="006F389B">
        <w:rPr>
          <w:rFonts w:ascii="Times" w:eastAsia="Times New Roman" w:hAnsi="Times" w:cs="Times New Roman"/>
          <w:color w:val="000000" w:themeColor="text1"/>
          <w:lang w:eastAsia="zh-CN"/>
        </w:rPr>
        <w:t xml:space="preserve"> of critical importance for mitigation, building material, and restoration of degraded lands.</w:t>
      </w:r>
    </w:p>
    <w:p w14:paraId="326E8F8B" w14:textId="77777777" w:rsidR="00591491" w:rsidRDefault="00591491" w:rsidP="00591491">
      <w:pPr>
        <w:spacing w:after="0"/>
        <w:rPr>
          <w:rFonts w:ascii="Times" w:eastAsia="Times New Roman" w:hAnsi="Times" w:cs="Times New Roman"/>
          <w:color w:val="000000" w:themeColor="text1"/>
          <w:lang w:eastAsia="zh-CN"/>
        </w:rPr>
      </w:pPr>
    </w:p>
    <w:p w14:paraId="5584DD39" w14:textId="1A13A316" w:rsidR="00591491" w:rsidRDefault="00591491" w:rsidP="00591491">
      <w:pPr>
        <w:spacing w:after="0"/>
        <w:rPr>
          <w:rFonts w:ascii="Times" w:eastAsia="Times New Roman" w:hAnsi="Times" w:cs="Times New Roman"/>
          <w:color w:val="000000" w:themeColor="text1"/>
          <w:lang w:eastAsia="zh-CN"/>
        </w:rPr>
      </w:pPr>
      <w:r w:rsidRPr="003E2381">
        <w:rPr>
          <w:rFonts w:eastAsia="Times New Roman" w:cstheme="minorHAnsi"/>
          <w:color w:val="000000" w:themeColor="text1"/>
          <w:lang w:eastAsia="zh-CN"/>
        </w:rPr>
        <w:t xml:space="preserve">In Drawdown’s Agroecological Zone model </w:t>
      </w:r>
      <w:r w:rsidR="0029411A">
        <w:rPr>
          <w:rFonts w:eastAsia="Times New Roman" w:cstheme="minorHAnsi"/>
          <w:i/>
          <w:color w:val="000000" w:themeColor="text1"/>
          <w:lang w:eastAsia="zh-CN"/>
        </w:rPr>
        <w:t>afforestation</w:t>
      </w:r>
      <w:r w:rsidR="007066D1">
        <w:rPr>
          <w:rFonts w:eastAsia="Times New Roman" w:cstheme="minorHAnsi"/>
          <w:i/>
          <w:color w:val="000000" w:themeColor="text1"/>
          <w:lang w:eastAsia="zh-CN"/>
        </w:rPr>
        <w:t xml:space="preserve"> </w:t>
      </w:r>
      <w:r w:rsidR="0029411A">
        <w:rPr>
          <w:rFonts w:eastAsia="Times New Roman" w:cstheme="minorHAnsi"/>
          <w:color w:val="000000" w:themeColor="text1"/>
          <w:lang w:eastAsia="zh-CN"/>
        </w:rPr>
        <w:t>is</w:t>
      </w:r>
      <w:r>
        <w:rPr>
          <w:rFonts w:eastAsia="Times New Roman" w:cstheme="minorHAnsi"/>
          <w:color w:val="000000" w:themeColor="text1"/>
          <w:lang w:eastAsia="zh-CN"/>
        </w:rPr>
        <w:t xml:space="preserve"> established on degraded grazing land</w:t>
      </w:r>
      <w:r w:rsidR="0027558D">
        <w:rPr>
          <w:rFonts w:eastAsia="Times New Roman" w:cstheme="minorHAnsi"/>
          <w:color w:val="000000" w:themeColor="text1"/>
          <w:lang w:eastAsia="zh-CN"/>
        </w:rPr>
        <w:t>, much of which was formerly forested</w:t>
      </w:r>
      <w:r w:rsidRPr="003E2381">
        <w:rPr>
          <w:rFonts w:eastAsia="Times New Roman" w:cstheme="minorHAnsi"/>
          <w:color w:val="000000" w:themeColor="text1"/>
          <w:lang w:eastAsia="zh-CN"/>
        </w:rPr>
        <w:t xml:space="preserve">. </w:t>
      </w:r>
      <w:r w:rsidR="004D7369">
        <w:rPr>
          <w:rFonts w:cstheme="minorHAnsi"/>
          <w:color w:val="000000" w:themeColor="text1"/>
        </w:rPr>
        <w:t xml:space="preserve">The current extent of </w:t>
      </w:r>
      <w:r w:rsidR="00D219C8">
        <w:rPr>
          <w:rFonts w:cstheme="minorHAnsi"/>
          <w:color w:val="000000" w:themeColor="text1"/>
        </w:rPr>
        <w:t xml:space="preserve">afforested </w:t>
      </w:r>
      <w:r w:rsidR="004D7369">
        <w:rPr>
          <w:rFonts w:cstheme="minorHAnsi"/>
          <w:color w:val="000000" w:themeColor="text1"/>
        </w:rPr>
        <w:t>forest plantation</w:t>
      </w:r>
      <w:r w:rsidR="00D219C8">
        <w:rPr>
          <w:rFonts w:cstheme="minorHAnsi"/>
          <w:color w:val="000000" w:themeColor="text1"/>
        </w:rPr>
        <w:t>s</w:t>
      </w:r>
      <w:r w:rsidR="004D7369">
        <w:rPr>
          <w:rFonts w:cstheme="minorHAnsi"/>
          <w:color w:val="000000" w:themeColor="text1"/>
        </w:rPr>
        <w:t xml:space="preserve"> systems is </w:t>
      </w:r>
      <w:r w:rsidR="004D7369" w:rsidRPr="003E2381">
        <w:rPr>
          <w:rFonts w:cstheme="minorHAnsi"/>
          <w:color w:val="000000" w:themeColor="text1"/>
        </w:rPr>
        <w:t xml:space="preserve">estimated </w:t>
      </w:r>
      <w:r w:rsidR="00D219C8">
        <w:rPr>
          <w:rFonts w:cstheme="minorHAnsi"/>
          <w:color w:val="000000" w:themeColor="text1"/>
        </w:rPr>
        <w:t>at</w:t>
      </w:r>
      <w:r w:rsidR="004D7369">
        <w:rPr>
          <w:rFonts w:cstheme="minorHAnsi"/>
          <w:color w:val="000000" w:themeColor="text1"/>
        </w:rPr>
        <w:t xml:space="preserve"> </w:t>
      </w:r>
      <w:r w:rsidR="009F37FE">
        <w:rPr>
          <w:rFonts w:cstheme="minorHAnsi"/>
          <w:color w:val="000000" w:themeColor="text1"/>
        </w:rPr>
        <w:t>291</w:t>
      </w:r>
      <w:r w:rsidR="004D7369" w:rsidRPr="003E2381">
        <w:rPr>
          <w:rFonts w:cstheme="minorHAnsi"/>
          <w:color w:val="000000" w:themeColor="text1"/>
        </w:rPr>
        <w:t xml:space="preserve"> million hectares</w:t>
      </w:r>
      <w:r w:rsidR="004D7369">
        <w:rPr>
          <w:rFonts w:cstheme="minorHAnsi"/>
          <w:color w:val="000000" w:themeColor="text1"/>
        </w:rPr>
        <w:t xml:space="preserve"> globally</w:t>
      </w:r>
      <w:r w:rsidR="004D7369" w:rsidRPr="003E2381">
        <w:rPr>
          <w:rFonts w:cstheme="minorHAnsi"/>
          <w:color w:val="000000" w:themeColor="text1"/>
        </w:rPr>
        <w:t xml:space="preserve">. </w:t>
      </w:r>
      <w:r w:rsidR="008B4447">
        <w:rPr>
          <w:rFonts w:cstheme="minorHAnsi"/>
          <w:color w:val="000000" w:themeColor="text1"/>
        </w:rPr>
        <w:t>F</w:t>
      </w:r>
      <w:r w:rsidR="004D7369">
        <w:rPr>
          <w:rFonts w:cstheme="minorHAnsi"/>
          <w:color w:val="000000" w:themeColor="text1"/>
        </w:rPr>
        <w:t>u</w:t>
      </w:r>
      <w:r w:rsidR="001A1C4C">
        <w:rPr>
          <w:rFonts w:cstheme="minorHAnsi"/>
          <w:color w:val="000000" w:themeColor="text1"/>
        </w:rPr>
        <w:t>ture</w:t>
      </w:r>
      <w:r w:rsidR="004D7369">
        <w:rPr>
          <w:rFonts w:cstheme="minorHAnsi"/>
          <w:color w:val="000000" w:themeColor="text1"/>
        </w:rPr>
        <w:t xml:space="preserve"> a</w:t>
      </w:r>
      <w:r w:rsidR="004D7369" w:rsidRPr="003E2381">
        <w:rPr>
          <w:rFonts w:cstheme="minorHAnsi"/>
          <w:color w:val="000000" w:themeColor="text1"/>
        </w:rPr>
        <w:t xml:space="preserve">doption potential </w:t>
      </w:r>
      <w:r w:rsidR="00FF471A">
        <w:rPr>
          <w:rFonts w:cstheme="minorHAnsi"/>
          <w:color w:val="000000" w:themeColor="text1"/>
        </w:rPr>
        <w:t>wa</w:t>
      </w:r>
      <w:r w:rsidR="004D7369" w:rsidRPr="003E2381">
        <w:rPr>
          <w:rFonts w:cstheme="minorHAnsi"/>
          <w:color w:val="000000" w:themeColor="text1"/>
        </w:rPr>
        <w:t xml:space="preserve">s </w:t>
      </w:r>
      <w:r w:rsidR="00FF471A">
        <w:rPr>
          <w:rFonts w:eastAsia="Times New Roman" w:cstheme="minorHAnsi"/>
          <w:color w:val="000000" w:themeColor="text1"/>
          <w:lang w:eastAsia="zh-CN"/>
        </w:rPr>
        <w:t>modele</w:t>
      </w:r>
      <w:r>
        <w:rPr>
          <w:rFonts w:eastAsia="Times New Roman" w:cstheme="minorHAnsi"/>
          <w:color w:val="000000" w:themeColor="text1"/>
          <w:lang w:eastAsia="zh-CN"/>
        </w:rPr>
        <w:t xml:space="preserve">d </w:t>
      </w:r>
      <w:r w:rsidRPr="003E2381">
        <w:rPr>
          <w:rFonts w:eastAsia="Times New Roman" w:cstheme="minorHAnsi"/>
          <w:color w:val="000000" w:themeColor="text1"/>
          <w:lang w:eastAsia="zh-CN"/>
        </w:rPr>
        <w:t xml:space="preserve">based </w:t>
      </w:r>
      <w:r w:rsidR="007066D1">
        <w:rPr>
          <w:rFonts w:eastAsia="Times New Roman" w:cstheme="minorHAnsi"/>
          <w:color w:val="000000" w:themeColor="text1"/>
          <w:lang w:eastAsia="zh-CN"/>
        </w:rPr>
        <w:t xml:space="preserve">on FAO data and </w:t>
      </w:r>
      <w:r>
        <w:rPr>
          <w:rFonts w:eastAsia="Times New Roman" w:cstheme="minorHAnsi"/>
          <w:color w:val="000000" w:themeColor="text1"/>
          <w:lang w:eastAsia="zh-CN"/>
        </w:rPr>
        <w:t>IPCC and regional projections</w:t>
      </w:r>
      <w:r w:rsidR="007066D1">
        <w:rPr>
          <w:rFonts w:eastAsia="Times New Roman" w:cstheme="minorHAnsi"/>
          <w:color w:val="000000" w:themeColor="text1"/>
          <w:lang w:eastAsia="zh-CN"/>
        </w:rPr>
        <w:t xml:space="preserve"> and </w:t>
      </w:r>
      <w:r>
        <w:rPr>
          <w:rFonts w:eastAsia="Times New Roman" w:cstheme="minorHAnsi"/>
          <w:color w:val="000000" w:themeColor="text1"/>
          <w:lang w:eastAsia="zh-CN"/>
        </w:rPr>
        <w:t>is</w:t>
      </w:r>
      <w:r>
        <w:rPr>
          <w:rFonts w:ascii="Times" w:eastAsia="Times New Roman" w:hAnsi="Times" w:cs="Times New Roman"/>
          <w:color w:val="000000" w:themeColor="text1"/>
          <w:lang w:eastAsia="zh-CN"/>
        </w:rPr>
        <w:t xml:space="preserve"> </w:t>
      </w:r>
      <w:r w:rsidR="004D7369" w:rsidRPr="003E2381">
        <w:rPr>
          <w:rFonts w:cstheme="minorHAnsi"/>
          <w:color w:val="000000" w:themeColor="text1"/>
        </w:rPr>
        <w:t xml:space="preserve">constrained </w:t>
      </w:r>
      <w:r w:rsidR="004D7369">
        <w:rPr>
          <w:rFonts w:cstheme="minorHAnsi"/>
          <w:color w:val="000000" w:themeColor="text1"/>
        </w:rPr>
        <w:t xml:space="preserve">principally </w:t>
      </w:r>
      <w:r w:rsidR="004D7369" w:rsidRPr="003E2381">
        <w:rPr>
          <w:rFonts w:cstheme="minorHAnsi"/>
          <w:color w:val="000000" w:themeColor="text1"/>
        </w:rPr>
        <w:t>by</w:t>
      </w:r>
      <w:r w:rsidR="004D7369">
        <w:rPr>
          <w:rFonts w:cstheme="minorHAnsi"/>
          <w:color w:val="000000" w:themeColor="text1"/>
        </w:rPr>
        <w:t xml:space="preserve"> </w:t>
      </w:r>
      <w:r w:rsidR="004D7369" w:rsidRPr="003E2381">
        <w:rPr>
          <w:rFonts w:cstheme="minorHAnsi"/>
          <w:color w:val="000000" w:themeColor="text1"/>
        </w:rPr>
        <w:t>high establishment costs</w:t>
      </w:r>
      <w:r w:rsidR="004D7369">
        <w:rPr>
          <w:rFonts w:cstheme="minorHAnsi"/>
          <w:color w:val="000000" w:themeColor="text1"/>
        </w:rPr>
        <w:t xml:space="preserve"> and </w:t>
      </w:r>
      <w:r w:rsidR="00876319">
        <w:rPr>
          <w:rFonts w:cstheme="minorHAnsi"/>
          <w:color w:val="000000" w:themeColor="text1"/>
        </w:rPr>
        <w:t>the necessity for suitable climatic conditions</w:t>
      </w:r>
      <w:r w:rsidR="007066D1">
        <w:rPr>
          <w:rFonts w:cstheme="minorHAnsi"/>
          <w:color w:val="000000" w:themeColor="text1"/>
        </w:rPr>
        <w:t xml:space="preserve">. Adoption is determined at the farmer- or landowner-level, and </w:t>
      </w:r>
      <w:r w:rsidR="00EB2375">
        <w:rPr>
          <w:rFonts w:cstheme="minorHAnsi"/>
          <w:color w:val="000000" w:themeColor="text1"/>
        </w:rPr>
        <w:t>impacts</w:t>
      </w:r>
      <w:r w:rsidR="007066D1">
        <w:rPr>
          <w:rFonts w:cstheme="minorHAnsi"/>
          <w:color w:val="000000" w:themeColor="text1"/>
        </w:rPr>
        <w:t xml:space="preserve"> were modeled for C sequestration, establishment and operational costs and profitability</w:t>
      </w:r>
      <w:r w:rsidR="001127CC">
        <w:rPr>
          <w:rFonts w:cstheme="minorHAnsi"/>
          <w:color w:val="000000" w:themeColor="text1"/>
        </w:rPr>
        <w:t>, based on case-study data from peer reviewed literature.</w:t>
      </w:r>
    </w:p>
    <w:p w14:paraId="422D7802" w14:textId="77777777" w:rsidR="00591491" w:rsidRDefault="00591491" w:rsidP="00591491">
      <w:pPr>
        <w:spacing w:after="0"/>
        <w:rPr>
          <w:rFonts w:ascii="Times" w:eastAsia="Times New Roman" w:hAnsi="Times" w:cs="Times New Roman"/>
          <w:color w:val="000000" w:themeColor="text1"/>
          <w:lang w:eastAsia="zh-CN"/>
        </w:rPr>
      </w:pPr>
    </w:p>
    <w:p w14:paraId="666E0D46" w14:textId="17BCF818" w:rsidR="00583D3A" w:rsidRDefault="00053842" w:rsidP="00583D3A">
      <w:pPr>
        <w:shd w:val="clear" w:color="auto" w:fill="FFFFFF"/>
        <w:spacing w:after="180"/>
        <w:rPr>
          <w:rFonts w:eastAsia="Times New Roman" w:cstheme="minorHAnsi"/>
          <w:color w:val="000000" w:themeColor="text1"/>
          <w:lang w:eastAsia="zh-CN"/>
        </w:rPr>
      </w:pPr>
      <w:r>
        <w:rPr>
          <w:rFonts w:eastAsia="Times New Roman" w:cstheme="minorHAnsi"/>
          <w:color w:val="000000" w:themeColor="text1"/>
          <w:lang w:eastAsia="zh-CN"/>
        </w:rPr>
        <w:t>Under the projected</w:t>
      </w:r>
      <w:r w:rsidR="00591491" w:rsidRPr="00694F82">
        <w:rPr>
          <w:rFonts w:eastAsia="Times New Roman" w:cstheme="minorHAnsi"/>
          <w:color w:val="000000" w:themeColor="text1"/>
          <w:lang w:eastAsia="zh-CN"/>
        </w:rPr>
        <w:t> </w:t>
      </w:r>
      <w:r w:rsidR="00591491" w:rsidRPr="00694F82">
        <w:rPr>
          <w:rFonts w:eastAsia="Times New Roman" w:cstheme="minorHAnsi"/>
          <w:i/>
          <w:iCs/>
          <w:color w:val="000000" w:themeColor="text1"/>
          <w:lang w:eastAsia="zh-CN"/>
        </w:rPr>
        <w:t>Plausible</w:t>
      </w:r>
      <w:r w:rsidR="00591491" w:rsidRPr="00694F82">
        <w:rPr>
          <w:rFonts w:eastAsia="Times New Roman" w:cstheme="minorHAnsi"/>
          <w:color w:val="000000" w:themeColor="text1"/>
          <w:lang w:eastAsia="zh-CN"/>
        </w:rPr>
        <w:t> Scenario</w:t>
      </w:r>
      <w:r>
        <w:rPr>
          <w:rFonts w:eastAsia="Times New Roman" w:cstheme="minorHAnsi"/>
          <w:color w:val="000000" w:themeColor="text1"/>
          <w:lang w:eastAsia="zh-CN"/>
        </w:rPr>
        <w:t>, total adoption</w:t>
      </w:r>
      <w:r w:rsidR="00591491" w:rsidRPr="00694F82">
        <w:rPr>
          <w:rFonts w:eastAsia="Times New Roman" w:cstheme="minorHAnsi"/>
          <w:color w:val="000000" w:themeColor="text1"/>
          <w:lang w:eastAsia="zh-CN"/>
        </w:rPr>
        <w:t xml:space="preserve"> is </w:t>
      </w:r>
      <w:r w:rsidR="00583D3A">
        <w:rPr>
          <w:rFonts w:eastAsia="Times New Roman" w:cstheme="minorHAnsi"/>
          <w:color w:val="000000" w:themeColor="text1"/>
          <w:lang w:eastAsia="zh-CN"/>
        </w:rPr>
        <w:t>88</w:t>
      </w:r>
      <w:r w:rsidR="00591491" w:rsidRPr="00694F82">
        <w:rPr>
          <w:rFonts w:eastAsia="Times New Roman" w:cstheme="minorHAnsi"/>
          <w:color w:val="000000" w:themeColor="text1"/>
          <w:lang w:eastAsia="zh-CN"/>
        </w:rPr>
        <w:t xml:space="preserve"> million hectares in 2050. The sequestration impact of this scenario is </w:t>
      </w:r>
      <w:r w:rsidR="00583D3A">
        <w:rPr>
          <w:rFonts w:eastAsia="Times New Roman" w:cstheme="minorHAnsi"/>
          <w:color w:val="000000" w:themeColor="text1"/>
          <w:lang w:eastAsia="zh-CN"/>
        </w:rPr>
        <w:t>19.1</w:t>
      </w:r>
      <w:r w:rsidR="00591491" w:rsidRPr="00694F82">
        <w:rPr>
          <w:rFonts w:eastAsia="Times New Roman" w:cstheme="minorHAnsi"/>
          <w:color w:val="000000" w:themeColor="text1"/>
          <w:lang w:eastAsia="zh-CN"/>
        </w:rPr>
        <w:t xml:space="preserve"> </w:t>
      </w:r>
      <w:r w:rsidR="00583D3A">
        <w:rPr>
          <w:rFonts w:eastAsia="Times New Roman" w:cstheme="minorHAnsi"/>
          <w:color w:val="000000" w:themeColor="text1"/>
          <w:lang w:eastAsia="zh-CN"/>
        </w:rPr>
        <w:t>Gt CO</w:t>
      </w:r>
      <w:r w:rsidR="00583D3A">
        <w:rPr>
          <w:rFonts w:eastAsia="Times New Roman" w:cstheme="minorHAnsi"/>
          <w:color w:val="000000" w:themeColor="text1"/>
          <w:vertAlign w:val="subscript"/>
          <w:lang w:eastAsia="zh-CN"/>
        </w:rPr>
        <w:t>2</w:t>
      </w:r>
      <w:r w:rsidR="00583D3A">
        <w:rPr>
          <w:rFonts w:eastAsia="Times New Roman" w:cstheme="minorHAnsi"/>
          <w:color w:val="000000" w:themeColor="text1"/>
          <w:lang w:eastAsia="zh-CN"/>
        </w:rPr>
        <w:t xml:space="preserve"> eq.</w:t>
      </w:r>
      <w:r w:rsidR="00591491" w:rsidRPr="00694F82">
        <w:rPr>
          <w:rFonts w:eastAsia="Times New Roman" w:cstheme="minorHAnsi"/>
          <w:color w:val="000000" w:themeColor="text1"/>
          <w:lang w:eastAsia="zh-CN"/>
        </w:rPr>
        <w:t xml:space="preserve"> by 2050. Cumulative first cost is US $</w:t>
      </w:r>
      <w:r w:rsidR="00583D3A">
        <w:rPr>
          <w:rFonts w:eastAsia="Times New Roman" w:cstheme="minorHAnsi"/>
          <w:color w:val="000000" w:themeColor="text1"/>
          <w:lang w:eastAsia="zh-CN"/>
        </w:rPr>
        <w:t>83.45</w:t>
      </w:r>
      <w:r w:rsidR="00591491" w:rsidRPr="00694F82">
        <w:rPr>
          <w:rFonts w:eastAsia="Times New Roman" w:cstheme="minorHAnsi"/>
          <w:color w:val="000000" w:themeColor="text1"/>
          <w:lang w:eastAsia="zh-CN"/>
        </w:rPr>
        <w:t xml:space="preserve"> billion, with</w:t>
      </w:r>
      <w:r w:rsidR="00583D3A">
        <w:rPr>
          <w:rFonts w:eastAsia="Times New Roman" w:cstheme="minorHAnsi"/>
          <w:color w:val="000000" w:themeColor="text1"/>
          <w:lang w:eastAsia="zh-CN"/>
        </w:rPr>
        <w:t xml:space="preserve"> a</w:t>
      </w:r>
      <w:r w:rsidR="00591491" w:rsidRPr="00694F82">
        <w:rPr>
          <w:rFonts w:eastAsia="Times New Roman" w:cstheme="minorHAnsi"/>
          <w:color w:val="000000" w:themeColor="text1"/>
          <w:lang w:eastAsia="zh-CN"/>
        </w:rPr>
        <w:t xml:space="preserve"> net profit margin of US$</w:t>
      </w:r>
      <w:r w:rsidR="00583D3A">
        <w:rPr>
          <w:rFonts w:eastAsia="Times New Roman" w:cstheme="minorHAnsi"/>
          <w:color w:val="000000" w:themeColor="text1"/>
          <w:lang w:eastAsia="zh-CN"/>
        </w:rPr>
        <w:t>725.87</w:t>
      </w:r>
      <w:r w:rsidR="00591491" w:rsidRPr="00694F82">
        <w:rPr>
          <w:rFonts w:eastAsia="Times New Roman" w:cstheme="minorHAnsi"/>
          <w:color w:val="000000" w:themeColor="text1"/>
          <w:lang w:eastAsia="zh-CN"/>
        </w:rPr>
        <w:t xml:space="preserve"> billion.</w:t>
      </w:r>
      <w:r w:rsidR="00E02566">
        <w:rPr>
          <w:rFonts w:eastAsia="Times New Roman" w:cstheme="minorHAnsi"/>
          <w:color w:val="000000" w:themeColor="text1"/>
          <w:lang w:eastAsia="zh-CN"/>
        </w:rPr>
        <w:t xml:space="preserve"> </w:t>
      </w:r>
      <w:r>
        <w:rPr>
          <w:rFonts w:eastAsia="Times New Roman" w:cstheme="minorHAnsi"/>
          <w:color w:val="000000" w:themeColor="text1"/>
          <w:lang w:eastAsia="zh-CN"/>
        </w:rPr>
        <w:t>Under the</w:t>
      </w:r>
      <w:r w:rsidR="00591491" w:rsidRPr="00F03710">
        <w:rPr>
          <w:rFonts w:eastAsia="Times New Roman" w:cstheme="minorHAnsi"/>
          <w:color w:val="000000" w:themeColor="text1"/>
          <w:lang w:eastAsia="zh-CN"/>
        </w:rPr>
        <w:t> </w:t>
      </w:r>
      <w:r w:rsidR="00591491" w:rsidRPr="00F03710">
        <w:rPr>
          <w:rFonts w:eastAsia="Times New Roman" w:cstheme="minorHAnsi"/>
          <w:i/>
          <w:iCs/>
          <w:color w:val="000000" w:themeColor="text1"/>
          <w:lang w:eastAsia="zh-CN"/>
        </w:rPr>
        <w:t>Drawdown</w:t>
      </w:r>
      <w:r w:rsidR="00591491" w:rsidRPr="00F03710">
        <w:rPr>
          <w:rFonts w:eastAsia="Times New Roman" w:cstheme="minorHAnsi"/>
          <w:color w:val="000000" w:themeColor="text1"/>
          <w:lang w:eastAsia="zh-CN"/>
        </w:rPr>
        <w:t> Scenario</w:t>
      </w:r>
      <w:r w:rsidR="00E02566">
        <w:rPr>
          <w:rFonts w:eastAsia="Times New Roman" w:cstheme="minorHAnsi"/>
          <w:color w:val="000000" w:themeColor="text1"/>
          <w:lang w:eastAsia="zh-CN"/>
        </w:rPr>
        <w:t xml:space="preserve">, total adoption </w:t>
      </w:r>
      <w:r w:rsidR="00591491" w:rsidRPr="00F03710">
        <w:rPr>
          <w:rFonts w:eastAsia="Times New Roman" w:cstheme="minorHAnsi"/>
          <w:color w:val="000000" w:themeColor="text1"/>
          <w:lang w:eastAsia="zh-CN"/>
        </w:rPr>
        <w:t xml:space="preserve">is </w:t>
      </w:r>
      <w:r w:rsidR="00583D3A">
        <w:rPr>
          <w:rFonts w:eastAsia="Times New Roman" w:cstheme="minorHAnsi"/>
          <w:color w:val="000000" w:themeColor="text1"/>
          <w:lang w:eastAsia="zh-CN"/>
        </w:rPr>
        <w:t>130</w:t>
      </w:r>
      <w:r w:rsidR="00591491" w:rsidRPr="00F03710">
        <w:rPr>
          <w:rFonts w:eastAsia="Times New Roman" w:cstheme="minorHAnsi"/>
          <w:color w:val="000000" w:themeColor="text1"/>
          <w:lang w:eastAsia="zh-CN"/>
        </w:rPr>
        <w:t xml:space="preserve"> million hectares in 2050</w:t>
      </w:r>
      <w:r w:rsidR="00583D3A">
        <w:rPr>
          <w:rFonts w:eastAsia="Times New Roman" w:cstheme="minorHAnsi"/>
          <w:color w:val="000000" w:themeColor="text1"/>
          <w:lang w:eastAsia="zh-CN"/>
        </w:rPr>
        <w:t xml:space="preserve">. </w:t>
      </w:r>
      <w:r w:rsidR="00591491">
        <w:rPr>
          <w:rFonts w:eastAsia="Times New Roman" w:cstheme="minorHAnsi"/>
          <w:color w:val="000000" w:themeColor="text1"/>
          <w:lang w:eastAsia="zh-CN"/>
        </w:rPr>
        <w:t xml:space="preserve">The sequestration impact under this scenario is </w:t>
      </w:r>
      <w:r w:rsidR="00583D3A">
        <w:rPr>
          <w:rFonts w:eastAsia="Times New Roman" w:cstheme="minorHAnsi"/>
          <w:color w:val="000000" w:themeColor="text1"/>
          <w:lang w:eastAsia="zh-CN"/>
        </w:rPr>
        <w:t>28.4 Gt of CO</w:t>
      </w:r>
      <w:r w:rsidR="00583D3A">
        <w:rPr>
          <w:rFonts w:eastAsia="Times New Roman" w:cstheme="minorHAnsi"/>
          <w:color w:val="000000" w:themeColor="text1"/>
          <w:vertAlign w:val="subscript"/>
          <w:lang w:eastAsia="zh-CN"/>
        </w:rPr>
        <w:t>2</w:t>
      </w:r>
      <w:r w:rsidR="00583D3A">
        <w:rPr>
          <w:rFonts w:eastAsia="Times New Roman" w:cstheme="minorHAnsi"/>
          <w:color w:val="000000" w:themeColor="text1"/>
          <w:lang w:eastAsia="zh-CN"/>
        </w:rPr>
        <w:t xml:space="preserve"> eq.</w:t>
      </w:r>
      <w:r w:rsidR="00583D3A" w:rsidRPr="00694F82">
        <w:rPr>
          <w:rFonts w:eastAsia="Times New Roman" w:cstheme="minorHAnsi"/>
          <w:color w:val="000000" w:themeColor="text1"/>
          <w:lang w:eastAsia="zh-CN"/>
        </w:rPr>
        <w:t xml:space="preserve"> </w:t>
      </w:r>
      <w:r w:rsidR="00591491">
        <w:rPr>
          <w:rFonts w:eastAsia="Times New Roman" w:cstheme="minorHAnsi"/>
          <w:color w:val="000000" w:themeColor="text1"/>
          <w:lang w:eastAsia="zh-CN"/>
        </w:rPr>
        <w:t xml:space="preserve"> by 2050. C</w:t>
      </w:r>
      <w:r w:rsidR="00591491" w:rsidRPr="00F03710">
        <w:rPr>
          <w:rFonts w:eastAsia="Times New Roman" w:cstheme="minorHAnsi"/>
          <w:color w:val="000000" w:themeColor="text1"/>
          <w:lang w:eastAsia="zh-CN"/>
        </w:rPr>
        <w:t>umulative first cost is US $</w:t>
      </w:r>
      <w:r w:rsidR="00583D3A">
        <w:rPr>
          <w:rFonts w:eastAsia="Times New Roman" w:cstheme="minorHAnsi"/>
          <w:color w:val="000000" w:themeColor="text1"/>
          <w:lang w:eastAsia="zh-CN"/>
        </w:rPr>
        <w:t>123.77</w:t>
      </w:r>
      <w:r w:rsidR="00591491" w:rsidRPr="00F03710">
        <w:rPr>
          <w:rFonts w:eastAsia="Times New Roman" w:cstheme="minorHAnsi"/>
          <w:color w:val="000000" w:themeColor="text1"/>
          <w:lang w:eastAsia="zh-CN"/>
        </w:rPr>
        <w:t xml:space="preserve"> billion, with net profit margin of US$</w:t>
      </w:r>
      <w:r w:rsidR="00583D3A">
        <w:rPr>
          <w:rFonts w:eastAsia="Times New Roman" w:cstheme="minorHAnsi"/>
          <w:color w:val="000000" w:themeColor="text1"/>
          <w:lang w:eastAsia="zh-CN"/>
        </w:rPr>
        <w:t>1,116.62</w:t>
      </w:r>
      <w:r w:rsidR="00591491" w:rsidRPr="00F03710">
        <w:rPr>
          <w:rFonts w:eastAsia="Times New Roman" w:cstheme="minorHAnsi"/>
          <w:color w:val="000000" w:themeColor="text1"/>
          <w:lang w:eastAsia="zh-CN"/>
        </w:rPr>
        <w:t xml:space="preserve"> billion.</w:t>
      </w:r>
      <w:r w:rsidR="00E02566">
        <w:rPr>
          <w:rFonts w:eastAsia="Times New Roman" w:cstheme="minorHAnsi"/>
          <w:color w:val="000000" w:themeColor="text1"/>
          <w:lang w:eastAsia="zh-CN"/>
        </w:rPr>
        <w:t xml:space="preserve"> Under</w:t>
      </w:r>
      <w:r w:rsidR="00591491" w:rsidRPr="00F03710">
        <w:rPr>
          <w:rFonts w:eastAsia="Times New Roman" w:cstheme="minorHAnsi"/>
          <w:color w:val="000000" w:themeColor="text1"/>
          <w:lang w:eastAsia="zh-CN"/>
        </w:rPr>
        <w:t xml:space="preserve"> the </w:t>
      </w:r>
      <w:r w:rsidR="00591491" w:rsidRPr="00F03710">
        <w:rPr>
          <w:rFonts w:eastAsia="Times New Roman" w:cstheme="minorHAnsi"/>
          <w:i/>
          <w:iCs/>
          <w:color w:val="000000" w:themeColor="text1"/>
          <w:lang w:eastAsia="zh-CN"/>
        </w:rPr>
        <w:t>Optimum</w:t>
      </w:r>
      <w:r w:rsidR="00591491" w:rsidRPr="00F03710">
        <w:rPr>
          <w:rFonts w:eastAsia="Times New Roman" w:cstheme="minorHAnsi"/>
          <w:color w:val="000000" w:themeColor="text1"/>
          <w:lang w:eastAsia="zh-CN"/>
        </w:rPr>
        <w:t> Scenario</w:t>
      </w:r>
      <w:r w:rsidR="00E02566">
        <w:rPr>
          <w:rFonts w:eastAsia="Times New Roman" w:cstheme="minorHAnsi"/>
          <w:color w:val="000000" w:themeColor="text1"/>
          <w:lang w:eastAsia="zh-CN"/>
        </w:rPr>
        <w:t>, projected total adoption</w:t>
      </w:r>
      <w:r w:rsidR="00591491" w:rsidRPr="00F03710">
        <w:rPr>
          <w:rFonts w:eastAsia="Times New Roman" w:cstheme="minorHAnsi"/>
          <w:color w:val="000000" w:themeColor="text1"/>
          <w:lang w:eastAsia="zh-CN"/>
        </w:rPr>
        <w:t xml:space="preserve"> is </w:t>
      </w:r>
      <w:r w:rsidR="00583D3A">
        <w:rPr>
          <w:rFonts w:eastAsia="Times New Roman" w:cstheme="minorHAnsi"/>
          <w:color w:val="000000" w:themeColor="text1"/>
          <w:lang w:eastAsia="zh-CN"/>
        </w:rPr>
        <w:t>153</w:t>
      </w:r>
      <w:r w:rsidR="00591491" w:rsidRPr="00F03710">
        <w:rPr>
          <w:rFonts w:eastAsia="Times New Roman" w:cstheme="minorHAnsi"/>
          <w:color w:val="000000" w:themeColor="text1"/>
          <w:lang w:eastAsia="zh-CN"/>
        </w:rPr>
        <w:t xml:space="preserve"> million hectares in 2050. </w:t>
      </w:r>
      <w:r w:rsidR="00591491">
        <w:rPr>
          <w:rFonts w:eastAsia="Times New Roman" w:cstheme="minorHAnsi"/>
          <w:color w:val="000000" w:themeColor="text1"/>
          <w:lang w:eastAsia="zh-CN"/>
        </w:rPr>
        <w:t xml:space="preserve">The sequestration impact under this scenario is </w:t>
      </w:r>
      <w:r w:rsidR="00583D3A">
        <w:rPr>
          <w:rFonts w:eastAsia="Times New Roman" w:cstheme="minorHAnsi"/>
          <w:color w:val="000000" w:themeColor="text1"/>
          <w:lang w:eastAsia="zh-CN"/>
        </w:rPr>
        <w:t>37 Gt of CO</w:t>
      </w:r>
      <w:r w:rsidR="00583D3A">
        <w:rPr>
          <w:rFonts w:eastAsia="Times New Roman" w:cstheme="minorHAnsi"/>
          <w:color w:val="000000" w:themeColor="text1"/>
          <w:vertAlign w:val="subscript"/>
          <w:lang w:eastAsia="zh-CN"/>
        </w:rPr>
        <w:t>2</w:t>
      </w:r>
      <w:r w:rsidR="00583D3A">
        <w:rPr>
          <w:rFonts w:eastAsia="Times New Roman" w:cstheme="minorHAnsi"/>
          <w:color w:val="000000" w:themeColor="text1"/>
          <w:lang w:eastAsia="zh-CN"/>
        </w:rPr>
        <w:t xml:space="preserve"> eq.</w:t>
      </w:r>
      <w:r w:rsidR="00583D3A" w:rsidRPr="00694F82">
        <w:rPr>
          <w:rFonts w:eastAsia="Times New Roman" w:cstheme="minorHAnsi"/>
          <w:color w:val="000000" w:themeColor="text1"/>
          <w:lang w:eastAsia="zh-CN"/>
        </w:rPr>
        <w:t xml:space="preserve"> </w:t>
      </w:r>
      <w:r w:rsidR="00591491">
        <w:rPr>
          <w:rFonts w:eastAsia="Times New Roman" w:cstheme="minorHAnsi"/>
          <w:color w:val="000000" w:themeColor="text1"/>
          <w:lang w:eastAsia="zh-CN"/>
        </w:rPr>
        <w:t xml:space="preserve">by 2050. </w:t>
      </w:r>
      <w:r w:rsidR="00591491" w:rsidRPr="00F03710">
        <w:rPr>
          <w:rFonts w:eastAsia="Times New Roman" w:cstheme="minorHAnsi"/>
          <w:color w:val="000000" w:themeColor="text1"/>
          <w:lang w:eastAsia="zh-CN"/>
        </w:rPr>
        <w:t>Cumulative first cost is US $</w:t>
      </w:r>
      <w:r w:rsidR="00583D3A">
        <w:rPr>
          <w:rFonts w:eastAsia="Times New Roman" w:cstheme="minorHAnsi"/>
          <w:color w:val="000000" w:themeColor="text1"/>
          <w:lang w:eastAsia="zh-CN"/>
        </w:rPr>
        <w:t>151.02</w:t>
      </w:r>
      <w:r w:rsidR="00591491" w:rsidRPr="00F03710">
        <w:rPr>
          <w:rFonts w:eastAsia="Times New Roman" w:cstheme="minorHAnsi"/>
          <w:color w:val="000000" w:themeColor="text1"/>
          <w:lang w:eastAsia="zh-CN"/>
        </w:rPr>
        <w:t xml:space="preserve"> billion, with net profit margin of US$</w:t>
      </w:r>
      <w:r w:rsidR="00583D3A">
        <w:rPr>
          <w:rFonts w:eastAsia="Times New Roman" w:cstheme="minorHAnsi"/>
          <w:color w:val="000000" w:themeColor="text1"/>
          <w:lang w:eastAsia="zh-CN"/>
        </w:rPr>
        <w:t>1,456.60</w:t>
      </w:r>
      <w:r w:rsidR="00591491" w:rsidRPr="00F03710">
        <w:rPr>
          <w:rFonts w:eastAsia="Times New Roman" w:cstheme="minorHAnsi"/>
          <w:color w:val="000000" w:themeColor="text1"/>
          <w:lang w:eastAsia="zh-CN"/>
        </w:rPr>
        <w:t xml:space="preserve"> billion.</w:t>
      </w:r>
      <w:r w:rsidR="00583D3A">
        <w:rPr>
          <w:rFonts w:eastAsia="Times New Roman" w:cstheme="minorHAnsi"/>
          <w:color w:val="000000" w:themeColor="text1"/>
          <w:lang w:eastAsia="zh-CN"/>
        </w:rPr>
        <w:t xml:space="preserve"> </w:t>
      </w:r>
    </w:p>
    <w:p w14:paraId="34916870" w14:textId="7928C884" w:rsidR="00E815C8" w:rsidRDefault="551A77D0" w:rsidP="00DB4CC8">
      <w:pPr>
        <w:pStyle w:val="Heading1"/>
      </w:pPr>
      <w:bookmarkStart w:id="4" w:name="_Toc18443076"/>
      <w:r w:rsidRPr="00EB247F">
        <w:lastRenderedPageBreak/>
        <w:t>Literature Review</w:t>
      </w:r>
      <w:bookmarkEnd w:id="4"/>
    </w:p>
    <w:p w14:paraId="2CA16751" w14:textId="700060EB" w:rsidR="00606EAF" w:rsidRPr="00606EAF" w:rsidRDefault="0066561B" w:rsidP="00606EAF">
      <w:pPr>
        <w:rPr>
          <w:highlight w:val="yellow"/>
        </w:rPr>
      </w:pPr>
      <w:r>
        <w:rPr>
          <w:bCs/>
          <w:color w:val="000000" w:themeColor="text1"/>
        </w:rPr>
        <w:t>Afforestation is a</w:t>
      </w:r>
      <w:r w:rsidR="00606EAF">
        <w:rPr>
          <w:bCs/>
          <w:color w:val="000000" w:themeColor="text1"/>
        </w:rPr>
        <w:t xml:space="preserve"> tree-based production system</w:t>
      </w:r>
      <w:r>
        <w:rPr>
          <w:bCs/>
          <w:color w:val="000000" w:themeColor="text1"/>
        </w:rPr>
        <w:t>s</w:t>
      </w:r>
      <w:r w:rsidR="00EB45DE">
        <w:rPr>
          <w:bCs/>
          <w:color w:val="000000" w:themeColor="text1"/>
        </w:rPr>
        <w:t xml:space="preserve"> established </w:t>
      </w:r>
      <w:r>
        <w:rPr>
          <w:bCs/>
          <w:color w:val="000000" w:themeColor="text1"/>
        </w:rPr>
        <w:t>in forest plantations</w:t>
      </w:r>
      <w:r w:rsidR="00EB45DE">
        <w:rPr>
          <w:bCs/>
          <w:color w:val="000000" w:themeColor="text1"/>
        </w:rPr>
        <w:t xml:space="preserve">; </w:t>
      </w:r>
      <w:r w:rsidR="003C65F3">
        <w:rPr>
          <w:bCs/>
          <w:color w:val="000000" w:themeColor="text1"/>
        </w:rPr>
        <w:t>these</w:t>
      </w:r>
      <w:r w:rsidR="00EB45DE">
        <w:rPr>
          <w:bCs/>
          <w:color w:val="000000" w:themeColor="text1"/>
        </w:rPr>
        <w:t xml:space="preserve"> can</w:t>
      </w:r>
      <w:r w:rsidR="00606EAF">
        <w:rPr>
          <w:bCs/>
          <w:color w:val="000000" w:themeColor="text1"/>
        </w:rPr>
        <w:t xml:space="preserve"> take extremely varied and diverse forms</w:t>
      </w:r>
      <w:r w:rsidR="00A94FB8">
        <w:rPr>
          <w:bCs/>
          <w:color w:val="000000" w:themeColor="text1"/>
        </w:rPr>
        <w:t xml:space="preserve"> and can be applied across a range of climates and at different scales</w:t>
      </w:r>
      <w:r w:rsidR="00606EAF">
        <w:rPr>
          <w:bCs/>
          <w:color w:val="000000" w:themeColor="text1"/>
        </w:rPr>
        <w:t xml:space="preserve">. </w:t>
      </w:r>
      <w:r w:rsidR="00A94FB8">
        <w:rPr>
          <w:bCs/>
          <w:color w:val="000000" w:themeColor="text1"/>
        </w:rPr>
        <w:t xml:space="preserve">Increased recognition of their </w:t>
      </w:r>
      <w:r w:rsidR="000671D1">
        <w:rPr>
          <w:bCs/>
          <w:color w:val="000000" w:themeColor="text1"/>
        </w:rPr>
        <w:t xml:space="preserve">many </w:t>
      </w:r>
      <w:r w:rsidR="00A94FB8">
        <w:rPr>
          <w:bCs/>
          <w:color w:val="000000" w:themeColor="text1"/>
        </w:rPr>
        <w:t>environmental and economic benefits</w:t>
      </w:r>
      <w:r w:rsidR="00827BFA">
        <w:rPr>
          <w:bCs/>
          <w:color w:val="000000" w:themeColor="text1"/>
        </w:rPr>
        <w:t>, particularly in the context of climate change and deforestation</w:t>
      </w:r>
      <w:r w:rsidR="00A94FB8">
        <w:rPr>
          <w:bCs/>
          <w:color w:val="000000" w:themeColor="text1"/>
        </w:rPr>
        <w:t xml:space="preserve">, </w:t>
      </w:r>
      <w:r w:rsidR="00573DA2">
        <w:rPr>
          <w:bCs/>
          <w:color w:val="000000" w:themeColor="text1"/>
        </w:rPr>
        <w:t>coupled with</w:t>
      </w:r>
      <w:r w:rsidR="00A94FB8">
        <w:rPr>
          <w:bCs/>
          <w:color w:val="000000" w:themeColor="text1"/>
        </w:rPr>
        <w:t xml:space="preserve"> </w:t>
      </w:r>
      <w:r w:rsidR="00FD5877">
        <w:rPr>
          <w:bCs/>
          <w:color w:val="000000" w:themeColor="text1"/>
        </w:rPr>
        <w:t>improved</w:t>
      </w:r>
      <w:r w:rsidR="00573DA2">
        <w:rPr>
          <w:bCs/>
          <w:color w:val="000000" w:themeColor="text1"/>
        </w:rPr>
        <w:t xml:space="preserve"> national or regional</w:t>
      </w:r>
      <w:r w:rsidR="00A94FB8">
        <w:rPr>
          <w:bCs/>
          <w:color w:val="000000" w:themeColor="text1"/>
        </w:rPr>
        <w:t xml:space="preserve"> incentive</w:t>
      </w:r>
      <w:r w:rsidR="003E6A5B">
        <w:rPr>
          <w:bCs/>
          <w:color w:val="000000" w:themeColor="text1"/>
        </w:rPr>
        <w:t xml:space="preserve"> mechanisms</w:t>
      </w:r>
      <w:r w:rsidR="00A94FB8">
        <w:rPr>
          <w:bCs/>
          <w:color w:val="000000" w:themeColor="text1"/>
        </w:rPr>
        <w:t>, is likely to</w:t>
      </w:r>
      <w:r w:rsidR="00573DA2">
        <w:rPr>
          <w:bCs/>
          <w:color w:val="000000" w:themeColor="text1"/>
        </w:rPr>
        <w:t xml:space="preserve"> significantly</w:t>
      </w:r>
      <w:r w:rsidR="00A94FB8">
        <w:rPr>
          <w:bCs/>
          <w:color w:val="000000" w:themeColor="text1"/>
        </w:rPr>
        <w:t xml:space="preserve"> increase future adoption rates</w:t>
      </w:r>
      <w:r w:rsidR="00FD5877">
        <w:rPr>
          <w:bCs/>
          <w:color w:val="000000" w:themeColor="text1"/>
        </w:rPr>
        <w:t xml:space="preserve"> of this solution</w:t>
      </w:r>
      <w:r w:rsidR="003E6A5B">
        <w:rPr>
          <w:bCs/>
          <w:color w:val="000000" w:themeColor="text1"/>
        </w:rPr>
        <w:t xml:space="preserve"> at the farmer / landowner agency level</w:t>
      </w:r>
      <w:r w:rsidR="00A94FB8">
        <w:rPr>
          <w:bCs/>
          <w:color w:val="000000" w:themeColor="text1"/>
        </w:rPr>
        <w:t>.</w:t>
      </w:r>
    </w:p>
    <w:p w14:paraId="05406D4C" w14:textId="3D145BD1" w:rsidR="006A4A08" w:rsidRPr="00934BBC" w:rsidRDefault="551A77D0" w:rsidP="00DB4CC8">
      <w:pPr>
        <w:pStyle w:val="Heading2"/>
      </w:pPr>
      <w:bookmarkStart w:id="5" w:name="_Toc18443077"/>
      <w:r w:rsidRPr="00934BBC">
        <w:t xml:space="preserve">State of </w:t>
      </w:r>
      <w:r w:rsidR="0088139D" w:rsidRPr="00934BBC">
        <w:t>the Practice</w:t>
      </w:r>
      <w:bookmarkEnd w:id="5"/>
    </w:p>
    <w:p w14:paraId="01CE872D" w14:textId="7E4E44DE" w:rsidR="0010700D" w:rsidRDefault="0010700D" w:rsidP="00D2180D">
      <w:pPr>
        <w:spacing w:after="0"/>
      </w:pPr>
      <w:r>
        <w:t>According to the FAO’s most recent Global Forest Resource Assessment, global forest area has increased by about</w:t>
      </w:r>
      <w:r w:rsidRPr="445A7B8D">
        <w:t xml:space="preserve"> 2</w:t>
      </w:r>
      <w:r>
        <w:t>91</w:t>
      </w:r>
      <w:r w:rsidRPr="445A7B8D">
        <w:t xml:space="preserve"> </w:t>
      </w:r>
      <w:r>
        <w:t>million hectares</w:t>
      </w:r>
      <w:r w:rsidRPr="445A7B8D">
        <w:t xml:space="preserve"> </w:t>
      </w:r>
      <w:r>
        <w:t>between 1990-2010 due to afforestation expansion</w:t>
      </w:r>
      <w:r w:rsidR="00655B1D">
        <w:t xml:space="preserve"> </w:t>
      </w:r>
      <w:r w:rsidR="001820C3">
        <w:fldChar w:fldCharType="begin"/>
      </w:r>
      <w:r w:rsidR="001820C3">
        <w:instrText xml:space="preserve"> ADDIN ZOTERO_TEMP </w:instrText>
      </w:r>
      <w:r w:rsidR="001820C3">
        <w:fldChar w:fldCharType="separate"/>
      </w:r>
      <w:r w:rsidR="00655B1D" w:rsidRPr="00655B1D">
        <w:rPr>
          <w:rFonts w:cs="Times New Roman"/>
        </w:rPr>
        <w:t>(FAO, 2010)</w:t>
      </w:r>
      <w:r w:rsidR="001820C3">
        <w:rPr>
          <w:rFonts w:cs="Times New Roman"/>
        </w:rPr>
        <w:fldChar w:fldCharType="end"/>
      </w:r>
      <w:r>
        <w:t xml:space="preserve">. The FAO’s definition of afforestation refers to the establishment of commercial forests, agroforests or forest conservation areas on previously non-forested land, and thus includes </w:t>
      </w:r>
      <w:r w:rsidR="00FF3CAA">
        <w:rPr>
          <w:i/>
        </w:rPr>
        <w:t>afforestation</w:t>
      </w:r>
      <w:r>
        <w:rPr>
          <w:i/>
        </w:rPr>
        <w:t xml:space="preserve">. </w:t>
      </w:r>
      <w:r w:rsidR="00754767" w:rsidRPr="00E367F4">
        <w:t>Drawdown defines</w:t>
      </w:r>
      <w:r w:rsidR="00132C49" w:rsidRPr="00E367F4">
        <w:t xml:space="preserve"> </w:t>
      </w:r>
      <w:r w:rsidR="00FF3CAA">
        <w:rPr>
          <w:i/>
        </w:rPr>
        <w:t>afforestation</w:t>
      </w:r>
      <w:r w:rsidR="004A0408" w:rsidRPr="00E367F4">
        <w:rPr>
          <w:i/>
        </w:rPr>
        <w:t xml:space="preserve"> </w:t>
      </w:r>
      <w:r w:rsidR="004A0408" w:rsidRPr="00E367F4">
        <w:t xml:space="preserve">as </w:t>
      </w:r>
      <w:r w:rsidR="00D40DFC" w:rsidRPr="00E367F4">
        <w:t xml:space="preserve">productive </w:t>
      </w:r>
      <w:r w:rsidR="00132C49" w:rsidRPr="00E367F4">
        <w:t>plantations</w:t>
      </w:r>
      <w:r w:rsidR="004A0408" w:rsidRPr="00E367F4">
        <w:t xml:space="preserve"> established</w:t>
      </w:r>
      <w:r w:rsidR="00132C49" w:rsidRPr="00E367F4">
        <w:t xml:space="preserve"> </w:t>
      </w:r>
      <w:r w:rsidR="00A11CF5">
        <w:t>through afforestation, e.g. on previously non-forested land (which includes</w:t>
      </w:r>
      <w:r w:rsidR="00EF095C" w:rsidRPr="00E367F4">
        <w:t xml:space="preserve"> </w:t>
      </w:r>
      <w:r w:rsidR="00132C49" w:rsidRPr="00E367F4">
        <w:t>abandoned</w:t>
      </w:r>
      <w:r w:rsidR="00EE139B" w:rsidRPr="00E367F4">
        <w:t xml:space="preserve"> or degraded pasture- or cropland or other marginal land</w:t>
      </w:r>
      <w:r w:rsidR="00A11CF5">
        <w:t>)</w:t>
      </w:r>
      <w:r w:rsidR="00132C49" w:rsidRPr="00934BBC">
        <w:t xml:space="preserve">. </w:t>
      </w:r>
    </w:p>
    <w:p w14:paraId="6F8556F7" w14:textId="77777777" w:rsidR="0010700D" w:rsidRDefault="0010700D" w:rsidP="00D2180D">
      <w:pPr>
        <w:spacing w:after="0"/>
      </w:pPr>
    </w:p>
    <w:p w14:paraId="57F12CA0" w14:textId="5CC9BB6E" w:rsidR="007D39D5" w:rsidRDefault="00EB20B3" w:rsidP="00D2180D">
      <w:pPr>
        <w:spacing w:after="0"/>
      </w:pPr>
      <w:r>
        <w:rPr>
          <w:bCs/>
        </w:rPr>
        <w:t>Afforestation</w:t>
      </w:r>
      <w:r w:rsidR="007D39D5">
        <w:rPr>
          <w:bCs/>
        </w:rPr>
        <w:t xml:space="preserve"> </w:t>
      </w:r>
      <w:r w:rsidR="008A3236">
        <w:rPr>
          <w:bCs/>
        </w:rPr>
        <w:t>include</w:t>
      </w:r>
      <w:r>
        <w:rPr>
          <w:bCs/>
        </w:rPr>
        <w:t>s</w:t>
      </w:r>
      <w:r w:rsidR="008A3236">
        <w:rPr>
          <w:bCs/>
        </w:rPr>
        <w:t xml:space="preserve"> both</w:t>
      </w:r>
      <w:r w:rsidR="0063594A">
        <w:rPr>
          <w:bCs/>
        </w:rPr>
        <w:t xml:space="preserve"> </w:t>
      </w:r>
      <w:r w:rsidR="007D39D5">
        <w:rPr>
          <w:bCs/>
        </w:rPr>
        <w:t>m</w:t>
      </w:r>
      <w:r w:rsidR="007D39D5" w:rsidRPr="0093139E">
        <w:rPr>
          <w:bCs/>
        </w:rPr>
        <w:t>onoculture</w:t>
      </w:r>
      <w:r w:rsidR="008A3236">
        <w:rPr>
          <w:bCs/>
        </w:rPr>
        <w:t>s and mixed stands</w:t>
      </w:r>
      <w:r w:rsidR="007D39D5" w:rsidRPr="0093139E">
        <w:rPr>
          <w:bCs/>
        </w:rPr>
        <w:t xml:space="preserve"> </w:t>
      </w:r>
      <w:r w:rsidR="00693D04">
        <w:rPr>
          <w:bCs/>
        </w:rPr>
        <w:t>and</w:t>
      </w:r>
      <w:r w:rsidR="009E210F">
        <w:rPr>
          <w:bCs/>
        </w:rPr>
        <w:t xml:space="preserve"> can consist of native or non-native species; they are established to</w:t>
      </w:r>
      <w:r w:rsidR="008A3236" w:rsidRPr="0093139E">
        <w:rPr>
          <w:bCs/>
        </w:rPr>
        <w:t xml:space="preserve"> </w:t>
      </w:r>
      <w:r w:rsidR="007D39D5" w:rsidRPr="0093139E">
        <w:rPr>
          <w:bCs/>
        </w:rPr>
        <w:t>pro</w:t>
      </w:r>
      <w:r w:rsidR="007D39D5">
        <w:rPr>
          <w:bCs/>
        </w:rPr>
        <w:t xml:space="preserve">vide industrial </w:t>
      </w:r>
      <w:r w:rsidR="0095610E">
        <w:rPr>
          <w:bCs/>
        </w:rPr>
        <w:t>timber</w:t>
      </w:r>
      <w:r w:rsidR="0063594A">
        <w:rPr>
          <w:bCs/>
        </w:rPr>
        <w:t>, fib</w:t>
      </w:r>
      <w:r w:rsidR="00741067">
        <w:rPr>
          <w:bCs/>
        </w:rPr>
        <w:t>er</w:t>
      </w:r>
      <w:r w:rsidR="0063594A">
        <w:rPr>
          <w:bCs/>
        </w:rPr>
        <w:t xml:space="preserve"> </w:t>
      </w:r>
      <w:r w:rsidR="007D39D5">
        <w:rPr>
          <w:bCs/>
        </w:rPr>
        <w:t xml:space="preserve">and pulp products. </w:t>
      </w:r>
      <w:r w:rsidR="00356A92">
        <w:rPr>
          <w:bCs/>
        </w:rPr>
        <w:t xml:space="preserve">Establishment requires the preparation of previously non-forested land, and the procurement and planting of tree seedlings. </w:t>
      </w:r>
      <w:r w:rsidR="0010700D">
        <w:rPr>
          <w:bCs/>
        </w:rPr>
        <w:t xml:space="preserve">While about </w:t>
      </w:r>
      <w:r w:rsidR="0010700D" w:rsidRPr="0093139E">
        <w:rPr>
          <w:bCs/>
        </w:rPr>
        <w:t xml:space="preserve">10% of </w:t>
      </w:r>
      <w:r w:rsidR="0010700D">
        <w:rPr>
          <w:bCs/>
        </w:rPr>
        <w:t>commercial</w:t>
      </w:r>
      <w:r w:rsidR="0010700D" w:rsidRPr="0093139E">
        <w:rPr>
          <w:bCs/>
        </w:rPr>
        <w:t xml:space="preserve"> plantations </w:t>
      </w:r>
      <w:r w:rsidR="0010700D">
        <w:rPr>
          <w:bCs/>
        </w:rPr>
        <w:t xml:space="preserve">yield biofuel or non-timber forest products </w:t>
      </w:r>
      <w:r w:rsidR="00655B1D">
        <w:rPr>
          <w:bCs/>
        </w:rPr>
        <w:fldChar w:fldCharType="begin"/>
      </w:r>
      <w:r w:rsidR="00CD13B3">
        <w:rPr>
          <w:bCs/>
        </w:rPr>
        <w:instrText xml:space="preserve"> ADDIN ZOTERO_ITEM CSL_CITATION {"citationID":"m5UEYtoh","properties":{"formattedCitation":"(FAO, 2010; Lamb, Erskine, &amp; Parrotta, 2005)","plainCitation":"(FAO, 2010; Lamb, Erskine, &amp; Parrotta, 2005)","noteIndex":0},"citationItems":[{"id":455,"uris":["http://zotero.org/groups/2241939/items/PNGCYJD2"],"uri":["http://zotero.org/groups/2241939/items/PNGCYJD2"],"itemData":{"id":455,"type":"report","title":"Global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Nations","author":[{"family":"FAO","given":""}],"issued":{"date-parts":[["2010"]]}}},{"id":928,"uris":["http://zotero.org/groups/2241939/items/T664AWJS"],"uri":["http://zotero.org/groups/2241939/items/T664AWJS"],"itemData":{"id":928,"type":"article-journal","title":"Restoration of Degraded Tropical Forest Landscapes","container-title":"Science","page":"1628-1632","volume":"310","issue":"5754","source":"science.sciencemag.org","abstract":"The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poverty.","DOI":"10.1126/science.1111773","ISSN":"0036-8075, 1095-9203","note":"PMID: 16339437","language":"en","author":[{"family":"Lamb","given":"David"},{"family":"Erskine","given":"Peter D."},{"family":"Parrotta","given":"John A."}],"issued":{"date-parts":[["2005",12,9]]}}}],"schema":"https://github.com/citation-style-language/schema/raw/master/csl-citation.json"} </w:instrText>
      </w:r>
      <w:r w:rsidR="00655B1D">
        <w:rPr>
          <w:bCs/>
        </w:rPr>
        <w:fldChar w:fldCharType="separate"/>
      </w:r>
      <w:r w:rsidR="008B187E" w:rsidRPr="008B187E">
        <w:rPr>
          <w:rFonts w:cs="Times New Roman"/>
        </w:rPr>
        <w:t>(FAO, 2010; Lamb, Erskine, &amp; Parrotta, 2005)</w:t>
      </w:r>
      <w:r w:rsidR="00655B1D">
        <w:rPr>
          <w:bCs/>
        </w:rPr>
        <w:fldChar w:fldCharType="end"/>
      </w:r>
      <w:r w:rsidR="0010700D">
        <w:rPr>
          <w:bCs/>
        </w:rPr>
        <w:t xml:space="preserve">, these are excluded from Project Drawdown’s definition to avoid overlap with the </w:t>
      </w:r>
      <w:r w:rsidR="0010700D">
        <w:rPr>
          <w:bCs/>
          <w:i/>
        </w:rPr>
        <w:t xml:space="preserve">perennial biomass </w:t>
      </w:r>
      <w:r w:rsidR="0010700D">
        <w:rPr>
          <w:bCs/>
        </w:rPr>
        <w:t>solution, which focuses on biofuel crops (Drawdown 2016</w:t>
      </w:r>
      <w:r w:rsidR="0010700D" w:rsidRPr="0093139E">
        <w:rPr>
          <w:bCs/>
        </w:rPr>
        <w:t>).</w:t>
      </w:r>
      <w:r w:rsidR="0010700D">
        <w:rPr>
          <w:bCs/>
        </w:rPr>
        <w:t xml:space="preserve"> </w:t>
      </w:r>
      <w:r w:rsidR="00934BBC">
        <w:rPr>
          <w:bCs/>
        </w:rPr>
        <w:t xml:space="preserve">Some of the most common species groups found in current forest plantations are: </w:t>
      </w:r>
      <w:r w:rsidR="00934BBC">
        <w:rPr>
          <w:bCs/>
          <w:i/>
        </w:rPr>
        <w:t xml:space="preserve">Acacia </w:t>
      </w:r>
      <w:r w:rsidR="00934BBC">
        <w:rPr>
          <w:bCs/>
        </w:rPr>
        <w:t xml:space="preserve">spp., </w:t>
      </w:r>
      <w:r w:rsidR="00934BBC">
        <w:rPr>
          <w:bCs/>
          <w:i/>
        </w:rPr>
        <w:t xml:space="preserve">Eucalyptus </w:t>
      </w:r>
      <w:r w:rsidR="00934BBC">
        <w:rPr>
          <w:bCs/>
        </w:rPr>
        <w:t xml:space="preserve">spp., </w:t>
      </w:r>
      <w:r w:rsidR="00934BBC">
        <w:rPr>
          <w:bCs/>
          <w:i/>
        </w:rPr>
        <w:t>Pinus</w:t>
      </w:r>
      <w:r w:rsidR="00934BBC">
        <w:rPr>
          <w:bCs/>
        </w:rPr>
        <w:t xml:space="preserve"> spp., and </w:t>
      </w:r>
      <w:r w:rsidR="00934BBC">
        <w:rPr>
          <w:bCs/>
          <w:i/>
        </w:rPr>
        <w:t xml:space="preserve">Tectona </w:t>
      </w:r>
      <w:r w:rsidR="00934BBC">
        <w:rPr>
          <w:bCs/>
        </w:rPr>
        <w:t>spp., along with other coniferous and broadleaf species.</w:t>
      </w:r>
    </w:p>
    <w:p w14:paraId="402D77F8" w14:textId="7475D519" w:rsidR="00627196" w:rsidRDefault="00627196" w:rsidP="00D2180D">
      <w:pPr>
        <w:spacing w:after="0"/>
        <w:rPr>
          <w:bCs/>
        </w:rPr>
      </w:pPr>
    </w:p>
    <w:p w14:paraId="1F90FB97" w14:textId="48692C19" w:rsidR="00E546B0" w:rsidRDefault="0010700D" w:rsidP="00D2180D">
      <w:pPr>
        <w:spacing w:after="0"/>
        <w:rPr>
          <w:bCs/>
        </w:rPr>
      </w:pPr>
      <w:r>
        <w:t>Global a</w:t>
      </w:r>
      <w:r w:rsidR="00486EC5">
        <w:t>fforestation</w:t>
      </w:r>
      <w:r w:rsidR="00CC7169">
        <w:t>, which includes establishment of new forest plantations,</w:t>
      </w:r>
      <w:r w:rsidR="00486EC5">
        <w:t xml:space="preserve"> </w:t>
      </w:r>
      <w:r w:rsidR="000518B6">
        <w:t>has been</w:t>
      </w:r>
      <w:r w:rsidR="00820B5E">
        <w:t xml:space="preserve"> </w:t>
      </w:r>
      <w:r w:rsidR="00132C49" w:rsidRPr="445A7B8D">
        <w:t>predicted to expand</w:t>
      </w:r>
      <w:r w:rsidR="0084434C">
        <w:t xml:space="preserve"> at a</w:t>
      </w:r>
      <w:r w:rsidR="002E5432">
        <w:t>n average annual</w:t>
      </w:r>
      <w:r w:rsidR="0084434C">
        <w:t xml:space="preserve"> rate of</w:t>
      </w:r>
      <w:r w:rsidR="00132C49" w:rsidRPr="445A7B8D">
        <w:t xml:space="preserve"> 1.9 </w:t>
      </w:r>
      <w:r w:rsidR="0084434C">
        <w:t>-</w:t>
      </w:r>
      <w:r w:rsidR="00132C49" w:rsidRPr="445A7B8D">
        <w:t xml:space="preserve"> 3.6 Mha through 2030</w:t>
      </w:r>
      <w:r w:rsidR="00655B1D">
        <w:t xml:space="preserve"> </w:t>
      </w:r>
      <w:r w:rsidR="00655B1D">
        <w:fldChar w:fldCharType="begin"/>
      </w:r>
      <w:r w:rsidR="00655B1D">
        <w:instrText xml:space="preserve"> ADDIN ZOTERO_ITEM CSL_CITATION {"citationID":"yaOLV13F","properties":{"formattedCitation":"(Lambin &amp; Meyfroidt, 2011; Paquette &amp; Messier, 2009)","plainCitation":"(Lambin &amp; Meyfroidt, 2011; Paquette &amp; Messier, 2009)","noteIndex":0},"citationItems":[{"id":898,"uris":["http://zotero.org/groups/2241939/items/6SUS6928"],"uri":["http://zotero.org/groups/2241939/items/6SUS6928"],"itemData":{"id":898,"type":"article-journal","title":"Global land use change, economic globalization, and the looming land scarcity","container-title":"Proceedings of the National Academy of Sciences","page":"3465–3472","volume":"108","issue":"9","source":"Google Scholar","author":[{"family":"Lambin","given":"Eric F."},{"family":"Meyfroidt","given":"Patrick"}],"issued":{"date-parts":[["2011"]]}}},{"id":14,"uris":["http://zotero.org/groups/2241939/items/NNWME6NP"],"uri":["http://zotero.org/groups/2241939/items/NNWME6NP"],"itemData":{"id":14,"type":"article-journal","title":"The role of plantations in managing the world's forests in the Anthropocene","container-title":"Frontiers in Ecology and the Environment","page":"27–34","volume":"8","issue":"1","source":"Google Scholar","author":[{"family":"Paquette","given":"Alain"},{"family":"Messier","given":"Christian"}],"issued":{"date-parts":[["2009"]]}}}],"schema":"https://github.com/citation-style-language/schema/raw/master/csl-citation.json"} </w:instrText>
      </w:r>
      <w:r w:rsidR="00655B1D">
        <w:fldChar w:fldCharType="separate"/>
      </w:r>
      <w:r w:rsidR="00655B1D" w:rsidRPr="00655B1D">
        <w:rPr>
          <w:rFonts w:cs="Times New Roman"/>
        </w:rPr>
        <w:t>(Lambin &amp; Meyfroidt, 2011; Paquette &amp; Messier, 2009)</w:t>
      </w:r>
      <w:r w:rsidR="00655B1D">
        <w:fldChar w:fldCharType="end"/>
      </w:r>
      <w:r w:rsidR="00132C49" w:rsidRPr="445A7B8D">
        <w:t xml:space="preserve"> . </w:t>
      </w:r>
      <w:r w:rsidR="00EA1F4F">
        <w:t>Most</w:t>
      </w:r>
      <w:r w:rsidR="001A67EC">
        <w:t xml:space="preserve"> </w:t>
      </w:r>
      <w:r w:rsidR="00C456D4">
        <w:t xml:space="preserve">current </w:t>
      </w:r>
      <w:r w:rsidR="00A42AE6">
        <w:t xml:space="preserve">documented afforestation areas </w:t>
      </w:r>
      <w:r w:rsidR="00132C49" w:rsidRPr="0093139E">
        <w:rPr>
          <w:bCs/>
        </w:rPr>
        <w:t>are concentrated in</w:t>
      </w:r>
      <w:r w:rsidR="008B0855">
        <w:rPr>
          <w:bCs/>
        </w:rPr>
        <w:t xml:space="preserve"> boreal and</w:t>
      </w:r>
      <w:r w:rsidR="00132C49" w:rsidRPr="0093139E">
        <w:rPr>
          <w:bCs/>
        </w:rPr>
        <w:t xml:space="preserve"> temperate regions</w:t>
      </w:r>
      <w:r w:rsidR="00655B1D">
        <w:rPr>
          <w:bCs/>
        </w:rPr>
        <w:t xml:space="preserve"> </w:t>
      </w:r>
      <w:r w:rsidR="00655B1D">
        <w:rPr>
          <w:bCs/>
        </w:rPr>
        <w:fldChar w:fldCharType="begin"/>
      </w:r>
      <w:r w:rsidR="00655B1D">
        <w:rPr>
          <w:bCs/>
        </w:rPr>
        <w:instrText xml:space="preserve"> ADDIN ZOTERO_ITEM CSL_CITATION {"citationID":"5OEHTIb9","properties":{"formattedCitation":"(FAO, 2016)","plainCitation":"(FAO, 2016)","noteIndex":0},"citationItems":[{"id":51,"uris":["http://zotero.org/groups/2241939/items/KL5RLYSK"],"uri":["http://zotero.org/groups/2241939/items/KL5RLYSK"],"itemData":{"id":51,"type":"webpage","title":"Global Forest Resources Assessment 2015. How are the World's Forests Changing? (Second edition) - a-i4793e.pdf","URL":"http://www.fao.org/3/a-i4793e.pdf","author":[{"family":"FAO","given":""}],"issued":{"date-parts":[["2016"]]},"accessed":{"date-parts":[["2016",10,26]]}}}],"schema":"https://github.com/citation-style-language/schema/raw/master/csl-citation.json"} </w:instrText>
      </w:r>
      <w:r w:rsidR="00655B1D">
        <w:rPr>
          <w:bCs/>
        </w:rPr>
        <w:fldChar w:fldCharType="separate"/>
      </w:r>
      <w:r w:rsidR="00655B1D" w:rsidRPr="00655B1D">
        <w:rPr>
          <w:rFonts w:cs="Times New Roman"/>
        </w:rPr>
        <w:t>(FAO, 2016)</w:t>
      </w:r>
      <w:r w:rsidR="00655B1D">
        <w:rPr>
          <w:bCs/>
        </w:rPr>
        <w:fldChar w:fldCharType="end"/>
      </w:r>
      <w:r w:rsidR="0029303E">
        <w:rPr>
          <w:bCs/>
        </w:rPr>
        <w:t xml:space="preserve">, although expansion in tropical regions is also increasing </w:t>
      </w:r>
      <w:r w:rsidR="001A6333">
        <w:rPr>
          <w:bCs/>
        </w:rPr>
        <w:t>through</w:t>
      </w:r>
      <w:r w:rsidR="00FC0A65">
        <w:rPr>
          <w:bCs/>
        </w:rPr>
        <w:t xml:space="preserve"> increased participation in multilateral programs</w:t>
      </w:r>
      <w:r w:rsidR="0029303E">
        <w:rPr>
          <w:bCs/>
        </w:rPr>
        <w:t xml:space="preserve"> like the </w:t>
      </w:r>
      <w:r w:rsidR="001A6333">
        <w:rPr>
          <w:bCs/>
        </w:rPr>
        <w:t xml:space="preserve">NY Declaration of Forests or the </w:t>
      </w:r>
      <w:r w:rsidR="0029303E">
        <w:rPr>
          <w:bCs/>
        </w:rPr>
        <w:t>Bonn Challenge</w:t>
      </w:r>
      <w:r w:rsidR="008B0855">
        <w:rPr>
          <w:bCs/>
        </w:rPr>
        <w:t>.</w:t>
      </w:r>
      <w:r w:rsidR="00132C49" w:rsidRPr="0093139E">
        <w:rPr>
          <w:bCs/>
        </w:rPr>
        <w:t xml:space="preserve"> </w:t>
      </w:r>
      <w:r w:rsidR="002848CD">
        <w:rPr>
          <w:bCs/>
        </w:rPr>
        <w:t>T</w:t>
      </w:r>
      <w:r w:rsidR="007A5AC1">
        <w:rPr>
          <w:bCs/>
        </w:rPr>
        <w:t>o date, C</w:t>
      </w:r>
      <w:r w:rsidR="00132C49" w:rsidRPr="0093139E">
        <w:rPr>
          <w:bCs/>
        </w:rPr>
        <w:t xml:space="preserve">hina has the highest </w:t>
      </w:r>
      <w:r w:rsidR="008B0855">
        <w:rPr>
          <w:bCs/>
        </w:rPr>
        <w:t xml:space="preserve">global </w:t>
      </w:r>
      <w:r w:rsidR="002F5AB5">
        <w:rPr>
          <w:bCs/>
        </w:rPr>
        <w:t>growth rate in afforestation</w:t>
      </w:r>
      <w:r w:rsidR="008B0855">
        <w:rPr>
          <w:bCs/>
        </w:rPr>
        <w:t xml:space="preserve"> since 1990</w:t>
      </w:r>
      <w:r w:rsidR="00132C49" w:rsidRPr="0093139E">
        <w:rPr>
          <w:bCs/>
        </w:rPr>
        <w:t>, due to exte</w:t>
      </w:r>
      <w:r w:rsidR="00132C49">
        <w:rPr>
          <w:bCs/>
        </w:rPr>
        <w:t xml:space="preserve">nsive </w:t>
      </w:r>
      <w:r w:rsidR="008B0855">
        <w:rPr>
          <w:bCs/>
        </w:rPr>
        <w:t>investments</w:t>
      </w:r>
      <w:r w:rsidR="002F5AB5">
        <w:rPr>
          <w:bCs/>
        </w:rPr>
        <w:t xml:space="preserve"> for ambitious initiatives</w:t>
      </w:r>
      <w:r w:rsidR="00FC0A65">
        <w:rPr>
          <w:bCs/>
        </w:rPr>
        <w:t>, for instance the</w:t>
      </w:r>
      <w:r w:rsidR="009632EC">
        <w:rPr>
          <w:bCs/>
        </w:rPr>
        <w:t xml:space="preserve"> “Grain for Green” program</w:t>
      </w:r>
      <w:r w:rsidR="00655B1D">
        <w:rPr>
          <w:bCs/>
        </w:rPr>
        <w:t xml:space="preserve"> </w:t>
      </w:r>
      <w:r w:rsidR="00655B1D">
        <w:rPr>
          <w:bCs/>
        </w:rPr>
        <w:fldChar w:fldCharType="begin"/>
      </w:r>
      <w:r w:rsidR="00655B1D">
        <w:rPr>
          <w:bCs/>
        </w:rPr>
        <w:instrText xml:space="preserve"> ADDIN ZOTERO_ITEM CSL_CITATION {"citationID":"7d79d3hL","properties":{"formattedCitation":"(Dunne, 2018)","plainCitation":"(Dunne, 2018)","noteIndex":0},"citationItems":[{"id":2916,"uris":["http://zotero.org/groups/2241939/items/9BTTUDEG"],"uri":["http://zotero.org/groups/2241939/items/9BTTUDEG"],"itemData":{"id":2916,"type":"webpage","title":"Mapped: Where ‘afforestation’ is taking place around the world","container-title":"CarbonBrief - Clear on Climate","URL":"https://www.carbonbrief.org/mapped-where-afforestation-is-taking-place-around-the-world?utm_source=NEW+Weekly+Briefing&amp;utm_campaign=86febf2fdd-Carbon_Brief_Weekly_12_10_2018&amp;utm_medium=email&amp;utm_term=0_b6e0a2d2ef-86febf2fdd-303546961&amp;ct=t(Carbon_Brief_Weekly_12_10_2018)&amp;goal=0_b6e0a2d2ef-86febf2fdd-303546961","author":[{"family":"Dunne","given":"Daisy"}],"issued":{"date-parts":[["2018"]]}}}],"schema":"https://github.com/citation-style-language/schema/raw/master/csl-citation.json"} </w:instrText>
      </w:r>
      <w:r w:rsidR="00655B1D">
        <w:rPr>
          <w:bCs/>
        </w:rPr>
        <w:fldChar w:fldCharType="separate"/>
      </w:r>
      <w:r w:rsidR="00655B1D" w:rsidRPr="00655B1D">
        <w:rPr>
          <w:rFonts w:cs="Times New Roman"/>
        </w:rPr>
        <w:t>(Dunne, 2018)</w:t>
      </w:r>
      <w:r w:rsidR="00655B1D">
        <w:rPr>
          <w:bCs/>
        </w:rPr>
        <w:fldChar w:fldCharType="end"/>
      </w:r>
      <w:r w:rsidR="00E546B0">
        <w:rPr>
          <w:bCs/>
        </w:rPr>
        <w:t xml:space="preserve"> </w:t>
      </w:r>
      <w:r w:rsidR="00132C49">
        <w:rPr>
          <w:bCs/>
        </w:rPr>
        <w:t xml:space="preserve">. </w:t>
      </w:r>
    </w:p>
    <w:p w14:paraId="4300925C" w14:textId="77777777" w:rsidR="00B13E10" w:rsidRDefault="00B13E10" w:rsidP="00D2180D">
      <w:pPr>
        <w:spacing w:after="0"/>
        <w:rPr>
          <w:bCs/>
        </w:rPr>
      </w:pPr>
    </w:p>
    <w:p w14:paraId="28E9A18F" w14:textId="19295505" w:rsidR="0010700D" w:rsidRDefault="0010700D" w:rsidP="00D45F43">
      <w:pPr>
        <w:spacing w:after="0"/>
        <w:rPr>
          <w:rFonts w:cs="Times New Roman"/>
          <w:sz w:val="24"/>
          <w:szCs w:val="24"/>
        </w:rPr>
      </w:pPr>
      <w:r>
        <w:rPr>
          <w:bCs/>
        </w:rPr>
        <w:lastRenderedPageBreak/>
        <w:t xml:space="preserve">Through the application of sustainable </w:t>
      </w:r>
      <w:r w:rsidRPr="0093139E">
        <w:rPr>
          <w:bCs/>
        </w:rPr>
        <w:t>forest management practices</w:t>
      </w:r>
      <w:r>
        <w:rPr>
          <w:bCs/>
        </w:rPr>
        <w:t>, forest plantations</w:t>
      </w:r>
      <w:r>
        <w:t xml:space="preserve"> have the potential to store</w:t>
      </w:r>
      <w:r w:rsidRPr="445A7B8D">
        <w:t xml:space="preserve"> significantly more </w:t>
      </w:r>
      <w:r>
        <w:t xml:space="preserve">carbon </w:t>
      </w:r>
      <w:r w:rsidRPr="445A7B8D">
        <w:t xml:space="preserve">than pastures, croplands, or grasslands. </w:t>
      </w:r>
      <w:r>
        <w:rPr>
          <w:bCs/>
        </w:rPr>
        <w:t>Management practices that can encourage biomass growth and</w:t>
      </w:r>
      <w:r w:rsidRPr="0093139E">
        <w:rPr>
          <w:bCs/>
        </w:rPr>
        <w:t xml:space="preserve"> carbon sequestration</w:t>
      </w:r>
      <w:r>
        <w:rPr>
          <w:bCs/>
        </w:rPr>
        <w:t xml:space="preserve"> include</w:t>
      </w:r>
      <w:r w:rsidRPr="0093139E">
        <w:rPr>
          <w:bCs/>
        </w:rPr>
        <w:t xml:space="preserve"> maintaining partial forest cover, planting directly after harvest to reduce carbon loss</w:t>
      </w:r>
      <w:r>
        <w:rPr>
          <w:bCs/>
        </w:rPr>
        <w:t>, selecting fast-growing tree species,</w:t>
      </w:r>
      <w:r w:rsidRPr="0093139E">
        <w:rPr>
          <w:bCs/>
        </w:rPr>
        <w:t xml:space="preserve"> </w:t>
      </w:r>
      <w:r>
        <w:rPr>
          <w:bCs/>
        </w:rPr>
        <w:t xml:space="preserve">practicing </w:t>
      </w:r>
      <w:r w:rsidRPr="0093139E">
        <w:rPr>
          <w:bCs/>
        </w:rPr>
        <w:t xml:space="preserve">selective cutting rather than clear cutting, </w:t>
      </w:r>
      <w:r>
        <w:rPr>
          <w:bCs/>
        </w:rPr>
        <w:t>using targeted fertilizer application, etc. Other practices like thinning have more nuanced benefits: while they may reduce</w:t>
      </w:r>
      <w:r w:rsidRPr="0093139E">
        <w:rPr>
          <w:bCs/>
        </w:rPr>
        <w:t xml:space="preserve"> carbon storage</w:t>
      </w:r>
      <w:r>
        <w:rPr>
          <w:bCs/>
        </w:rPr>
        <w:t xml:space="preserve"> potentials, they have also been shown to improve plantation productivity through</w:t>
      </w:r>
      <w:r w:rsidRPr="0093139E">
        <w:rPr>
          <w:bCs/>
        </w:rPr>
        <w:t xml:space="preserve"> increase</w:t>
      </w:r>
      <w:r>
        <w:rPr>
          <w:bCs/>
        </w:rPr>
        <w:t>d</w:t>
      </w:r>
      <w:r w:rsidRPr="0093139E">
        <w:rPr>
          <w:bCs/>
        </w:rPr>
        <w:t xml:space="preserve"> </w:t>
      </w:r>
      <w:r>
        <w:rPr>
          <w:bCs/>
        </w:rPr>
        <w:t>average tree sizes</w:t>
      </w:r>
      <w:r w:rsidR="00E1136D">
        <w:rPr>
          <w:bCs/>
        </w:rPr>
        <w:t xml:space="preserve"> </w:t>
      </w:r>
      <w:r w:rsidR="00E1136D">
        <w:rPr>
          <w:bCs/>
        </w:rPr>
        <w:fldChar w:fldCharType="begin"/>
      </w:r>
      <w:r w:rsidR="00E1136D">
        <w:rPr>
          <w:bCs/>
        </w:rPr>
        <w:instrText xml:space="preserve"> ADDIN ZOTERO_ITEM CSL_CITATION {"citationID":"20aX4CGq","properties":{"formattedCitation":"(Thornley &amp; Cannell, 2000)","plainCitation":"(Thornley &amp; Cannell, 2000)","noteIndex":0},"citationItems":[{"id":2918,"uris":["http://zotero.org/groups/2241939/items/BZ6JJQLA"],"uri":["http://zotero.org/groups/2241939/items/BZ6JJQLA"],"itemData":{"id":2918,"type":"article-journal","title":"Managing forests for wood yield and carbon storage: a theoretical study","container-title":"Tree Physiology","page":"477-484","volume":"20","issue":"7","source":"Crossref","abstract":"Which forest management regimes best achieve the dual objectives of high sustained timber yield and high carbon storage, including the carbon stored in soil and wood products? A mechanistic forest ecosystem simulator, which couples carbon, nitrogen and water (Edinburgh Forest Model), was calibrated to mimic the growth of a pine plantation in a Scottish climate. The model was then run to equilibrium (1) as an undisturbed forest, (2) removing 2.5, 10, 20 or 40% of the woody biomass each year (3) removing 50% of the woody biomass every 20 years, and (4) clear-felling and replanting every 60 years as in conventional plantations in this climate.","DOI":"10.1093/treephys/20.7.477","ISSN":"0829-318X, 1758-4469","shortTitle":"Managing forests for wood yield and carbon storage","language":"en","author":[{"family":"Thornley","given":"J. H. M."},{"family":"Cannell","given":"M. G. R."}],"issued":{"date-parts":[["2000",4,1]]}}}],"schema":"https://github.com/citation-style-language/schema/raw/master/csl-citation.json"} </w:instrText>
      </w:r>
      <w:r w:rsidR="00E1136D">
        <w:rPr>
          <w:bCs/>
        </w:rPr>
        <w:fldChar w:fldCharType="separate"/>
      </w:r>
      <w:r w:rsidR="00E1136D" w:rsidRPr="00E1136D">
        <w:rPr>
          <w:rFonts w:cs="Times New Roman"/>
        </w:rPr>
        <w:t>(Thornley &amp; Cannell, 2000)</w:t>
      </w:r>
      <w:r w:rsidR="00E1136D">
        <w:rPr>
          <w:bCs/>
        </w:rPr>
        <w:fldChar w:fldCharType="end"/>
      </w:r>
      <w:r w:rsidR="00A24354">
        <w:rPr>
          <w:rFonts w:cs="Times New Roman"/>
          <w:sz w:val="24"/>
          <w:szCs w:val="24"/>
        </w:rPr>
        <w:t>.</w:t>
      </w:r>
    </w:p>
    <w:p w14:paraId="61AF6F6A" w14:textId="77777777" w:rsidR="0048534E" w:rsidRDefault="0048534E" w:rsidP="00D45F43">
      <w:pPr>
        <w:spacing w:after="0"/>
      </w:pPr>
    </w:p>
    <w:p w14:paraId="2A3E08D5" w14:textId="5AAC5C1C" w:rsidR="00B13E10" w:rsidRDefault="00B13E10" w:rsidP="00D2180D">
      <w:pPr>
        <w:spacing w:after="0"/>
        <w:rPr>
          <w:bCs/>
        </w:rPr>
      </w:pPr>
      <w:r w:rsidRPr="0093139E">
        <w:rPr>
          <w:bCs/>
        </w:rPr>
        <w:t xml:space="preserve">The relative importance of economic priorities and ecological concerns can drive the location of </w:t>
      </w:r>
      <w:r w:rsidR="003317ED">
        <w:rPr>
          <w:bCs/>
        </w:rPr>
        <w:t>forest plantation</w:t>
      </w:r>
      <w:r w:rsidR="00FC7355">
        <w:rPr>
          <w:bCs/>
        </w:rPr>
        <w:t xml:space="preserve"> establishment</w:t>
      </w:r>
      <w:r w:rsidRPr="0093139E">
        <w:rPr>
          <w:bCs/>
        </w:rPr>
        <w:t>:</w:t>
      </w:r>
      <w:r>
        <w:rPr>
          <w:bCs/>
        </w:rPr>
        <w:t xml:space="preserve"> </w:t>
      </w:r>
      <w:r w:rsidR="00394573">
        <w:rPr>
          <w:bCs/>
        </w:rPr>
        <w:t>selection</w:t>
      </w:r>
      <w:r w:rsidR="005710EE">
        <w:rPr>
          <w:bCs/>
        </w:rPr>
        <w:t xml:space="preserve"> of suitable</w:t>
      </w:r>
      <w:r w:rsidRPr="0093139E">
        <w:rPr>
          <w:bCs/>
        </w:rPr>
        <w:t xml:space="preserve"> areas</w:t>
      </w:r>
      <w:r w:rsidR="00394573">
        <w:rPr>
          <w:bCs/>
        </w:rPr>
        <w:t xml:space="preserve"> for planting is essential to not only promote higher production levels but also to ensure</w:t>
      </w:r>
      <w:r w:rsidRPr="0093139E">
        <w:rPr>
          <w:bCs/>
        </w:rPr>
        <w:t xml:space="preserve"> ecological stability.</w:t>
      </w:r>
      <w:r>
        <w:rPr>
          <w:bCs/>
        </w:rPr>
        <w:t xml:space="preserve"> </w:t>
      </w:r>
      <w:r w:rsidR="00C50418">
        <w:rPr>
          <w:bCs/>
        </w:rPr>
        <w:t>In areas with</w:t>
      </w:r>
      <w:r w:rsidRPr="0093139E">
        <w:rPr>
          <w:bCs/>
        </w:rPr>
        <w:t xml:space="preserve"> unsuitable </w:t>
      </w:r>
      <w:r w:rsidR="00C50418">
        <w:rPr>
          <w:bCs/>
        </w:rPr>
        <w:t xml:space="preserve">climates </w:t>
      </w:r>
      <w:r w:rsidRPr="0093139E">
        <w:rPr>
          <w:bCs/>
        </w:rPr>
        <w:t xml:space="preserve">for </w:t>
      </w:r>
      <w:r w:rsidR="00C50418">
        <w:rPr>
          <w:bCs/>
        </w:rPr>
        <w:t>tree-growth, tree establishment might lead to water-stresses</w:t>
      </w:r>
      <w:r w:rsidRPr="0093139E">
        <w:rPr>
          <w:bCs/>
        </w:rPr>
        <w:t>.</w:t>
      </w:r>
      <w:r>
        <w:rPr>
          <w:bCs/>
        </w:rPr>
        <w:t xml:space="preserve"> </w:t>
      </w:r>
      <w:r w:rsidR="00C50418">
        <w:rPr>
          <w:bCs/>
        </w:rPr>
        <w:t>In such areas,</w:t>
      </w:r>
      <w:r w:rsidRPr="0093139E">
        <w:rPr>
          <w:bCs/>
        </w:rPr>
        <w:t xml:space="preserve"> grasslands are more likely to establish than forests</w:t>
      </w:r>
      <w:r w:rsidR="00C50418">
        <w:rPr>
          <w:bCs/>
        </w:rPr>
        <w:t>, particularly on already degraded, depleted or compacted soils</w:t>
      </w:r>
      <w:r w:rsidRPr="0093139E">
        <w:rPr>
          <w:bCs/>
        </w:rPr>
        <w:t>.</w:t>
      </w:r>
      <w:r>
        <w:rPr>
          <w:bCs/>
        </w:rPr>
        <w:t xml:space="preserve"> </w:t>
      </w:r>
      <w:r w:rsidR="00B21D56">
        <w:rPr>
          <w:bCs/>
        </w:rPr>
        <w:t>In suitable climates with sufficient rainfall, however, e</w:t>
      </w:r>
      <w:r w:rsidR="003317ED">
        <w:rPr>
          <w:bCs/>
        </w:rPr>
        <w:t>stablishment of forest plantations</w:t>
      </w:r>
      <w:r w:rsidRPr="0093139E">
        <w:rPr>
          <w:bCs/>
        </w:rPr>
        <w:t xml:space="preserve"> on degraded land </w:t>
      </w:r>
      <w:r w:rsidR="002C4F7B">
        <w:rPr>
          <w:bCs/>
        </w:rPr>
        <w:t>might contribute to soil restoration</w:t>
      </w:r>
      <w:r w:rsidRPr="0093139E">
        <w:rPr>
          <w:bCs/>
        </w:rPr>
        <w:t xml:space="preserve"> by reducing the risk of erosion</w:t>
      </w:r>
      <w:r>
        <w:rPr>
          <w:bCs/>
        </w:rPr>
        <w:t>, boosting soil carbon</w:t>
      </w:r>
      <w:r w:rsidRPr="0093139E">
        <w:rPr>
          <w:bCs/>
        </w:rPr>
        <w:t xml:space="preserve"> and improving water quality.</w:t>
      </w:r>
      <w:r>
        <w:rPr>
          <w:bCs/>
        </w:rPr>
        <w:t xml:space="preserve"> </w:t>
      </w:r>
    </w:p>
    <w:p w14:paraId="4B2C7B98" w14:textId="77777777" w:rsidR="00CA50CF" w:rsidRDefault="00CA50CF" w:rsidP="00CD58A6">
      <w:pPr>
        <w:rPr>
          <w:b/>
          <w:i/>
          <w:color w:val="000000"/>
        </w:rPr>
      </w:pPr>
    </w:p>
    <w:p w14:paraId="4795528E" w14:textId="7FBA2C64" w:rsidR="00731454" w:rsidRPr="00CD58A6" w:rsidRDefault="00D2180D" w:rsidP="00CD58A6">
      <w:pPr>
        <w:rPr>
          <w:b/>
          <w:i/>
          <w:color w:val="000000"/>
        </w:rPr>
      </w:pPr>
      <w:r>
        <w:rPr>
          <w:b/>
          <w:i/>
          <w:color w:val="000000"/>
        </w:rPr>
        <w:t>C</w:t>
      </w:r>
      <w:r w:rsidR="00731454">
        <w:rPr>
          <w:b/>
          <w:i/>
          <w:color w:val="000000"/>
        </w:rPr>
        <w:t>arbon Sequestration</w:t>
      </w:r>
      <w:r>
        <w:rPr>
          <w:b/>
          <w:i/>
          <w:color w:val="000000"/>
        </w:rPr>
        <w:t xml:space="preserve"> and Lifetime Carbon Stock</w:t>
      </w:r>
      <w:r w:rsidR="00274997">
        <w:rPr>
          <w:b/>
          <w:i/>
          <w:color w:val="000000"/>
        </w:rPr>
        <w:t xml:space="preserve"> Benefits</w:t>
      </w:r>
    </w:p>
    <w:p w14:paraId="3533C0A1" w14:textId="05C3E2A8" w:rsidR="004941B3" w:rsidRDefault="00B45C11" w:rsidP="00F432A1">
      <w:pPr>
        <w:spacing w:after="0"/>
        <w:rPr>
          <w:bCs/>
        </w:rPr>
      </w:pPr>
      <w:r>
        <w:rPr>
          <w:bCs/>
        </w:rPr>
        <w:t xml:space="preserve">Reported carbon </w:t>
      </w:r>
      <w:r w:rsidR="005D2724">
        <w:rPr>
          <w:bCs/>
        </w:rPr>
        <w:t xml:space="preserve">uptake </w:t>
      </w:r>
      <w:r>
        <w:rPr>
          <w:bCs/>
        </w:rPr>
        <w:t>by</w:t>
      </w:r>
      <w:r w:rsidR="002D73F4">
        <w:rPr>
          <w:bCs/>
        </w:rPr>
        <w:t xml:space="preserve"> afforested </w:t>
      </w:r>
      <w:r w:rsidR="005D2724">
        <w:rPr>
          <w:bCs/>
        </w:rPr>
        <w:t xml:space="preserve">tree plantations </w:t>
      </w:r>
      <w:r w:rsidR="002D73F4">
        <w:rPr>
          <w:bCs/>
        </w:rPr>
        <w:t xml:space="preserve">established on degraded crop- or range-land </w:t>
      </w:r>
      <w:r w:rsidR="005D2724">
        <w:rPr>
          <w:bCs/>
        </w:rPr>
        <w:t>varies widely</w:t>
      </w:r>
      <w:r w:rsidR="00F432A1">
        <w:rPr>
          <w:bCs/>
        </w:rPr>
        <w:t>,</w:t>
      </w:r>
      <w:r w:rsidR="005D2724">
        <w:rPr>
          <w:bCs/>
        </w:rPr>
        <w:t xml:space="preserve"> ranging from 0.</w:t>
      </w:r>
      <w:r>
        <w:rPr>
          <w:bCs/>
        </w:rPr>
        <w:t xml:space="preserve">5 </w:t>
      </w:r>
      <w:r w:rsidR="005D2724">
        <w:rPr>
          <w:bCs/>
        </w:rPr>
        <w:t xml:space="preserve">– </w:t>
      </w:r>
      <w:r>
        <w:rPr>
          <w:bCs/>
        </w:rPr>
        <w:t>11.4</w:t>
      </w:r>
      <w:r w:rsidR="005D2724">
        <w:rPr>
          <w:bCs/>
        </w:rPr>
        <w:t xml:space="preserve"> tC/ha/yr</w:t>
      </w:r>
      <w:r w:rsidR="00F432A1">
        <w:rPr>
          <w:bCs/>
        </w:rPr>
        <w:t xml:space="preserve"> in existing literature</w:t>
      </w:r>
      <w:r w:rsidR="00A1150A">
        <w:rPr>
          <w:bCs/>
        </w:rPr>
        <w:t xml:space="preserve"> </w:t>
      </w:r>
      <w:r w:rsidR="00B972DB">
        <w:rPr>
          <w:bCs/>
        </w:rPr>
        <w:fldChar w:fldCharType="begin"/>
      </w:r>
      <w:r w:rsidR="0091271A">
        <w:rPr>
          <w:bCs/>
        </w:rPr>
        <w:instrText xml:space="preserve"> ADDIN ZOTERO_ITEM CSL_CITATION {"citationID":"URpIkQca","properties":{"formattedCitation":"(Nosetto, Jobb\\uc0\\u225{}gy, &amp; Paruelo, 2006; Smith, 2014)","plainCitation":"(Nosetto, Jobbágy, &amp; Paruelo, 2006; Smith, 2014)","noteIndex":0},"citationItems":[{"id":41,"uris":["http://zotero.org/groups/2241939/items/P2PMAM8L"],"uri":["http://zotero.org/groups/2241939/items/P2PMAM8L"],"itemData":{"id":41,"type":"article-journal","title":"Carbon sequestration in semi-arid rangelands: comparison of Pinus ponderosa plantations and grazing exclusion in NW Patagonia","container-title":"Journal of Arid Environments","page":"142–156","volume":"67","issue":"1","source":"Google Scholar","shortTitle":"Carbon sequestration in semi-arid rangelands","author":[{"family":"Nosetto","given":"M. D."},{"family":"Jobbágy","given":"E. G."},{"family":"Paruelo","given":"J. M."}],"issued":{"date-parts":[["2006"]]}}},{"id":2921,"uris":["http://zotero.org/groups/2241939/items/7LYNAJRD"],"uri":["http://zotero.org/groups/2241939/items/7LYNAJRD"],"itemData":{"id":2921,"type":"book","title":"Climate Change 2014 Mitigation of Climate Change: Working Group III Contribution to the Fifth Assessment Report of the Intergovernmental Panel on Climate Change","publisher":"Cambridge University Press","publisher-place":"Cambridge","source":"Crossref","event-place":"Cambridge","URL":"http://ebooks.cambridge.org/ref/id/CBO9781107415416","ISBN":"978-1-107-41541-6","note":"DOI: 10.1017/CBO9781107415416","shortTitle":"Climate Change 2014 Mitigation of Climate Change","language":"en","author":[{"family":"Smith","given":"Pete"}],"issued":{"date-parts":[["2014"]]},"accessed":{"date-parts":[["2019",3,20]]}}}],"schema":"https://github.com/citation-style-language/schema/raw/master/csl-citation.json"} </w:instrText>
      </w:r>
      <w:r w:rsidR="00B972DB">
        <w:rPr>
          <w:bCs/>
        </w:rPr>
        <w:fldChar w:fldCharType="separate"/>
      </w:r>
      <w:r w:rsidR="008B187E" w:rsidRPr="008B187E">
        <w:rPr>
          <w:rFonts w:cs="Times New Roman"/>
          <w:szCs w:val="24"/>
        </w:rPr>
        <w:t>(Nosetto, Jobbágy, &amp; Paruelo, 2006; Smith, 2014)</w:t>
      </w:r>
      <w:r w:rsidR="00B972DB">
        <w:rPr>
          <w:bCs/>
        </w:rPr>
        <w:fldChar w:fldCharType="end"/>
      </w:r>
      <w:r w:rsidR="0091271A">
        <w:rPr>
          <w:bCs/>
        </w:rPr>
        <w:t>.</w:t>
      </w:r>
      <w:r w:rsidR="0001506B">
        <w:t xml:space="preserve">Case studies in </w:t>
      </w:r>
      <w:r w:rsidR="00D17435">
        <w:t>the</w:t>
      </w:r>
      <w:r w:rsidR="0001506B">
        <w:t xml:space="preserve"> literature illustrate that</w:t>
      </w:r>
      <w:r w:rsidR="004941B3" w:rsidRPr="445A7B8D">
        <w:t xml:space="preserve"> carbon sequestration potential of </w:t>
      </w:r>
      <w:r w:rsidR="000B1629">
        <w:t>forest plantations</w:t>
      </w:r>
      <w:r w:rsidR="004941B3">
        <w:t xml:space="preserve"> systems can be highly variable and </w:t>
      </w:r>
      <w:r w:rsidR="004941B3" w:rsidRPr="445A7B8D">
        <w:t>depends on</w:t>
      </w:r>
      <w:r w:rsidR="004941B3">
        <w:t xml:space="preserve"> a number of factors, including</w:t>
      </w:r>
      <w:r w:rsidR="004941B3" w:rsidRPr="445A7B8D">
        <w:t xml:space="preserve"> previous land use and current management practices </w:t>
      </w:r>
      <w:r w:rsidR="0091271A">
        <w:fldChar w:fldCharType="begin"/>
      </w:r>
      <w:r w:rsidR="0091271A">
        <w:instrText xml:space="preserve"> ADDIN ZOTERO_ITEM CSL_CITATION {"citationID":"1rOJuUzX","properties":{"formattedCitation":"(e.g. Luyssaert et al., 2008; Martin, Newton, &amp; Bullock, 2013)","plainCitation":"(e.g. Luyssaert et al., 2008; Martin, Newton, &amp; Bullock, 2013)","noteIndex":0},"citationItems":[{"id":32,"uris":["http://zotero.org/groups/2241939/items/AZUMJVIN"],"uri":["http://zotero.org/groups/2241939/items/AZUMJVIN"],"itemData":{"id":32,"type":"article-journal","title":"Old-growth forests as global carbon sinks","container-title":"Nature","page":"213-215","volume":"455","issue":"7210","source":"www.nature.com","abstract":"Old-growth forests remove carbon dioxide from the atmosphere at rates that vary with climate and nitrogen deposition. The sequestered carbon dioxide is stored in live woody tissues and slowly decomposing organic matter in litter and soil. Old-growth forests therefore serve as a global carbon dioxide sink, but they are not protected by international treaties, because it is generally thought that ageing forests cease to accumulate carbon. Here we report a search of literature and databases for forest carbon-flux estimates. We find that in forests between 15 and 800 years of age, net ecosystem productivity (the net carbon balance of the forest including soils) is usually positive. Our results demonstrate that old-growth forests can continue to accumulate carbon, contrary to the long-standing view that they are carbon neutral. Over 30 per cent of the global forest area is unmanaged primary forest, and this area contains the remaining old-growth forests. Half of the primary forests (6 108 hectares) are located in the boreal and temperate regions of the Northern Hemisphere. On the basis of our analysis, these forests alone sequester about 1.3 0.5 gigatonnes of carbon per year. Thus, our findings suggest that 15 per cent of the global forest area, which is currently not considered when offsetting increasing atmospheric carbon dioxide concentrations, provides at least 10 per cent of the global net ecosystem productivity. Old-growth forests accumulate carbon for centuries and contain large quantities of it. We expect, however, that much of this carbon, even soil carbon, will move back to the atmosphere if these forests are disturbed.","DOI":"10.1038/nature07276","ISSN":"0028-0836","journalAbbreviation":"Nature","language":"en","author":[{"family":"Luyssaert","given":"Sebastiaan"},{"family":"Schulze","given":"E.-Detlef"},{"family":"Börner","given":"Annett"},{"family":"Knohl","given":"Alexander"},{"family":"Hessenmöller","given":"Dominik"},{"family":"Law","given":"Beverly E."},{"family":"Ciais","given":"Philippe"},{"family":"Grace","given":"John"}],"issued":{"date-parts":[["2008",9,11]]}},"prefix":"e.g. "},{"id":934,"uris":["http://zotero.org/groups/2241939/items/NGK7TGEN"],"uri":["http://zotero.org/groups/2241939/items/NGK7TGEN"],"itemData":{"id":934,"type":"article-journal","title":"Carbon pools recover more quickly than plant biodiversity in tropical secondary forests","container-title":"Proc. R. Soc. B","page":"20132236","volume":"280","issue":"1773","source":"rspb.royalsocietypublishing.org","abstract":"Although increasing efforts are being made to restore tropical forests, little information is available regarding the time scales required for carbon and plant biodiversity to recover to the values associated</w:instrText>
      </w:r>
      <w:r w:rsidR="0091271A" w:rsidRPr="00F01A0F">
        <w:instrText xml:space="preserve">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forests.","DOI":"10.1098/rspb.2013.2236","ISSN":"0962-8452, 1471-2954","note":"PMID: 24197410","journalAbbreviation":"Proc. R. Soc. B","language":"en","author":[{"family":"Martin","given":"Philip A."},{"family":"Newton","given":"Adrian C."},{"family":"Bullock","given":"James M."}],"issued":{"date-parts":[["2013",12,22]]}}}],"schema":"https://github.com/citation-style-language/schema/raw/master/csl-citation.json"} </w:instrText>
      </w:r>
      <w:r w:rsidR="0091271A">
        <w:fldChar w:fldCharType="separate"/>
      </w:r>
      <w:r w:rsidR="0091271A" w:rsidRPr="00F01A0F">
        <w:rPr>
          <w:rFonts w:cs="Times New Roman"/>
        </w:rPr>
        <w:t>(e.g. Luyssaert et al., 2008; Martin, Newton, &amp; Bullock, 2013)</w:t>
      </w:r>
      <w:r w:rsidR="0091271A">
        <w:fldChar w:fldCharType="end"/>
      </w:r>
      <w:r w:rsidR="004941B3" w:rsidRPr="00F01A0F">
        <w:t xml:space="preserve">. </w:t>
      </w:r>
      <w:r w:rsidR="0001506B">
        <w:t>A</w:t>
      </w:r>
      <w:r w:rsidR="004941B3">
        <w:t>ccurately e</w:t>
      </w:r>
      <w:r w:rsidR="004941B3" w:rsidRPr="0093139E">
        <w:rPr>
          <w:bCs/>
        </w:rPr>
        <w:t xml:space="preserve">stimating carbon stocks and </w:t>
      </w:r>
      <w:r w:rsidR="004941B3">
        <w:rPr>
          <w:bCs/>
        </w:rPr>
        <w:t>sequestration</w:t>
      </w:r>
      <w:r w:rsidR="004941B3" w:rsidRPr="0093139E">
        <w:rPr>
          <w:bCs/>
        </w:rPr>
        <w:t xml:space="preserve"> </w:t>
      </w:r>
      <w:r w:rsidR="004941B3">
        <w:rPr>
          <w:bCs/>
        </w:rPr>
        <w:t>remain</w:t>
      </w:r>
      <w:r w:rsidR="004941B3" w:rsidRPr="0093139E">
        <w:rPr>
          <w:bCs/>
        </w:rPr>
        <w:t>s challenging, and the science is</w:t>
      </w:r>
      <w:r w:rsidR="00880C37">
        <w:rPr>
          <w:bCs/>
        </w:rPr>
        <w:t xml:space="preserve"> still</w:t>
      </w:r>
      <w:r w:rsidR="004941B3" w:rsidRPr="0093139E">
        <w:rPr>
          <w:bCs/>
        </w:rPr>
        <w:t xml:space="preserve"> evolving.</w:t>
      </w:r>
    </w:p>
    <w:p w14:paraId="01A87A2F" w14:textId="77777777" w:rsidR="006D402F" w:rsidRPr="00F432A1" w:rsidRDefault="006D402F" w:rsidP="00F432A1">
      <w:pPr>
        <w:spacing w:after="0"/>
        <w:rPr>
          <w:bCs/>
        </w:rPr>
      </w:pPr>
    </w:p>
    <w:p w14:paraId="34EAD389" w14:textId="3280EDDB" w:rsidR="005800EF" w:rsidRDefault="00D2180D" w:rsidP="00536F2C">
      <w:r>
        <w:rPr>
          <w:color w:val="000000" w:themeColor="text1"/>
        </w:rPr>
        <w:t xml:space="preserve">Carbon sequestration refers to carbon fixed from the atmosphere over a set </w:t>
      </w:r>
      <w:r w:rsidR="00EC6717">
        <w:rPr>
          <w:color w:val="000000" w:themeColor="text1"/>
        </w:rPr>
        <w:t>time-period</w:t>
      </w:r>
      <w:r w:rsidR="00396BC8">
        <w:rPr>
          <w:color w:val="000000" w:themeColor="text1"/>
        </w:rPr>
        <w:t>, whereas carbon stocks refer to</w:t>
      </w:r>
      <w:r w:rsidR="00536F2C">
        <w:rPr>
          <w:color w:val="000000" w:themeColor="text1"/>
        </w:rPr>
        <w:t xml:space="preserve"> the amount of</w:t>
      </w:r>
      <w:r w:rsidR="00396BC8">
        <w:rPr>
          <w:color w:val="000000" w:themeColor="text1"/>
        </w:rPr>
        <w:t xml:space="preserve"> carbon fixed at a specific point in time</w:t>
      </w:r>
      <w:r w:rsidR="0001506B" w:rsidRPr="00D57049">
        <w:rPr>
          <w:color w:val="000000" w:themeColor="text1"/>
        </w:rPr>
        <w:t xml:space="preserve">. </w:t>
      </w:r>
      <w:r w:rsidR="0001506B">
        <w:rPr>
          <w:color w:val="000000" w:themeColor="text1"/>
        </w:rPr>
        <w:t xml:space="preserve">Carbon stocks accumulate both in soils (soil organic carbon, or SOC) and in above- and below-ground vegetation biomass. </w:t>
      </w:r>
      <w:r>
        <w:rPr>
          <w:color w:val="000000" w:themeColor="text1"/>
        </w:rPr>
        <w:t>T</w:t>
      </w:r>
      <w:r w:rsidRPr="00D57049">
        <w:rPr>
          <w:color w:val="000000" w:themeColor="text1"/>
        </w:rPr>
        <w:t xml:space="preserve">he Drawdown model does not account for </w:t>
      </w:r>
      <w:r>
        <w:rPr>
          <w:color w:val="000000" w:themeColor="text1"/>
        </w:rPr>
        <w:t xml:space="preserve">existing </w:t>
      </w:r>
      <w:r w:rsidRPr="00D57049">
        <w:rPr>
          <w:color w:val="000000" w:themeColor="text1"/>
        </w:rPr>
        <w:t>carbon stocks</w:t>
      </w:r>
      <w:r w:rsidR="004132E0">
        <w:rPr>
          <w:color w:val="000000" w:themeColor="text1"/>
        </w:rPr>
        <w:t xml:space="preserve"> but rather focuses on annual sequestration rates </w:t>
      </w:r>
      <w:r>
        <w:rPr>
          <w:color w:val="000000" w:themeColor="text1"/>
        </w:rPr>
        <w:t>in soils and vegetation biomass.</w:t>
      </w:r>
      <w:r w:rsidR="005800EF">
        <w:rPr>
          <w:color w:val="000000" w:themeColor="text1"/>
        </w:rPr>
        <w:t xml:space="preserve"> </w:t>
      </w:r>
    </w:p>
    <w:p w14:paraId="4FCADF71" w14:textId="6F823ECD" w:rsidR="005800EF" w:rsidRDefault="005800EF" w:rsidP="005800EF">
      <w:pPr>
        <w:rPr>
          <w:color w:val="000000" w:themeColor="text1"/>
        </w:rPr>
      </w:pPr>
    </w:p>
    <w:p w14:paraId="72B02858" w14:textId="6B08AB22" w:rsidR="00172CCC" w:rsidRDefault="00172CCC" w:rsidP="005800EF">
      <w:pPr>
        <w:rPr>
          <w:color w:val="000000" w:themeColor="text1"/>
        </w:rPr>
      </w:pPr>
    </w:p>
    <w:p w14:paraId="469A183C" w14:textId="77777777" w:rsidR="00172CCC" w:rsidRDefault="00172CCC" w:rsidP="005800EF">
      <w:pPr>
        <w:rPr>
          <w:color w:val="000000" w:themeColor="text1"/>
        </w:rPr>
      </w:pPr>
    </w:p>
    <w:p w14:paraId="0A4C4CC7" w14:textId="0789F0C8" w:rsidR="000B0D98" w:rsidRPr="00D57049" w:rsidRDefault="000B0D98" w:rsidP="000B0D98">
      <w:pPr>
        <w:rPr>
          <w:b/>
          <w:i/>
          <w:color w:val="000000" w:themeColor="text1"/>
        </w:rPr>
      </w:pPr>
      <w:r w:rsidRPr="00D57049">
        <w:rPr>
          <w:b/>
          <w:i/>
          <w:color w:val="000000" w:themeColor="text1"/>
        </w:rPr>
        <w:lastRenderedPageBreak/>
        <w:t xml:space="preserve">Variables </w:t>
      </w:r>
      <w:r>
        <w:rPr>
          <w:b/>
          <w:i/>
          <w:color w:val="000000" w:themeColor="text1"/>
        </w:rPr>
        <w:t>and Uncertainties in</w:t>
      </w:r>
      <w:r w:rsidRPr="00D57049">
        <w:rPr>
          <w:b/>
          <w:i/>
          <w:color w:val="000000" w:themeColor="text1"/>
        </w:rPr>
        <w:t xml:space="preserve"> Carbon Sequestration</w:t>
      </w:r>
      <w:r>
        <w:rPr>
          <w:b/>
          <w:i/>
          <w:color w:val="000000" w:themeColor="text1"/>
        </w:rPr>
        <w:t xml:space="preserve"> Calculations</w:t>
      </w:r>
    </w:p>
    <w:p w14:paraId="6BDA406A" w14:textId="63E15403" w:rsidR="0003210E" w:rsidRDefault="00796958" w:rsidP="0003210E">
      <w:pPr>
        <w:rPr>
          <w:color w:val="000000" w:themeColor="text1"/>
        </w:rPr>
      </w:pPr>
      <w:r>
        <w:t>Within</w:t>
      </w:r>
      <w:r w:rsidR="003C4DD0">
        <w:t xml:space="preserve"> afforested</w:t>
      </w:r>
      <w:r>
        <w:t xml:space="preserve"> </w:t>
      </w:r>
      <w:r w:rsidR="000B1629">
        <w:t>forest plantation</w:t>
      </w:r>
      <w:r w:rsidR="00BF7755">
        <w:t>s</w:t>
      </w:r>
      <w:r w:rsidR="000B0D98">
        <w:t xml:space="preserve"> </w:t>
      </w:r>
      <w:r w:rsidR="00BF7755">
        <w:t xml:space="preserve">established </w:t>
      </w:r>
      <w:r w:rsidR="00AA78C0">
        <w:t>in different regions and climates</w:t>
      </w:r>
      <w:r>
        <w:t>,</w:t>
      </w:r>
      <w:r w:rsidR="000B0D98">
        <w:t xml:space="preserve"> </w:t>
      </w:r>
      <w:r>
        <w:rPr>
          <w:color w:val="000000" w:themeColor="text1"/>
        </w:rPr>
        <w:t>carbon sequestration rates over</w:t>
      </w:r>
      <w:r w:rsidR="00A550A1">
        <w:rPr>
          <w:color w:val="000000" w:themeColor="text1"/>
        </w:rPr>
        <w:t xml:space="preserve"> </w:t>
      </w:r>
      <w:r>
        <w:rPr>
          <w:color w:val="000000" w:themeColor="text1"/>
        </w:rPr>
        <w:t xml:space="preserve">time are influenced by many factors. </w:t>
      </w:r>
      <w:r w:rsidR="001E0D21">
        <w:rPr>
          <w:color w:val="000000" w:themeColor="text1"/>
        </w:rPr>
        <w:t xml:space="preserve">One significant factor is potential error or variation in terms of measurement accuracy. </w:t>
      </w:r>
      <w:r w:rsidR="000B0D98">
        <w:rPr>
          <w:bCs/>
        </w:rPr>
        <w:t xml:space="preserve">Carbon fluxes can be measured through </w:t>
      </w:r>
      <w:r w:rsidR="00731454" w:rsidRPr="000B0D98">
        <w:rPr>
          <w:bCs/>
        </w:rPr>
        <w:t xml:space="preserve">atmospheric transport models </w:t>
      </w:r>
      <w:r w:rsidR="000B0D98">
        <w:rPr>
          <w:bCs/>
        </w:rPr>
        <w:t>or</w:t>
      </w:r>
      <w:r w:rsidR="00731454" w:rsidRPr="000B0D98">
        <w:rPr>
          <w:bCs/>
        </w:rPr>
        <w:t xml:space="preserve"> land observations </w:t>
      </w:r>
      <w:r w:rsidR="000B0D98">
        <w:rPr>
          <w:bCs/>
        </w:rPr>
        <w:t xml:space="preserve">– both methodologies can yield significantly different </w:t>
      </w:r>
      <w:r w:rsidR="00731454" w:rsidRPr="000B0D98">
        <w:rPr>
          <w:bCs/>
        </w:rPr>
        <w:t>results</w:t>
      </w:r>
      <w:r w:rsidR="0091271A">
        <w:rPr>
          <w:bCs/>
        </w:rPr>
        <w:t xml:space="preserve"> </w:t>
      </w:r>
      <w:r w:rsidR="00074EEC">
        <w:rPr>
          <w:bCs/>
        </w:rPr>
        <w:fldChar w:fldCharType="begin"/>
      </w:r>
      <w:r w:rsidR="00074EEC">
        <w:rPr>
          <w:bCs/>
        </w:rPr>
        <w:instrText xml:space="preserve"> ADDIN ZOTERO_ITEM CSL_CITATION {"citationID":"0BTCbbjY","properties":{"formattedCitation":"(Netz et al., 2007)","plainCitation":"(Netz et al., 2007)","noteIndex":0},"citationItems":[{"id":2923,"uris":["http://zotero.org/groups/2241939/items/JGDP2YVX"],"uri":["http://zotero.org/groups/2241939/items/JGDP2YVX"],"itemData":{"id":2923,"type":"article-journal","title":"Climate change 2007: Mitigation. Contribution of Working Group III to the Fourth Assessment Report of the Intergovernmental Panel on Climate Change. Summary for Policymakers.","container-title":"Climate change 2007: Mitigation. Contribution of Working Group III to the Fourth Assessment Report of the Intergovernmental Panel on Climate Change. Summary for Policymakers.","author":[{"family":"Netz","given":"B"},{"family":"Davidson","given":"OR"},{"family":"Bosch","given":"PR"},{"family":"Dave","given":"R"},{"family":"Meyer","given":"LA"},{"literal":"others"}],"issued":{"date-parts":[["2007"]]}}}],"schema":"https://github.com/citation-style-language/schema/raw/master/csl-citation.json"} </w:instrText>
      </w:r>
      <w:r w:rsidR="00074EEC">
        <w:rPr>
          <w:bCs/>
        </w:rPr>
        <w:fldChar w:fldCharType="separate"/>
      </w:r>
      <w:r w:rsidR="00074EEC" w:rsidRPr="00074EEC">
        <w:rPr>
          <w:rFonts w:cs="Times New Roman"/>
        </w:rPr>
        <w:t>(Netz et al., 2007)</w:t>
      </w:r>
      <w:r w:rsidR="00074EEC">
        <w:rPr>
          <w:bCs/>
        </w:rPr>
        <w:fldChar w:fldCharType="end"/>
      </w:r>
      <w:r w:rsidR="00731454" w:rsidRPr="000B0D98">
        <w:rPr>
          <w:bCs/>
        </w:rPr>
        <w:t>.</w:t>
      </w:r>
      <w:r w:rsidR="00916330">
        <w:rPr>
          <w:bCs/>
        </w:rPr>
        <w:t xml:space="preserve"> </w:t>
      </w:r>
      <w:r w:rsidR="00074EEC">
        <w:rPr>
          <w:bCs/>
        </w:rPr>
        <w:fldChar w:fldCharType="begin"/>
      </w:r>
      <w:r w:rsidR="008B187E">
        <w:rPr>
          <w:bCs/>
        </w:rPr>
        <w:instrText xml:space="preserve"> ADDIN ZOTERO_ITEM CSL_CITATION {"citationID":"6Fs331jK","properties":{"formattedCitation":"(Gibbs, Brown, Niles, &amp; Foley, 2007)","plainCitation":"(Gibbs, Brown, Niles, &amp; Foley, 2007)","noteIndex":0},"citationItems":[{"id":159,"uris":["http://zotero.org/groups/2241939/items/TDA3DCXY"],"uri":["http://zotero.org/groups/2241939/items/TDA3DCXY"],"itemData":{"id":159,"type":"article-journal","title":"Monitoring and estimating tropical forest carbon stocks: making REDD a reality","container-title":"Environmental Research Letters","page":"045023","volume":"2","issue":"4","source":"Google Scholar","shortTitle":"Monitoring and estimating tropical forest carbon stocks","author":[{"family":"Gibbs","given":"Holly K."},{"family":"Brown","given":"Sandra"},{"family":"Niles","given":"John O."},{"family":"Foley","given":"Jonathan A."}],"issued":{"date-parts":[["2007"]]}}}],"schema":"https://github.com/citation-style-language/schema/raw/master/csl-citation.json"} </w:instrText>
      </w:r>
      <w:r w:rsidR="00074EEC">
        <w:rPr>
          <w:bCs/>
        </w:rPr>
        <w:fldChar w:fldCharType="separate"/>
      </w:r>
      <w:r w:rsidR="008B187E" w:rsidRPr="008B187E">
        <w:rPr>
          <w:rFonts w:cs="Times New Roman"/>
        </w:rPr>
        <w:t>(Gibbs, Brown, Niles, &amp; Foley, 2007)</w:t>
      </w:r>
      <w:r w:rsidR="00074EEC">
        <w:rPr>
          <w:bCs/>
        </w:rPr>
        <w:fldChar w:fldCharType="end"/>
      </w:r>
      <w:r w:rsidR="00731454" w:rsidRPr="001E0D21">
        <w:rPr>
          <w:bCs/>
        </w:rPr>
        <w:t xml:space="preserve"> </w:t>
      </w:r>
      <w:r w:rsidR="001E0D21">
        <w:rPr>
          <w:bCs/>
        </w:rPr>
        <w:t xml:space="preserve">moreover </w:t>
      </w:r>
      <w:r w:rsidR="00731454" w:rsidRPr="001E0D21">
        <w:rPr>
          <w:bCs/>
        </w:rPr>
        <w:t xml:space="preserve">describe different ways of measuring carbon stock: biome averages, estimations from tree surveys, and technological measurements. </w:t>
      </w:r>
      <w:r w:rsidR="00916330" w:rsidRPr="001E0D21">
        <w:rPr>
          <w:bCs/>
        </w:rPr>
        <w:t xml:space="preserve">Even within a biome, biomass can vary greatly. Nevertheless, due to current limitations in terms of available data and resources, </w:t>
      </w:r>
      <w:r w:rsidR="00731454" w:rsidRPr="001E0D21">
        <w:rPr>
          <w:bCs/>
        </w:rPr>
        <w:t xml:space="preserve">average carbon stocks for a given biome </w:t>
      </w:r>
      <w:r w:rsidR="00916330" w:rsidRPr="001E0D21">
        <w:rPr>
          <w:bCs/>
        </w:rPr>
        <w:t>are generally extrapolated from case study measurements or lo</w:t>
      </w:r>
      <w:r w:rsidR="00CB69EE">
        <w:rPr>
          <w:bCs/>
        </w:rPr>
        <w:t>w-</w:t>
      </w:r>
      <w:r w:rsidR="00916330" w:rsidRPr="001E0D21">
        <w:rPr>
          <w:bCs/>
        </w:rPr>
        <w:t>resolution FAO Forest inventory data and are thus highly uncertain</w:t>
      </w:r>
      <w:r w:rsidR="00731454" w:rsidRPr="001E0D21">
        <w:rPr>
          <w:bCs/>
        </w:rPr>
        <w:t>.</w:t>
      </w:r>
      <w:r w:rsidR="00916330" w:rsidRPr="001E0D21">
        <w:rPr>
          <w:bCs/>
        </w:rPr>
        <w:t xml:space="preserve"> </w:t>
      </w:r>
      <w:r w:rsidR="00731454" w:rsidRPr="001E0D21">
        <w:rPr>
          <w:bCs/>
        </w:rPr>
        <w:t xml:space="preserve">Tree survey methods use </w:t>
      </w:r>
      <w:r w:rsidR="00916330" w:rsidRPr="001E0D21">
        <w:rPr>
          <w:bCs/>
        </w:rPr>
        <w:t xml:space="preserve">allometric equations </w:t>
      </w:r>
      <w:r w:rsidR="00731454" w:rsidRPr="001E0D21">
        <w:rPr>
          <w:bCs/>
        </w:rPr>
        <w:t>to estimate above</w:t>
      </w:r>
      <w:r w:rsidR="00916330" w:rsidRPr="001E0D21">
        <w:rPr>
          <w:bCs/>
        </w:rPr>
        <w:t>-</w:t>
      </w:r>
      <w:r w:rsidR="00731454" w:rsidRPr="001E0D21">
        <w:rPr>
          <w:bCs/>
        </w:rPr>
        <w:t>ground</w:t>
      </w:r>
      <w:r w:rsidR="00916330" w:rsidRPr="001E0D21">
        <w:rPr>
          <w:bCs/>
        </w:rPr>
        <w:t xml:space="preserve"> and below-ground</w:t>
      </w:r>
      <w:r w:rsidR="00731454" w:rsidRPr="001E0D21">
        <w:rPr>
          <w:bCs/>
        </w:rPr>
        <w:t xml:space="preserve"> biomass. </w:t>
      </w:r>
      <w:r w:rsidR="00916330" w:rsidRPr="001E0D21">
        <w:rPr>
          <w:bCs/>
        </w:rPr>
        <w:t>However, p</w:t>
      </w:r>
      <w:r w:rsidR="00731454" w:rsidRPr="001E0D21">
        <w:rPr>
          <w:bCs/>
        </w:rPr>
        <w:t>articularly in the diverse tropics, tree surveys may not produce an accurate measurement of overall biomass, as allometric relationships vary by species and are not available for all species</w:t>
      </w:r>
      <w:r w:rsidR="00665842" w:rsidRPr="001E0D21">
        <w:rPr>
          <w:bCs/>
        </w:rPr>
        <w:t>, and as there may be significant variation even between individual trees of a single species</w:t>
      </w:r>
      <w:r w:rsidR="00731454" w:rsidRPr="001E0D21">
        <w:rPr>
          <w:bCs/>
        </w:rPr>
        <w:t>.</w:t>
      </w:r>
      <w:r w:rsidR="00916330" w:rsidRPr="001E0D21">
        <w:rPr>
          <w:bCs/>
        </w:rPr>
        <w:t xml:space="preserve"> Lastly, te</w:t>
      </w:r>
      <w:r w:rsidR="00731454" w:rsidRPr="001E0D21">
        <w:rPr>
          <w:bCs/>
        </w:rPr>
        <w:t>chnological methods using optical, radar, and laser sensors may be uncertain, expensive, or inappropriate for one or more land and forest types.</w:t>
      </w:r>
    </w:p>
    <w:p w14:paraId="0C0F754E" w14:textId="1DF76FA2" w:rsidR="00F432A1" w:rsidRPr="0003210E" w:rsidRDefault="0003210E" w:rsidP="0003210E">
      <w:pPr>
        <w:rPr>
          <w:color w:val="000000" w:themeColor="text1"/>
        </w:rPr>
      </w:pPr>
      <w:r>
        <w:rPr>
          <w:color w:val="000000" w:themeColor="text1"/>
        </w:rPr>
        <w:t>In addition, c</w:t>
      </w:r>
      <w:r w:rsidR="00F432A1" w:rsidRPr="0003210E">
        <w:rPr>
          <w:bCs/>
        </w:rPr>
        <w:t>arbon sequestration rates are based on</w:t>
      </w:r>
      <w:r w:rsidR="00442AA4">
        <w:rPr>
          <w:bCs/>
        </w:rPr>
        <w:t xml:space="preserve"> broad</w:t>
      </w:r>
      <w:r w:rsidR="00F432A1" w:rsidRPr="0003210E">
        <w:rPr>
          <w:bCs/>
        </w:rPr>
        <w:t xml:space="preserve"> assumptions </w:t>
      </w:r>
      <w:r>
        <w:rPr>
          <w:bCs/>
        </w:rPr>
        <w:t>regarding</w:t>
      </w:r>
      <w:r w:rsidR="00F432A1" w:rsidRPr="0003210E">
        <w:rPr>
          <w:bCs/>
        </w:rPr>
        <w:t xml:space="preserve"> the fate of harvested timber</w:t>
      </w:r>
      <w:r>
        <w:rPr>
          <w:bCs/>
        </w:rPr>
        <w:t>. In reality,</w:t>
      </w:r>
      <w:r w:rsidR="00FC47C7">
        <w:rPr>
          <w:bCs/>
        </w:rPr>
        <w:t xml:space="preserve"> the fate of</w:t>
      </w:r>
      <w:r>
        <w:rPr>
          <w:bCs/>
        </w:rPr>
        <w:t xml:space="preserve"> c</w:t>
      </w:r>
      <w:r w:rsidR="00F432A1" w:rsidRPr="0003210E">
        <w:rPr>
          <w:bCs/>
        </w:rPr>
        <w:t xml:space="preserve">arbon </w:t>
      </w:r>
      <w:r w:rsidR="00FC47C7">
        <w:rPr>
          <w:bCs/>
        </w:rPr>
        <w:t xml:space="preserve">from plantation products is highly variable: it </w:t>
      </w:r>
      <w:r w:rsidR="00F432A1" w:rsidRPr="0003210E">
        <w:rPr>
          <w:bCs/>
        </w:rPr>
        <w:t xml:space="preserve">can be reemitted quickly </w:t>
      </w:r>
      <w:r w:rsidR="00FC47C7">
        <w:rPr>
          <w:bCs/>
        </w:rPr>
        <w:t xml:space="preserve">into the atmosphere </w:t>
      </w:r>
      <w:r w:rsidR="00F432A1" w:rsidRPr="0003210E">
        <w:rPr>
          <w:bCs/>
        </w:rPr>
        <w:t>if biomass is burned or decomposed</w:t>
      </w:r>
      <w:r>
        <w:rPr>
          <w:bCs/>
        </w:rPr>
        <w:t xml:space="preserve"> </w:t>
      </w:r>
      <w:r w:rsidR="00F432A1" w:rsidRPr="0003210E">
        <w:rPr>
          <w:bCs/>
        </w:rPr>
        <w:t xml:space="preserve">or can alternatively </w:t>
      </w:r>
      <w:r w:rsidR="00FC47C7">
        <w:rPr>
          <w:bCs/>
        </w:rPr>
        <w:t xml:space="preserve">be </w:t>
      </w:r>
      <w:r w:rsidR="00F432A1" w:rsidRPr="0003210E">
        <w:rPr>
          <w:bCs/>
        </w:rPr>
        <w:t>sequestered for the medium- to long-term in durable wood-based products (construction materials, flooring, furniture, wood pulp for paper or cardboard, etc)</w:t>
      </w:r>
      <w:r w:rsidR="00FC47C7">
        <w:rPr>
          <w:bCs/>
        </w:rPr>
        <w:t>.</w:t>
      </w:r>
      <w:r>
        <w:rPr>
          <w:bCs/>
        </w:rPr>
        <w:t xml:space="preserve"> </w:t>
      </w:r>
      <w:r w:rsidR="00FC47C7">
        <w:rPr>
          <w:bCs/>
        </w:rPr>
        <w:t>A</w:t>
      </w:r>
      <w:r>
        <w:rPr>
          <w:bCs/>
        </w:rPr>
        <w:t>ccurate life-cycle assessments for these different options are still being developed.</w:t>
      </w:r>
    </w:p>
    <w:p w14:paraId="1235ED71" w14:textId="77777777" w:rsidR="00445B57" w:rsidRPr="006638AD" w:rsidRDefault="00445B57" w:rsidP="006638AD">
      <w:pPr>
        <w:rPr>
          <w:color w:val="000000" w:themeColor="text1"/>
        </w:rPr>
      </w:pPr>
    </w:p>
    <w:p w14:paraId="1D632C1A" w14:textId="40DAD767" w:rsidR="006140AF" w:rsidRDefault="006140AF" w:rsidP="006140AF">
      <w:pPr>
        <w:spacing w:after="0"/>
        <w:rPr>
          <w:b/>
          <w:bCs/>
          <w:i/>
        </w:rPr>
      </w:pPr>
      <w:r>
        <w:rPr>
          <w:b/>
          <w:bCs/>
          <w:i/>
        </w:rPr>
        <w:t xml:space="preserve">Economics </w:t>
      </w:r>
      <w:r w:rsidR="00274997">
        <w:rPr>
          <w:b/>
          <w:bCs/>
          <w:i/>
        </w:rPr>
        <w:t>Benefits</w:t>
      </w:r>
    </w:p>
    <w:p w14:paraId="307A43EB" w14:textId="1A403807" w:rsidR="006140AF" w:rsidRPr="004370DC" w:rsidRDefault="0048534E" w:rsidP="006140AF">
      <w:pPr>
        <w:spacing w:after="0"/>
        <w:rPr>
          <w:bCs/>
          <w:lang w:val="fr-FR"/>
        </w:rPr>
      </w:pPr>
      <w:r>
        <w:rPr>
          <w:bCs/>
        </w:rPr>
        <w:t>Afforestation</w:t>
      </w:r>
      <w:r w:rsidR="00445B57">
        <w:rPr>
          <w:bCs/>
        </w:rPr>
        <w:t xml:space="preserve"> costs and profits vary greatly depending on location</w:t>
      </w:r>
      <w:r w:rsidR="00273816">
        <w:rPr>
          <w:bCs/>
        </w:rPr>
        <w:t xml:space="preserve"> and policies</w:t>
      </w:r>
      <w:r w:rsidR="00445B57">
        <w:rPr>
          <w:bCs/>
        </w:rPr>
        <w:t xml:space="preserve"> - even within a country</w:t>
      </w:r>
      <w:r w:rsidR="00273816">
        <w:rPr>
          <w:bCs/>
        </w:rPr>
        <w:t xml:space="preserve"> or region</w:t>
      </w:r>
      <w:r w:rsidR="00445B57">
        <w:rPr>
          <w:bCs/>
        </w:rPr>
        <w:t>.</w:t>
      </w:r>
      <w:r w:rsidR="00273816">
        <w:rPr>
          <w:bCs/>
        </w:rPr>
        <w:t xml:space="preserve"> For instance, e</w:t>
      </w:r>
      <w:r w:rsidR="00445B57">
        <w:rPr>
          <w:bCs/>
        </w:rPr>
        <w:t xml:space="preserve">stablishment costs depend on whether the existing landowner is afforesting their own land or if land must be purchased for a </w:t>
      </w:r>
      <w:r w:rsidR="000B1629">
        <w:rPr>
          <w:bCs/>
        </w:rPr>
        <w:t>forest plantations</w:t>
      </w:r>
      <w:r w:rsidR="00445B57">
        <w:rPr>
          <w:bCs/>
        </w:rPr>
        <w:t xml:space="preserve"> project.</w:t>
      </w:r>
      <w:r w:rsidR="00273816">
        <w:rPr>
          <w:bCs/>
        </w:rPr>
        <w:t xml:space="preserve"> </w:t>
      </w:r>
      <w:r w:rsidR="00445B57">
        <w:rPr>
          <w:bCs/>
        </w:rPr>
        <w:t>Profits for timber plantations depend on species, location, management, and use of harvested material. While management and maintenance costs are typically incurred every year, income from harvests occurs less regularly</w:t>
      </w:r>
      <w:r w:rsidR="002E2ABB">
        <w:rPr>
          <w:bCs/>
        </w:rPr>
        <w:t>, generally</w:t>
      </w:r>
      <w:r w:rsidR="00445B57">
        <w:rPr>
          <w:bCs/>
        </w:rPr>
        <w:t xml:space="preserve"> when plantations are thinned or </w:t>
      </w:r>
      <w:r w:rsidR="00E65E41">
        <w:rPr>
          <w:bCs/>
        </w:rPr>
        <w:t>during final harvest</w:t>
      </w:r>
      <w:r w:rsidR="004D1414">
        <w:rPr>
          <w:bCs/>
        </w:rPr>
        <w:t xml:space="preserve"> </w:t>
      </w:r>
      <w:r w:rsidR="004D1414">
        <w:rPr>
          <w:bCs/>
        </w:rPr>
        <w:fldChar w:fldCharType="begin"/>
      </w:r>
      <w:r w:rsidR="004D1414">
        <w:rPr>
          <w:bCs/>
        </w:rPr>
        <w:instrText xml:space="preserve"> ADDIN ZOTERO_ITEM CSL_CITATION {"citationID":"0Xiz5hPK","properties":{"formattedCitation":"(Cubbage et al., 2007)","plainCitation":"(Cubbage et al., 2007)","noteIndex":0},"citationItems":[{"id":62,"uris":["http://zotero.org/groups/2241939/items/3ZSA3DFL"],"uri":["http://zotero.org/groups/2241939/items/3ZSA3DFL"],"itemData":{"id":62,"type":"article-journal","title":"Timber investment returns for selected plantations and native forests in South America and the Southern United States","container-title":"New Forests","page":"237-255","volume":"33","issue":"3","source":"CrossRef","DOI":"10.1007/s11056-006-9025-4","ISSN":"0169-4286, 1573-5095","language":"en","author":[{"family":"Cubbage","given":"Frederick"},{"family":"Mac Donagh","given":"Patricio"},{"family":"Sawinski Júnior","given":"José"},{"family":"Rubilar","given":"Rafael"},{"family":"Donoso","given":"Pablo"},{"family":"Ferreira","given":"Arnaldo"},{"family":"Hoeflich","given":"Vitor"},{"family":"Olmos","given":"Virginia Morales"},{"family":"Ferreira","given":"Gustavo"},{"family":"Balmelli","given":"Gustavo"},{"family":"Siry","given":"Jacek"},{"family":"Báez","given":"Mirta Noemi"},{"family":"Alvarez","given":"José"}],"issued":{"date-parts":[["2007",3,29]]}}}],"schema":"https://github.com/citation-style-language/schema/raw/master/csl-citation.json"} </w:instrText>
      </w:r>
      <w:r w:rsidR="004D1414">
        <w:rPr>
          <w:bCs/>
        </w:rPr>
        <w:fldChar w:fldCharType="separate"/>
      </w:r>
      <w:r w:rsidR="004D1414" w:rsidRPr="004D1414">
        <w:rPr>
          <w:rFonts w:cs="Times New Roman"/>
        </w:rPr>
        <w:t>(Cubbage et al., 2007)</w:t>
      </w:r>
      <w:r w:rsidR="004D1414">
        <w:rPr>
          <w:bCs/>
        </w:rPr>
        <w:fldChar w:fldCharType="end"/>
      </w:r>
      <w:r w:rsidR="00445B57">
        <w:rPr>
          <w:bCs/>
        </w:rPr>
        <w:t xml:space="preserve"> . Average annual net profits</w:t>
      </w:r>
      <w:r w:rsidR="0042751F">
        <w:rPr>
          <w:bCs/>
        </w:rPr>
        <w:t xml:space="preserve"> similarly</w:t>
      </w:r>
      <w:r w:rsidR="00445B57">
        <w:rPr>
          <w:bCs/>
        </w:rPr>
        <w:t xml:space="preserve"> range widely </w:t>
      </w:r>
      <w:r w:rsidR="008F38B4">
        <w:rPr>
          <w:bCs/>
        </w:rPr>
        <w:t>and are significantly impacted by g</w:t>
      </w:r>
      <w:r w:rsidR="00445B57">
        <w:rPr>
          <w:bCs/>
        </w:rPr>
        <w:t>overnment subsidies</w:t>
      </w:r>
      <w:r w:rsidR="008F38B4">
        <w:rPr>
          <w:bCs/>
        </w:rPr>
        <w:t xml:space="preserve"> or </w:t>
      </w:r>
      <w:r w:rsidR="00445B57">
        <w:rPr>
          <w:bCs/>
        </w:rPr>
        <w:t>leasing</w:t>
      </w:r>
      <w:r w:rsidR="008F38B4">
        <w:rPr>
          <w:bCs/>
        </w:rPr>
        <w:t xml:space="preserve"> of </w:t>
      </w:r>
      <w:r w:rsidR="00445B57">
        <w:rPr>
          <w:bCs/>
        </w:rPr>
        <w:t>plantation lands for hunting</w:t>
      </w:r>
      <w:r w:rsidR="008F38B4">
        <w:rPr>
          <w:bCs/>
        </w:rPr>
        <w:t>, as both types of interventions</w:t>
      </w:r>
      <w:r w:rsidR="00445B57">
        <w:rPr>
          <w:bCs/>
        </w:rPr>
        <w:t xml:space="preserve"> can provide additional and/or more regular sources of income</w:t>
      </w:r>
      <w:r w:rsidR="00682F7B">
        <w:rPr>
          <w:bCs/>
        </w:rPr>
        <w:t xml:space="preserve"> for plantation owners</w:t>
      </w:r>
      <w:r w:rsidR="00445B57">
        <w:rPr>
          <w:bCs/>
        </w:rPr>
        <w:t xml:space="preserve"> </w:t>
      </w:r>
      <w:r w:rsidR="004D1414">
        <w:rPr>
          <w:bCs/>
        </w:rPr>
        <w:fldChar w:fldCharType="begin"/>
      </w:r>
      <w:r w:rsidR="004D1414">
        <w:rPr>
          <w:bCs/>
        </w:rPr>
        <w:instrText xml:space="preserve"> ADDIN ZOTERO_ITEM CSL_CITATION {"citationID":"z6X0wg9x","properties":{"formattedCitation":"(Cubbage et al., 2007; Mengak, 2009)","plainCitation":"(Cubbage et al., 2007; Mengak, 2009)","noteIndex":0},"citationItems":[{"id":62,"uris":["http://zotero.org/groups/2241939/items/3ZSA3DFL"],"uri":["http://zotero.org/groups/2241939/item</w:instrText>
      </w:r>
      <w:r w:rsidR="004D1414" w:rsidRPr="00F01A0F">
        <w:rPr>
          <w:bCs/>
        </w:rPr>
        <w:instrText>s/3ZSA3DFL"],"itemData":{"id":62,"type":"article-journal","title":"Timber investment returns for selected plantations and native forests in South America and the Southern United States","container-title":"New Forests","page":"237-255","volume":"33","issue":"3","source":"CrossRef","DOI":"10.1007/s11056-006-9025-4","ISSN":"0169-4286, 1573-5095","language":"en","author":[{"family":"Cubbage","given":"Frederick"},{"family":"Mac Donagh","given":"Patricio"},{"family":"Sawinski Júnior","given":"José"},{"family":"Rubilar","given":"Rafael"},{"family":"Donoso","given":"Pablo"},{"family":"Ferreira","given":"Arnaldo"},{"family":"Hoeflich","given":"Vitor"},{"family":"Olmos","given":"Virginia Morales"},{"family":"Ferreira","given":"Gustavo"},{"family":"Balmelli","given":"Gustavo"},{"family":"Siry","given":"Jacek"},{"family":"Báez","given":"Mirta Noemi"},{"family":"Alvarez","given":"José"}],"issued":{"date-pa</w:instrText>
      </w:r>
      <w:r w:rsidR="004D1414" w:rsidRPr="004370DC">
        <w:rPr>
          <w:bCs/>
          <w:lang w:val="fr-FR"/>
        </w:rPr>
        <w:instrText xml:space="preserve">rts":[["2007",3,29]]}}},{"id":157,"uris":["http://zotero.org/groups/2241939/items/TUU258Z8"],"uri":["http://zotero.org/groups/2241939/items/TUU258Z8"],"itemData":{"id":157,"type":"webpage","title":"Growing Loblolly Pine With Wildlife Food Plots, Hunting Lease Assumptions And Liability Issues","URL":"http://www2.hcmuaf.edu.vn/data/nmduc/2008_forest%20proceedings(1).pdf","author":[{"family":"Mengak","given":"Michael"}],"issued":{"date-parts":[["2009"]]},"accessed":{"date-parts":[["2016",10,31]]}}}],"schema":"https://github.com/citation-style-language/schema/raw/master/csl-citation.json"} </w:instrText>
      </w:r>
      <w:r w:rsidR="004D1414">
        <w:rPr>
          <w:bCs/>
        </w:rPr>
        <w:fldChar w:fldCharType="separate"/>
      </w:r>
      <w:r w:rsidR="004D1414" w:rsidRPr="004370DC">
        <w:rPr>
          <w:rFonts w:cs="Times New Roman"/>
          <w:lang w:val="fr-FR"/>
        </w:rPr>
        <w:t>(Cubbage et al., 2007; Mengak, 2009)</w:t>
      </w:r>
      <w:r w:rsidR="004D1414">
        <w:rPr>
          <w:bCs/>
        </w:rPr>
        <w:fldChar w:fldCharType="end"/>
      </w:r>
      <w:r w:rsidR="00445B57" w:rsidRPr="004370DC">
        <w:rPr>
          <w:bCs/>
          <w:lang w:val="fr-FR"/>
        </w:rPr>
        <w:t xml:space="preserve">. </w:t>
      </w:r>
    </w:p>
    <w:p w14:paraId="61498413" w14:textId="244FF506" w:rsidR="00FB2C53" w:rsidRDefault="551A77D0" w:rsidP="00DB4CC8">
      <w:pPr>
        <w:pStyle w:val="Heading2"/>
      </w:pPr>
      <w:bookmarkStart w:id="6" w:name="_Toc18443078"/>
      <w:r>
        <w:lastRenderedPageBreak/>
        <w:t>Adoption Path</w:t>
      </w:r>
      <w:bookmarkEnd w:id="6"/>
    </w:p>
    <w:p w14:paraId="2A77A1A0" w14:textId="054F5075" w:rsidR="00885835" w:rsidRPr="00885835" w:rsidRDefault="00D115EA" w:rsidP="00885835">
      <w:r>
        <w:t>Current adoption of afforest</w:t>
      </w:r>
      <w:r w:rsidR="00334191">
        <w:t xml:space="preserve">ation </w:t>
      </w:r>
      <w:r>
        <w:t>is estimated at about 291 Mha. This figure is likely to increase due to the practice’s rapidly increasing recognition and integration into strategies to address deforestation and land degradation developed by international organization such as the IPCC, the FAO or the UN, and by a growing number of national governments. Increased recognition of the tangible benefits of the practice remains limited by a lack of data, and increased adoption remains hampered by economic challenges such as high risks of loss and long-term payoffs, which are exacerbated by the current lack of relevant policies and incentive schemes. Nevertheless, countries like China and India have successful pioneered innovative approaches to increase afforestation through forest plantations, and other countries are likely to follow suit in the next.</w:t>
      </w:r>
    </w:p>
    <w:p w14:paraId="2DE714B4" w14:textId="39F21846" w:rsidR="00112479" w:rsidRDefault="551A77D0" w:rsidP="00DB4CC8">
      <w:pPr>
        <w:pStyle w:val="Heading3"/>
      </w:pPr>
      <w:bookmarkStart w:id="7" w:name="_Toc18443079"/>
      <w:r w:rsidRPr="00483FFA">
        <w:t>Current Adoption</w:t>
      </w:r>
      <w:bookmarkEnd w:id="7"/>
    </w:p>
    <w:p w14:paraId="11EEB40B" w14:textId="77777777" w:rsidR="00587154" w:rsidRDefault="00587154" w:rsidP="00587154">
      <w:pPr>
        <w:spacing w:after="0"/>
      </w:pPr>
    </w:p>
    <w:p w14:paraId="6949DD1A" w14:textId="77D54B20" w:rsidR="00587154" w:rsidRDefault="00587154" w:rsidP="00587154">
      <w:pPr>
        <w:spacing w:after="0"/>
      </w:pPr>
      <w:r>
        <w:t xml:space="preserve">According to the </w:t>
      </w:r>
      <w:r w:rsidR="004370DC">
        <w:fldChar w:fldCharType="begin"/>
      </w:r>
      <w:r w:rsidR="004370DC">
        <w:instrText xml:space="preserve"> ADDIN ZOTERO_ITEM CSL_CITATION {"citationID":"WGQRgwGH","properties":{"formattedCitation":"(FAO,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4370DC">
        <w:fldChar w:fldCharType="separate"/>
      </w:r>
      <w:r w:rsidR="008B187E" w:rsidRPr="008B187E">
        <w:rPr>
          <w:rFonts w:cs="Times New Roman"/>
        </w:rPr>
        <w:t>(FAO, 2010)</w:t>
      </w:r>
      <w:r w:rsidR="004370DC">
        <w:fldChar w:fldCharType="end"/>
      </w:r>
      <w:r>
        <w:t>,</w:t>
      </w:r>
      <w:r w:rsidR="000B1629">
        <w:t xml:space="preserve"> the global area </w:t>
      </w:r>
      <w:r w:rsidR="00E116D7">
        <w:t xml:space="preserve">of </w:t>
      </w:r>
      <w:r w:rsidR="006255E9">
        <w:t>afforest</w:t>
      </w:r>
      <w:r w:rsidR="00E116D7">
        <w:t xml:space="preserve">ation </w:t>
      </w:r>
      <w:r>
        <w:t>has increased by</w:t>
      </w:r>
      <w:r w:rsidR="001A1F63">
        <w:t xml:space="preserve"> about</w:t>
      </w:r>
      <w:r>
        <w:t xml:space="preserve"> </w:t>
      </w:r>
      <w:r w:rsidR="00337A6B">
        <w:t xml:space="preserve">291 </w:t>
      </w:r>
      <w:r>
        <w:t xml:space="preserve">Mha </w:t>
      </w:r>
      <w:r w:rsidR="00F0616B">
        <w:t>between 1990-201</w:t>
      </w:r>
      <w:r w:rsidR="00337A6B">
        <w:t>0</w:t>
      </w:r>
      <w:r>
        <w:t>, nearly doubling in the boreal region</w:t>
      </w:r>
      <w:r w:rsidR="00F0616B">
        <w:t xml:space="preserve"> over this time period.</w:t>
      </w:r>
      <w:r>
        <w:t xml:space="preserve"> </w:t>
      </w:r>
      <w:r w:rsidR="00E116D7">
        <w:t xml:space="preserve">Drawdown assumes that this reported afforestation activity mostly took the form of </w:t>
      </w:r>
      <w:r w:rsidR="00334191">
        <w:rPr>
          <w:i/>
        </w:rPr>
        <w:t>afforestation</w:t>
      </w:r>
      <w:r w:rsidR="00E116D7">
        <w:t xml:space="preserve"> establishment. </w:t>
      </w:r>
      <w:r w:rsidR="00F0616B">
        <w:t>A</w:t>
      </w:r>
      <w:r>
        <w:t>verage annual</w:t>
      </w:r>
      <w:r w:rsidR="00751DF9">
        <w:t xml:space="preserve"> growth</w:t>
      </w:r>
      <w:r>
        <w:t xml:space="preserve"> rate</w:t>
      </w:r>
      <w:r w:rsidR="00F0616B">
        <w:t>s</w:t>
      </w:r>
      <w:r>
        <w:t xml:space="preserve"> </w:t>
      </w:r>
      <w:r w:rsidR="00751DF9">
        <w:t>of new</w:t>
      </w:r>
      <w:r w:rsidR="00F0616B">
        <w:t xml:space="preserve"> </w:t>
      </w:r>
      <w:r w:rsidR="000B1629">
        <w:t>forest plantations</w:t>
      </w:r>
      <w:r>
        <w:t xml:space="preserve"> ha</w:t>
      </w:r>
      <w:r w:rsidR="00F0616B">
        <w:t xml:space="preserve">ve </w:t>
      </w:r>
      <w:r>
        <w:t xml:space="preserve">fluctuated </w:t>
      </w:r>
      <w:r w:rsidR="00F0616B">
        <w:t xml:space="preserve">in the last decades </w:t>
      </w:r>
      <w:r>
        <w:t>(Table 1)</w:t>
      </w:r>
      <w:r w:rsidR="00F0616B">
        <w:t>,</w:t>
      </w:r>
      <w:r>
        <w:t xml:space="preserve"> and various interpretations of these fluctuations and other global trends and agreements are reflected in </w:t>
      </w:r>
      <w:r w:rsidR="00F0616B">
        <w:t>Drawdown’s future</w:t>
      </w:r>
      <w:r>
        <w:t xml:space="preserve"> adoption scenarios</w:t>
      </w:r>
      <w:r w:rsidR="00F0616B">
        <w:t xml:space="preserve"> for this solution</w:t>
      </w:r>
      <w:r>
        <w:t xml:space="preserve">. Both economic forces and government policies have contributed to the increase in </w:t>
      </w:r>
      <w:r w:rsidR="005F349F">
        <w:t xml:space="preserve">afforested </w:t>
      </w:r>
      <w:r w:rsidR="000B1629">
        <w:t>forest plantations</w:t>
      </w:r>
      <w:r w:rsidR="00DE0616">
        <w:t xml:space="preserve"> </w:t>
      </w:r>
      <w:r w:rsidR="005F349F">
        <w:t>this</w:t>
      </w:r>
      <w:r>
        <w:t xml:space="preserve"> is likely to </w:t>
      </w:r>
      <w:r w:rsidR="00BD6B65">
        <w:t>continue impacting</w:t>
      </w:r>
      <w:r>
        <w:t xml:space="preserve"> </w:t>
      </w:r>
      <w:r w:rsidR="000B1629">
        <w:t>forest plantations</w:t>
      </w:r>
      <w:r>
        <w:t xml:space="preserve"> trends going forward. </w:t>
      </w:r>
    </w:p>
    <w:p w14:paraId="51B411B9" w14:textId="77777777" w:rsidR="00587154" w:rsidRDefault="00587154" w:rsidP="00587154">
      <w:pPr>
        <w:spacing w:after="0"/>
        <w:ind w:firstLine="708"/>
      </w:pPr>
    </w:p>
    <w:p w14:paraId="0418D9E6" w14:textId="50F43723" w:rsidR="00587154" w:rsidRPr="00D45F43" w:rsidRDefault="00172CCC" w:rsidP="00172CCC">
      <w:pPr>
        <w:pStyle w:val="Caption"/>
        <w:rPr>
          <w:b/>
          <w:i w:val="0"/>
          <w:sz w:val="20"/>
        </w:rPr>
      </w:pPr>
      <w:bookmarkStart w:id="8" w:name="_Toc18443153"/>
      <w:r>
        <w:t xml:space="preserve">Table </w:t>
      </w:r>
      <w:fldSimple w:instr=" STYLEREF 1 \s ">
        <w:r w:rsidR="00636BAC">
          <w:rPr>
            <w:noProof/>
          </w:rPr>
          <w:t>1</w:t>
        </w:r>
      </w:fldSimple>
      <w:r>
        <w:t>.</w:t>
      </w:r>
      <w:fldSimple w:instr=" SEQ Table \* ARABIC \s 1 ">
        <w:r w:rsidR="00636BAC">
          <w:rPr>
            <w:noProof/>
          </w:rPr>
          <w:t>1</w:t>
        </w:r>
      </w:fldSimple>
      <w:r w:rsidRPr="00D45F43">
        <w:rPr>
          <w:b/>
          <w:sz w:val="20"/>
        </w:rPr>
        <w:t>: Average Annual Growth Rate in Planted Forest (FAO 2015)</w:t>
      </w:r>
      <w:bookmarkEnd w:id="8"/>
    </w:p>
    <w:tbl>
      <w:tblPr>
        <w:tblStyle w:val="TableGrid"/>
        <w:tblW w:w="9259" w:type="dxa"/>
        <w:jc w:val="center"/>
        <w:tblLook w:val="04A0" w:firstRow="1" w:lastRow="0" w:firstColumn="1" w:lastColumn="0" w:noHBand="0" w:noVBand="1"/>
      </w:tblPr>
      <w:tblGrid>
        <w:gridCol w:w="3420"/>
        <w:gridCol w:w="1339"/>
        <w:gridCol w:w="1440"/>
        <w:gridCol w:w="1440"/>
        <w:gridCol w:w="1620"/>
      </w:tblGrid>
      <w:tr w:rsidR="00587154" w:rsidRPr="00936A8E" w14:paraId="51C0E898" w14:textId="77777777" w:rsidTr="00424673">
        <w:trPr>
          <w:trHeight w:val="263"/>
          <w:jc w:val="center"/>
        </w:trPr>
        <w:tc>
          <w:tcPr>
            <w:tcW w:w="3420" w:type="dxa"/>
            <w:noWrap/>
            <w:hideMark/>
          </w:tcPr>
          <w:p w14:paraId="486C116A" w14:textId="77777777" w:rsidR="00587154" w:rsidRPr="00936A8E" w:rsidRDefault="00587154" w:rsidP="00424673">
            <w:pPr>
              <w:rPr>
                <w:rFonts w:ascii="Arial" w:eastAsia="Times New Roman" w:hAnsi="Arial" w:cs="Arial"/>
                <w:b/>
                <w:bCs/>
                <w:sz w:val="20"/>
                <w:szCs w:val="20"/>
                <w:lang w:eastAsia="en-US"/>
              </w:rPr>
            </w:pPr>
            <w:r>
              <w:rPr>
                <w:rFonts w:ascii="Arial" w:eastAsia="Times New Roman" w:hAnsi="Arial" w:cs="Arial"/>
                <w:b/>
                <w:bCs/>
                <w:sz w:val="20"/>
                <w:szCs w:val="20"/>
                <w:lang w:eastAsia="en-US"/>
              </w:rPr>
              <w:t>Time Period</w:t>
            </w:r>
          </w:p>
        </w:tc>
        <w:tc>
          <w:tcPr>
            <w:tcW w:w="1339" w:type="dxa"/>
            <w:noWrap/>
            <w:hideMark/>
          </w:tcPr>
          <w:p w14:paraId="74E4E692" w14:textId="77777777" w:rsidR="00587154" w:rsidRPr="00936A8E" w:rsidRDefault="00587154" w:rsidP="00424673">
            <w:pPr>
              <w:jc w:val="center"/>
              <w:rPr>
                <w:rFonts w:ascii="Arial" w:eastAsia="Times New Roman" w:hAnsi="Arial" w:cs="Arial"/>
                <w:b/>
                <w:sz w:val="20"/>
                <w:szCs w:val="20"/>
                <w:lang w:eastAsia="en-US"/>
              </w:rPr>
            </w:pPr>
            <w:r w:rsidRPr="00936A8E">
              <w:rPr>
                <w:rFonts w:ascii="Arial" w:eastAsia="Times New Roman" w:hAnsi="Arial" w:cs="Arial"/>
                <w:b/>
                <w:sz w:val="20"/>
                <w:szCs w:val="20"/>
                <w:lang w:eastAsia="en-US"/>
              </w:rPr>
              <w:t>1990</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2015</w:t>
            </w:r>
          </w:p>
        </w:tc>
        <w:tc>
          <w:tcPr>
            <w:tcW w:w="1440" w:type="dxa"/>
            <w:noWrap/>
            <w:hideMark/>
          </w:tcPr>
          <w:p w14:paraId="0C6E71CB" w14:textId="77777777" w:rsidR="00587154" w:rsidRPr="00936A8E" w:rsidRDefault="00587154" w:rsidP="00424673">
            <w:pPr>
              <w:jc w:val="center"/>
              <w:rPr>
                <w:rFonts w:ascii="Arial" w:eastAsia="Times New Roman" w:hAnsi="Arial" w:cs="Arial"/>
                <w:b/>
                <w:sz w:val="20"/>
                <w:szCs w:val="20"/>
                <w:lang w:eastAsia="en-US"/>
              </w:rPr>
            </w:pPr>
            <w:r w:rsidRPr="00936A8E">
              <w:rPr>
                <w:rFonts w:ascii="Arial" w:eastAsia="Times New Roman" w:hAnsi="Arial" w:cs="Arial"/>
                <w:b/>
                <w:sz w:val="20"/>
                <w:szCs w:val="20"/>
                <w:lang w:eastAsia="en-US"/>
              </w:rPr>
              <w:t>1990</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2000</w:t>
            </w:r>
          </w:p>
        </w:tc>
        <w:tc>
          <w:tcPr>
            <w:tcW w:w="1440" w:type="dxa"/>
            <w:noWrap/>
            <w:hideMark/>
          </w:tcPr>
          <w:p w14:paraId="04102AE1" w14:textId="77777777" w:rsidR="00587154" w:rsidRPr="00936A8E" w:rsidRDefault="00587154" w:rsidP="00424673">
            <w:pPr>
              <w:jc w:val="center"/>
              <w:rPr>
                <w:rFonts w:ascii="Arial" w:eastAsia="Times New Roman" w:hAnsi="Arial" w:cs="Arial"/>
                <w:b/>
                <w:sz w:val="20"/>
                <w:szCs w:val="20"/>
                <w:lang w:eastAsia="en-US"/>
              </w:rPr>
            </w:pPr>
            <w:r w:rsidRPr="00936A8E">
              <w:rPr>
                <w:rFonts w:ascii="Arial" w:eastAsia="Times New Roman" w:hAnsi="Arial" w:cs="Arial"/>
                <w:b/>
                <w:sz w:val="20"/>
                <w:szCs w:val="20"/>
                <w:lang w:eastAsia="en-US"/>
              </w:rPr>
              <w:t>2000</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w:t>
            </w:r>
            <w:r>
              <w:rPr>
                <w:rFonts w:ascii="Arial" w:eastAsia="Times New Roman" w:hAnsi="Arial" w:cs="Arial"/>
                <w:b/>
                <w:sz w:val="20"/>
                <w:szCs w:val="20"/>
                <w:lang w:eastAsia="en-US"/>
              </w:rPr>
              <w:t xml:space="preserve"> </w:t>
            </w:r>
            <w:r w:rsidRPr="00936A8E">
              <w:rPr>
                <w:rFonts w:ascii="Arial" w:eastAsia="Times New Roman" w:hAnsi="Arial" w:cs="Arial"/>
                <w:b/>
                <w:sz w:val="20"/>
                <w:szCs w:val="20"/>
                <w:lang w:eastAsia="en-US"/>
              </w:rPr>
              <w:t>2010</w:t>
            </w:r>
          </w:p>
        </w:tc>
        <w:tc>
          <w:tcPr>
            <w:tcW w:w="1620" w:type="dxa"/>
            <w:noWrap/>
            <w:hideMark/>
          </w:tcPr>
          <w:p w14:paraId="7B499AB4" w14:textId="77777777" w:rsidR="00587154" w:rsidRPr="00936A8E" w:rsidRDefault="00587154" w:rsidP="00424673">
            <w:pPr>
              <w:jc w:val="center"/>
              <w:rPr>
                <w:rFonts w:ascii="Arial" w:eastAsia="Times New Roman" w:hAnsi="Arial" w:cs="Arial"/>
                <w:b/>
                <w:sz w:val="20"/>
                <w:szCs w:val="20"/>
                <w:lang w:eastAsia="en-US"/>
              </w:rPr>
            </w:pPr>
            <w:r w:rsidRPr="00936A8E">
              <w:rPr>
                <w:rFonts w:ascii="Arial" w:eastAsia="Times New Roman" w:hAnsi="Arial" w:cs="Arial"/>
                <w:b/>
                <w:sz w:val="20"/>
                <w:szCs w:val="20"/>
                <w:lang w:eastAsia="en-US"/>
              </w:rPr>
              <w:t>2010</w:t>
            </w:r>
            <w:r>
              <w:rPr>
                <w:rFonts w:ascii="Arial" w:eastAsia="Times New Roman" w:hAnsi="Arial" w:cs="Arial"/>
                <w:b/>
                <w:sz w:val="20"/>
                <w:szCs w:val="20"/>
                <w:lang w:eastAsia="en-US"/>
              </w:rPr>
              <w:t xml:space="preserve"> – </w:t>
            </w:r>
            <w:r w:rsidRPr="00936A8E">
              <w:rPr>
                <w:rFonts w:ascii="Arial" w:eastAsia="Times New Roman" w:hAnsi="Arial" w:cs="Arial"/>
                <w:b/>
                <w:sz w:val="20"/>
                <w:szCs w:val="20"/>
                <w:lang w:eastAsia="en-US"/>
              </w:rPr>
              <w:t>2015</w:t>
            </w:r>
          </w:p>
        </w:tc>
      </w:tr>
      <w:tr w:rsidR="00587154" w:rsidRPr="00936A8E" w14:paraId="6F14D143" w14:textId="77777777" w:rsidTr="00424673">
        <w:trPr>
          <w:trHeight w:val="263"/>
          <w:jc w:val="center"/>
        </w:trPr>
        <w:tc>
          <w:tcPr>
            <w:tcW w:w="3420" w:type="dxa"/>
            <w:noWrap/>
            <w:hideMark/>
          </w:tcPr>
          <w:p w14:paraId="70A7FD23" w14:textId="77777777" w:rsidR="00587154" w:rsidRPr="00936A8E" w:rsidRDefault="00587154" w:rsidP="00424673">
            <w:pPr>
              <w:rPr>
                <w:rFonts w:ascii="Arial" w:eastAsia="Times New Roman" w:hAnsi="Arial" w:cs="Arial"/>
                <w:b/>
                <w:bCs/>
                <w:sz w:val="20"/>
                <w:szCs w:val="20"/>
                <w:lang w:eastAsia="en-US"/>
              </w:rPr>
            </w:pPr>
            <w:r w:rsidRPr="00936A8E">
              <w:rPr>
                <w:rFonts w:ascii="Arial" w:eastAsia="Times New Roman" w:hAnsi="Arial" w:cs="Arial"/>
                <w:b/>
                <w:bCs/>
                <w:sz w:val="20"/>
                <w:szCs w:val="20"/>
                <w:lang w:eastAsia="en-US"/>
              </w:rPr>
              <w:t>Avg. Growth Rate (Mha/yr)</w:t>
            </w:r>
          </w:p>
        </w:tc>
        <w:tc>
          <w:tcPr>
            <w:tcW w:w="1339" w:type="dxa"/>
            <w:noWrap/>
            <w:hideMark/>
          </w:tcPr>
          <w:p w14:paraId="77A71375" w14:textId="77777777" w:rsidR="00587154" w:rsidRPr="00936A8E" w:rsidRDefault="00587154" w:rsidP="00424673">
            <w:pPr>
              <w:jc w:val="center"/>
              <w:rPr>
                <w:rFonts w:ascii="Arial" w:eastAsia="Times New Roman" w:hAnsi="Arial" w:cs="Arial"/>
                <w:sz w:val="20"/>
                <w:szCs w:val="20"/>
                <w:lang w:eastAsia="en-US"/>
              </w:rPr>
            </w:pPr>
            <w:r w:rsidRPr="00936A8E">
              <w:rPr>
                <w:rFonts w:ascii="Arial" w:eastAsia="Times New Roman" w:hAnsi="Arial" w:cs="Arial"/>
                <w:sz w:val="20"/>
                <w:szCs w:val="20"/>
                <w:lang w:eastAsia="en-US"/>
              </w:rPr>
              <w:t>4.2</w:t>
            </w:r>
          </w:p>
        </w:tc>
        <w:tc>
          <w:tcPr>
            <w:tcW w:w="1440" w:type="dxa"/>
            <w:noWrap/>
            <w:hideMark/>
          </w:tcPr>
          <w:p w14:paraId="5FA2777F" w14:textId="77777777" w:rsidR="00587154" w:rsidRPr="00936A8E" w:rsidRDefault="00587154" w:rsidP="00424673">
            <w:pPr>
              <w:jc w:val="center"/>
              <w:rPr>
                <w:rFonts w:ascii="Arial" w:eastAsia="Times New Roman" w:hAnsi="Arial" w:cs="Arial"/>
                <w:sz w:val="20"/>
                <w:szCs w:val="20"/>
                <w:lang w:eastAsia="en-US"/>
              </w:rPr>
            </w:pPr>
            <w:r w:rsidRPr="00936A8E">
              <w:rPr>
                <w:rFonts w:ascii="Arial" w:eastAsia="Times New Roman" w:hAnsi="Arial" w:cs="Arial"/>
                <w:sz w:val="20"/>
                <w:szCs w:val="20"/>
                <w:lang w:eastAsia="en-US"/>
              </w:rPr>
              <w:t>3.6</w:t>
            </w:r>
          </w:p>
        </w:tc>
        <w:tc>
          <w:tcPr>
            <w:tcW w:w="1440" w:type="dxa"/>
            <w:noWrap/>
            <w:hideMark/>
          </w:tcPr>
          <w:p w14:paraId="76CF370C" w14:textId="77777777" w:rsidR="00587154" w:rsidRPr="00936A8E" w:rsidRDefault="00587154" w:rsidP="00424673">
            <w:pPr>
              <w:jc w:val="center"/>
              <w:rPr>
                <w:rFonts w:ascii="Arial" w:eastAsia="Times New Roman" w:hAnsi="Arial" w:cs="Arial"/>
                <w:sz w:val="20"/>
                <w:szCs w:val="20"/>
                <w:lang w:eastAsia="en-US"/>
              </w:rPr>
            </w:pPr>
            <w:r w:rsidRPr="00936A8E">
              <w:rPr>
                <w:rFonts w:ascii="Arial" w:eastAsia="Times New Roman" w:hAnsi="Arial" w:cs="Arial"/>
                <w:sz w:val="20"/>
                <w:szCs w:val="20"/>
                <w:lang w:eastAsia="en-US"/>
              </w:rPr>
              <w:t>5.3</w:t>
            </w:r>
          </w:p>
        </w:tc>
        <w:tc>
          <w:tcPr>
            <w:tcW w:w="1620" w:type="dxa"/>
            <w:noWrap/>
            <w:hideMark/>
          </w:tcPr>
          <w:p w14:paraId="067FC77E" w14:textId="77777777" w:rsidR="00587154" w:rsidRPr="00936A8E" w:rsidRDefault="00587154" w:rsidP="00424673">
            <w:pPr>
              <w:jc w:val="center"/>
              <w:rPr>
                <w:rFonts w:ascii="Arial" w:eastAsia="Times New Roman" w:hAnsi="Arial" w:cs="Arial"/>
                <w:sz w:val="20"/>
                <w:szCs w:val="20"/>
                <w:lang w:eastAsia="en-US"/>
              </w:rPr>
            </w:pPr>
            <w:r w:rsidRPr="00936A8E">
              <w:rPr>
                <w:rFonts w:ascii="Arial" w:eastAsia="Times New Roman" w:hAnsi="Arial" w:cs="Arial"/>
                <w:sz w:val="20"/>
                <w:szCs w:val="20"/>
                <w:lang w:eastAsia="en-US"/>
              </w:rPr>
              <w:t>3.2</w:t>
            </w:r>
          </w:p>
        </w:tc>
      </w:tr>
    </w:tbl>
    <w:p w14:paraId="0CACE2CA" w14:textId="77777777" w:rsidR="00587154" w:rsidRPr="008B1493" w:rsidRDefault="00587154" w:rsidP="00587154">
      <w:pPr>
        <w:spacing w:after="0"/>
      </w:pPr>
    </w:p>
    <w:p w14:paraId="46DE3F8A" w14:textId="1A15570A" w:rsidR="008B48E7" w:rsidRPr="00831D33" w:rsidRDefault="551A77D0" w:rsidP="008B48E7">
      <w:pPr>
        <w:pStyle w:val="Heading3"/>
      </w:pPr>
      <w:bookmarkStart w:id="9" w:name="_Toc18443080"/>
      <w:r w:rsidRPr="0026327C">
        <w:t>Trends</w:t>
      </w:r>
      <w:r w:rsidR="000C3205" w:rsidRPr="0026327C">
        <w:t xml:space="preserve"> </w:t>
      </w:r>
      <w:r w:rsidR="00A53CDF" w:rsidRPr="0026327C">
        <w:t>to Accelerate Adoption</w:t>
      </w:r>
      <w:bookmarkEnd w:id="9"/>
    </w:p>
    <w:p w14:paraId="37084BB8" w14:textId="68EB4A31" w:rsidR="008B48E7" w:rsidRPr="00731454" w:rsidRDefault="00482293" w:rsidP="008B48E7">
      <w:pPr>
        <w:spacing w:after="0"/>
        <w:rPr>
          <w:bCs/>
        </w:rPr>
      </w:pPr>
      <w:r>
        <w:rPr>
          <w:bCs/>
        </w:rPr>
        <w:t>Successful and long-term</w:t>
      </w:r>
      <w:r w:rsidR="007D5233">
        <w:rPr>
          <w:bCs/>
        </w:rPr>
        <w:t xml:space="preserve"> </w:t>
      </w:r>
      <w:r w:rsidR="00A332D0">
        <w:rPr>
          <w:bCs/>
        </w:rPr>
        <w:t>conversion of suitable degraded or marginal land to</w:t>
      </w:r>
      <w:r w:rsidR="007D5233">
        <w:rPr>
          <w:bCs/>
        </w:rPr>
        <w:t xml:space="preserve"> </w:t>
      </w:r>
      <w:r w:rsidR="00A0251D">
        <w:rPr>
          <w:bCs/>
        </w:rPr>
        <w:t>afforestation</w:t>
      </w:r>
      <w:r w:rsidR="00516850">
        <w:rPr>
          <w:bCs/>
        </w:rPr>
        <w:t xml:space="preserve"> </w:t>
      </w:r>
      <w:r w:rsidR="008B48E7" w:rsidRPr="0093139E">
        <w:rPr>
          <w:bCs/>
        </w:rPr>
        <w:t xml:space="preserve">requires </w:t>
      </w:r>
      <w:r w:rsidR="001D163A">
        <w:rPr>
          <w:bCs/>
        </w:rPr>
        <w:t>strong</w:t>
      </w:r>
      <w:r w:rsidR="008B48E7" w:rsidRPr="0093139E">
        <w:rPr>
          <w:bCs/>
        </w:rPr>
        <w:t xml:space="preserve"> support and cooperation </w:t>
      </w:r>
      <w:r w:rsidR="00F41AB4">
        <w:rPr>
          <w:bCs/>
        </w:rPr>
        <w:t xml:space="preserve">from </w:t>
      </w:r>
      <w:r w:rsidR="008B48E7" w:rsidRPr="0093139E">
        <w:rPr>
          <w:bCs/>
        </w:rPr>
        <w:t>local stakeholders</w:t>
      </w:r>
      <w:r w:rsidR="004370DC">
        <w:rPr>
          <w:bCs/>
        </w:rPr>
        <w:t xml:space="preserve"> </w:t>
      </w:r>
      <w:r w:rsidR="004370DC">
        <w:rPr>
          <w:bCs/>
        </w:rPr>
        <w:fldChar w:fldCharType="begin"/>
      </w:r>
      <w:r w:rsidR="004370DC">
        <w:rPr>
          <w:bCs/>
        </w:rPr>
        <w:instrText xml:space="preserve"> ADDIN ZOTERO_ITEM CSL_CITATION {"citationID":"6e3L5ICf","properties":{"formattedCitation":"(Agyeman et al., 2003)","plainCitation":"(Agyeman et al., 2003)","noteIndex":0},"citationItems":[{"id":57,"uris":["http://zotero.org/groups/2241939/items/AQKV9P9E"],"uri":["http://zotero.org/groups/2241939/items/AQKV9P9E"],"itemData":{"id":57,"type":"article-journal","title":"Revising the taungya plantation system: new revenue-sharing proposals from Ghana","container-title":"Unasylva","page":"40–43","volume":"54","issue":"1","source":"Google Scholar","shortTitle":"Revising the taungya plantation system","author":[{"family":"Agyeman","given":"V. K."},{"family":"Marfo","given":"K. A."},{"family":"Kasanga","given":"K. R."},{"family":"Danso","given":"E."},{"family":"Asare","given":"A. B."},{"family":"Yeboah","given":"O. M."},{"family":"Agyeman","given":"F."}],"issued":{"date-parts":[["2003"]]}}}],"schema":"https://github.com/citation-style-language/schema/raw/master/csl-citation.json"} </w:instrText>
      </w:r>
      <w:r w:rsidR="004370DC">
        <w:rPr>
          <w:bCs/>
        </w:rPr>
        <w:fldChar w:fldCharType="separate"/>
      </w:r>
      <w:r w:rsidR="004370DC" w:rsidRPr="004370DC">
        <w:rPr>
          <w:rFonts w:cs="Times New Roman"/>
        </w:rPr>
        <w:t>(Agyeman et al., 2003)</w:t>
      </w:r>
      <w:r w:rsidR="004370DC">
        <w:rPr>
          <w:bCs/>
        </w:rPr>
        <w:fldChar w:fldCharType="end"/>
      </w:r>
      <w:r w:rsidR="008B48E7">
        <w:rPr>
          <w:bCs/>
        </w:rPr>
        <w:t xml:space="preserve"> . </w:t>
      </w:r>
      <w:r w:rsidR="008B48E7" w:rsidRPr="0093139E">
        <w:rPr>
          <w:bCs/>
        </w:rPr>
        <w:t xml:space="preserve">Landowners and communities are more likely to support </w:t>
      </w:r>
      <w:r w:rsidR="000B1629">
        <w:rPr>
          <w:bCs/>
        </w:rPr>
        <w:t>forest plantations</w:t>
      </w:r>
      <w:r w:rsidR="008B48E7" w:rsidRPr="0093139E">
        <w:rPr>
          <w:bCs/>
        </w:rPr>
        <w:t xml:space="preserve"> projects that provide </w:t>
      </w:r>
      <w:r w:rsidR="00AD5C1A">
        <w:rPr>
          <w:bCs/>
        </w:rPr>
        <w:t>tangible</w:t>
      </w:r>
      <w:r w:rsidR="008B48E7" w:rsidRPr="0093139E">
        <w:rPr>
          <w:bCs/>
        </w:rPr>
        <w:t xml:space="preserve"> benefits such as commercial wood produ</w:t>
      </w:r>
      <w:r w:rsidR="008B48E7">
        <w:rPr>
          <w:bCs/>
        </w:rPr>
        <w:t>ction or ecosystem services</w:t>
      </w:r>
      <w:r w:rsidR="004370DC">
        <w:rPr>
          <w:bCs/>
        </w:rPr>
        <w:t xml:space="preserve"> </w:t>
      </w:r>
      <w:r w:rsidR="004370DC">
        <w:rPr>
          <w:bCs/>
        </w:rPr>
        <w:fldChar w:fldCharType="begin"/>
      </w:r>
      <w:r w:rsidR="004370DC">
        <w:rPr>
          <w:bCs/>
        </w:rPr>
        <w:instrText xml:space="preserve"> ADDIN ZOTERO_ITEM CSL_CITATION {"citationID":"yeoE2NQG","properties":{"formattedCitation":"(Schneider, Pohnan, &amp; others, 2012)","plainCitation":"(Schneider, Pohnan, &amp; others, 2012)","noteIndex":0},"citationItems":[{"id":8,"uris":["http://zotero.org/groups/2241939/items/UK2MP4BB"],"uri":["http://zotero.org/groups/2241939/items/UK2MP4BB"],"itemData":{"id":8,"type":"article-journal","title":"Assessing Rainforestation: the social and ecological effects of smallholder-based native species reforestation in the Philippines.","container-title":"Tropical Resources: Bulletin of the Yale Tropical Resources Institute","page":"78–85","volume":"31","source":"Google Scholar","shortTitle":"Assessing Rainforestation","author":[{"family":"Schneider","given":"T."},{"family":"Pohnan","given":"E."},{"literal":"others"}],"issued":{"date-parts":[["2012"]]}}}],"schema":"https://github.com/citation-style-language/schema/raw/master/csl-citation.json"} </w:instrText>
      </w:r>
      <w:r w:rsidR="004370DC">
        <w:rPr>
          <w:bCs/>
        </w:rPr>
        <w:fldChar w:fldCharType="separate"/>
      </w:r>
      <w:r w:rsidR="008B187E" w:rsidRPr="008B187E">
        <w:rPr>
          <w:rFonts w:cs="Times New Roman"/>
        </w:rPr>
        <w:t>(Schneider, Pohnan, &amp; others, 2012)</w:t>
      </w:r>
      <w:r w:rsidR="004370DC">
        <w:rPr>
          <w:bCs/>
        </w:rPr>
        <w:fldChar w:fldCharType="end"/>
      </w:r>
      <w:r w:rsidR="008B48E7">
        <w:rPr>
          <w:bCs/>
        </w:rPr>
        <w:t xml:space="preserve"> .</w:t>
      </w:r>
      <w:r w:rsidR="008B48E7" w:rsidRPr="0093139E">
        <w:rPr>
          <w:bCs/>
        </w:rPr>
        <w:t xml:space="preserve"> Peer</w:t>
      </w:r>
      <w:r w:rsidR="003E4CB4">
        <w:rPr>
          <w:bCs/>
        </w:rPr>
        <w:t>-p</w:t>
      </w:r>
      <w:r w:rsidR="008B48E7" w:rsidRPr="0093139E">
        <w:rPr>
          <w:bCs/>
        </w:rPr>
        <w:t>ressure from local landholder groups</w:t>
      </w:r>
      <w:r w:rsidR="003E4CB4">
        <w:rPr>
          <w:bCs/>
        </w:rPr>
        <w:t xml:space="preserve"> as well as</w:t>
      </w:r>
      <w:r w:rsidR="008B48E7" w:rsidRPr="0093139E">
        <w:rPr>
          <w:bCs/>
        </w:rPr>
        <w:t xml:space="preserve"> </w:t>
      </w:r>
      <w:r w:rsidR="003E4CB4">
        <w:rPr>
          <w:bCs/>
        </w:rPr>
        <w:t>access to knowledge about sustainable forestry management practices</w:t>
      </w:r>
      <w:r w:rsidR="008B48E7" w:rsidRPr="0093139E">
        <w:rPr>
          <w:bCs/>
        </w:rPr>
        <w:t xml:space="preserve"> can also increase </w:t>
      </w:r>
      <w:r w:rsidR="00AE705C">
        <w:rPr>
          <w:bCs/>
        </w:rPr>
        <w:t>of</w:t>
      </w:r>
      <w:r w:rsidR="00AE705C" w:rsidRPr="0093139E">
        <w:rPr>
          <w:bCs/>
        </w:rPr>
        <w:t xml:space="preserve"> </w:t>
      </w:r>
      <w:r w:rsidR="008B48E7" w:rsidRPr="0093139E">
        <w:rPr>
          <w:bCs/>
        </w:rPr>
        <w:t xml:space="preserve">individual landowner’s </w:t>
      </w:r>
      <w:r w:rsidR="00AE705C">
        <w:rPr>
          <w:bCs/>
        </w:rPr>
        <w:t>likelihood of</w:t>
      </w:r>
      <w:r w:rsidR="008B48E7" w:rsidRPr="0093139E">
        <w:rPr>
          <w:bCs/>
        </w:rPr>
        <w:t xml:space="preserve"> </w:t>
      </w:r>
      <w:r w:rsidR="00364F2E">
        <w:rPr>
          <w:bCs/>
        </w:rPr>
        <w:t>forest plantation establishment</w:t>
      </w:r>
      <w:r w:rsidR="004370DC">
        <w:rPr>
          <w:bCs/>
        </w:rPr>
        <w:t xml:space="preserve"> </w:t>
      </w:r>
      <w:r w:rsidR="004370DC">
        <w:rPr>
          <w:bCs/>
        </w:rPr>
        <w:fldChar w:fldCharType="begin"/>
      </w:r>
      <w:r w:rsidR="004370DC">
        <w:rPr>
          <w:bCs/>
        </w:rPr>
        <w:instrText xml:space="preserve"> ADDIN ZOTERO_ITEM CSL_CITATION {"citationID":"uCPI2jPY","properties":{"formattedCitation":"(Schirmer &amp; Bull, 2014)","plainCitation":"(Schirmer &amp; Bull, 2014)","noteIndex":0},"citationItems":[{"id":9,"uris":["http://zotero.org/groups/2241939/items/L8GQP2BC"],"uri":["http://zotero.org/groups/2241939/items/L8GQP2BC"],"itemData":{"id":9,"type":"article-journal","title":"Assessing the likelihood of widespread landholder adoption of afforestation and reforestation projects","container-title":"Global Environmental Change","page":"306–320","volume":"24","source":"Google Scholar","author":[{"family":"Schirmer","given":"Jacki"},{"family":"Bull","given":"Lyndall"}],"issued":{"date-parts":[["2014"]]}}}],"schema":"https://github.com/citation-style-language/schema/raw/master/csl-citation.json"} </w:instrText>
      </w:r>
      <w:r w:rsidR="004370DC">
        <w:rPr>
          <w:bCs/>
        </w:rPr>
        <w:fldChar w:fldCharType="separate"/>
      </w:r>
      <w:r w:rsidR="004370DC" w:rsidRPr="004370DC">
        <w:rPr>
          <w:rFonts w:cs="Times New Roman"/>
        </w:rPr>
        <w:t>(Schirmer &amp; Bull, 2014)</w:t>
      </w:r>
      <w:r w:rsidR="004370DC">
        <w:rPr>
          <w:bCs/>
        </w:rPr>
        <w:fldChar w:fldCharType="end"/>
      </w:r>
      <w:r w:rsidR="008B48E7">
        <w:rPr>
          <w:bCs/>
        </w:rPr>
        <w:t>.</w:t>
      </w:r>
      <w:r w:rsidR="008B48E7" w:rsidRPr="0093139E">
        <w:rPr>
          <w:bCs/>
        </w:rPr>
        <w:t xml:space="preserve"> </w:t>
      </w:r>
    </w:p>
    <w:p w14:paraId="60E35210" w14:textId="77777777" w:rsidR="008B48E7" w:rsidRDefault="008B48E7" w:rsidP="00D27A30">
      <w:pPr>
        <w:spacing w:after="0"/>
        <w:rPr>
          <w:bCs/>
        </w:rPr>
      </w:pPr>
    </w:p>
    <w:p w14:paraId="295B906B" w14:textId="1CDFB621" w:rsidR="008B48E7" w:rsidRDefault="008C597F" w:rsidP="00D27A30">
      <w:pPr>
        <w:spacing w:after="0"/>
        <w:rPr>
          <w:bCs/>
        </w:rPr>
      </w:pPr>
      <w:r>
        <w:rPr>
          <w:bCs/>
        </w:rPr>
        <w:t>Affor</w:t>
      </w:r>
      <w:r w:rsidR="00BB2771">
        <w:rPr>
          <w:bCs/>
        </w:rPr>
        <w:t>estation</w:t>
      </w:r>
      <w:r w:rsidR="003E4CB4">
        <w:rPr>
          <w:bCs/>
        </w:rPr>
        <w:t xml:space="preserve"> ha</w:t>
      </w:r>
      <w:r w:rsidR="005072C2">
        <w:rPr>
          <w:bCs/>
        </w:rPr>
        <w:t>s</w:t>
      </w:r>
      <w:r w:rsidR="003E4CB4">
        <w:rPr>
          <w:bCs/>
        </w:rPr>
        <w:t xml:space="preserve"> gained traction on the international stage</w:t>
      </w:r>
      <w:r w:rsidR="005072C2">
        <w:rPr>
          <w:bCs/>
        </w:rPr>
        <w:t>,</w:t>
      </w:r>
      <w:r w:rsidR="003E4CB4">
        <w:rPr>
          <w:bCs/>
        </w:rPr>
        <w:t xml:space="preserve"> and </w:t>
      </w:r>
      <w:r w:rsidR="005D1079">
        <w:rPr>
          <w:bCs/>
        </w:rPr>
        <w:t xml:space="preserve">afforestation practices like forest plantations </w:t>
      </w:r>
      <w:r w:rsidR="003E4CB4">
        <w:rPr>
          <w:bCs/>
        </w:rPr>
        <w:t>ha</w:t>
      </w:r>
      <w:r w:rsidR="00167DB7">
        <w:rPr>
          <w:bCs/>
        </w:rPr>
        <w:t>ve</w:t>
      </w:r>
      <w:r w:rsidR="003E4CB4">
        <w:rPr>
          <w:bCs/>
        </w:rPr>
        <w:t xml:space="preserve"> been identified as a</w:t>
      </w:r>
      <w:r w:rsidR="00167DB7">
        <w:rPr>
          <w:bCs/>
        </w:rPr>
        <w:t xml:space="preserve"> potential</w:t>
      </w:r>
      <w:r w:rsidR="003E4CB4">
        <w:rPr>
          <w:bCs/>
        </w:rPr>
        <w:t xml:space="preserve"> strategy to address deforestation and land degradation </w:t>
      </w:r>
      <w:r w:rsidR="00F16746">
        <w:rPr>
          <w:bCs/>
        </w:rPr>
        <w:t>by</w:t>
      </w:r>
      <w:r w:rsidR="003E4CB4">
        <w:rPr>
          <w:bCs/>
        </w:rPr>
        <w:t xml:space="preserve"> </w:t>
      </w:r>
      <w:r w:rsidR="005E60CA">
        <w:rPr>
          <w:bCs/>
        </w:rPr>
        <w:t xml:space="preserve">the IPCC, the </w:t>
      </w:r>
      <w:r w:rsidR="003E4CB4">
        <w:rPr>
          <w:bCs/>
        </w:rPr>
        <w:t xml:space="preserve">FAO or the UN. As a response, </w:t>
      </w:r>
      <w:r w:rsidR="00B94069">
        <w:rPr>
          <w:bCs/>
        </w:rPr>
        <w:t>several</w:t>
      </w:r>
      <w:r w:rsidR="003E4CB4">
        <w:rPr>
          <w:bCs/>
        </w:rPr>
        <w:t xml:space="preserve"> countries have included the practice in their national</w:t>
      </w:r>
      <w:r w:rsidR="00857471" w:rsidRPr="0093139E">
        <w:rPr>
          <w:bCs/>
        </w:rPr>
        <w:t xml:space="preserve"> programs</w:t>
      </w:r>
      <w:r w:rsidR="003E4CB4">
        <w:rPr>
          <w:bCs/>
        </w:rPr>
        <w:t>,</w:t>
      </w:r>
      <w:r w:rsidR="00857471" w:rsidRPr="0093139E">
        <w:rPr>
          <w:bCs/>
        </w:rPr>
        <w:t xml:space="preserve"> </w:t>
      </w:r>
      <w:r w:rsidR="003E4CB4">
        <w:rPr>
          <w:bCs/>
        </w:rPr>
        <w:t xml:space="preserve">recognizing </w:t>
      </w:r>
      <w:r w:rsidR="00A46689">
        <w:rPr>
          <w:bCs/>
        </w:rPr>
        <w:t xml:space="preserve">its potential for </w:t>
      </w:r>
      <w:r w:rsidR="00857471" w:rsidRPr="0093139E">
        <w:rPr>
          <w:bCs/>
        </w:rPr>
        <w:t xml:space="preserve">carbon </w:t>
      </w:r>
      <w:r w:rsidR="003E4CB4">
        <w:rPr>
          <w:bCs/>
        </w:rPr>
        <w:t xml:space="preserve">sequestration and other environmental </w:t>
      </w:r>
      <w:r w:rsidR="00857471" w:rsidRPr="0093139E">
        <w:rPr>
          <w:bCs/>
        </w:rPr>
        <w:t>benefits</w:t>
      </w:r>
      <w:r w:rsidR="003E4CB4">
        <w:rPr>
          <w:bCs/>
        </w:rPr>
        <w:t xml:space="preserve"> as well </w:t>
      </w:r>
      <w:r w:rsidR="00857471" w:rsidRPr="0093139E">
        <w:rPr>
          <w:bCs/>
        </w:rPr>
        <w:t>for economic growth.</w:t>
      </w:r>
      <w:r w:rsidR="00857471">
        <w:rPr>
          <w:bCs/>
        </w:rPr>
        <w:t xml:space="preserve"> </w:t>
      </w:r>
      <w:r w:rsidR="00AB149D">
        <w:rPr>
          <w:bCs/>
        </w:rPr>
        <w:t>T</w:t>
      </w:r>
      <w:r w:rsidR="00857471" w:rsidRPr="0093139E">
        <w:rPr>
          <w:bCs/>
        </w:rPr>
        <w:t>he United States, Australia, and United Kingdom</w:t>
      </w:r>
      <w:r w:rsidR="009073DB">
        <w:rPr>
          <w:bCs/>
        </w:rPr>
        <w:t xml:space="preserve"> currently</w:t>
      </w:r>
      <w:r w:rsidR="00857471" w:rsidRPr="0093139E">
        <w:rPr>
          <w:bCs/>
        </w:rPr>
        <w:t xml:space="preserve"> offer tax incentives for </w:t>
      </w:r>
      <w:r w:rsidR="003E4CB4">
        <w:rPr>
          <w:bCs/>
        </w:rPr>
        <w:t>forest plantation establishment</w:t>
      </w:r>
      <w:r w:rsidR="00857471" w:rsidRPr="0093139E">
        <w:rPr>
          <w:bCs/>
        </w:rPr>
        <w:t>, although the effectiveness</w:t>
      </w:r>
      <w:r w:rsidR="003E4CB4">
        <w:rPr>
          <w:bCs/>
        </w:rPr>
        <w:t xml:space="preserve"> of such programs</w:t>
      </w:r>
      <w:r w:rsidR="00857471" w:rsidRPr="0093139E">
        <w:rPr>
          <w:bCs/>
        </w:rPr>
        <w:t xml:space="preserve"> has been ques</w:t>
      </w:r>
      <w:r w:rsidR="00857471">
        <w:rPr>
          <w:bCs/>
        </w:rPr>
        <w:t>tioned</w:t>
      </w:r>
      <w:r w:rsidR="004370DC">
        <w:rPr>
          <w:bCs/>
        </w:rPr>
        <w:t xml:space="preserve"> </w:t>
      </w:r>
      <w:r w:rsidR="004370DC">
        <w:rPr>
          <w:bCs/>
        </w:rPr>
        <w:fldChar w:fldCharType="begin"/>
      </w:r>
      <w:r w:rsidR="004370DC">
        <w:rPr>
          <w:bCs/>
        </w:rPr>
        <w:instrText xml:space="preserve"> ADDIN ZOTERO_ITEM CSL_CITATION {"citationID":"FR8RSdhh","properties":{"formattedCitation":"(Jacobson, Michael G., Greene, John L., Straka, Thomas J., Daniels, Steven E., &amp; Kilgore, Michael A., 2009)","plainCitation":"(Jacobson, Michael G., Greene, John L., Straka, Thomas J., Daniels, Steven E., &amp; Kilgore, Michael A., 2009)","noteIndex":0},"citationItems":[{"id":37,"uris":["http://zotero.org/groups/2241939/items/2KY7IN6C"],"uri":["http://zotero.org/groups/2241939/items/2KY7IN6C"],"itemData":{"id":37,"type":"article-journal","title":"Influence and Effectiveness of Financial Incentive Programs in Promoting Sustainable Forestry in the South","container-title":"Southern Journal of Applied Forestry","page":"35-41","volume":"33","issue":"1","author":[{"literal":"Jacobson, Michael G."},{"literal":"Greene, John L."},{"literal":"Straka, Thomas J."},{"literal":"Daniels, Steven E."},{"literal":"Kilgore, Michael A."}],"issued":{"date-parts":[["2009",2,1]]}}}],"schema":"https://github.com/citation-style-language/schema/raw/master/csl-citation.json"} </w:instrText>
      </w:r>
      <w:r w:rsidR="004370DC">
        <w:rPr>
          <w:bCs/>
        </w:rPr>
        <w:fldChar w:fldCharType="separate"/>
      </w:r>
      <w:r w:rsidR="008B187E" w:rsidRPr="008B187E">
        <w:rPr>
          <w:rFonts w:cs="Times New Roman"/>
        </w:rPr>
        <w:t>(Jacobson, Michael G., Greene, John L., Straka, Thomas J., Daniels, Steven E., &amp; Kilgore, Michael A., 2009)</w:t>
      </w:r>
      <w:r w:rsidR="004370DC">
        <w:rPr>
          <w:bCs/>
        </w:rPr>
        <w:fldChar w:fldCharType="end"/>
      </w:r>
      <w:r w:rsidR="00857471">
        <w:rPr>
          <w:bCs/>
        </w:rPr>
        <w:t>.</w:t>
      </w:r>
      <w:r w:rsidR="00857471" w:rsidRPr="0093139E">
        <w:rPr>
          <w:bCs/>
        </w:rPr>
        <w:t xml:space="preserve"> </w:t>
      </w:r>
      <w:r w:rsidR="00857471">
        <w:rPr>
          <w:bCs/>
        </w:rPr>
        <w:t>I</w:t>
      </w:r>
      <w:r w:rsidR="00857471" w:rsidRPr="0093139E">
        <w:rPr>
          <w:bCs/>
        </w:rPr>
        <w:t xml:space="preserve">ndia and China have had ambitious national </w:t>
      </w:r>
      <w:r w:rsidR="00E160BD">
        <w:rPr>
          <w:bCs/>
        </w:rPr>
        <w:t>af</w:t>
      </w:r>
      <w:r w:rsidR="00857471" w:rsidRPr="0093139E">
        <w:rPr>
          <w:bCs/>
        </w:rPr>
        <w:t>forestation projects</w:t>
      </w:r>
      <w:r w:rsidR="00FA3B2A">
        <w:rPr>
          <w:bCs/>
        </w:rPr>
        <w:t xml:space="preserve">, which focus largely on forest plantation establishment </w:t>
      </w:r>
      <w:r w:rsidR="00857471" w:rsidRPr="0093139E">
        <w:rPr>
          <w:bCs/>
        </w:rPr>
        <w:t xml:space="preserve">as part of efforts to reduce desertification, provide flood control, and </w:t>
      </w:r>
      <w:r w:rsidR="00857471">
        <w:rPr>
          <w:bCs/>
        </w:rPr>
        <w:t xml:space="preserve">provide forest resources </w:t>
      </w:r>
      <w:r w:rsidR="00647556">
        <w:rPr>
          <w:bCs/>
        </w:rPr>
        <w:fldChar w:fldCharType="begin"/>
      </w:r>
      <w:r w:rsidR="00647556">
        <w:rPr>
          <w:bCs/>
        </w:rPr>
        <w:instrText xml:space="preserve"> ADDIN ZOTERO_ITEM CSL_CITATION {"citationID":"1QePqfv4","properties":{"formattedCitation":"(Huang, Liu, Shao, &amp; Xu, 2012; Ravindranath, Somashekhar, &amp; Murthy, 2008; Rudel, 2009)","plainCitation":"(Huang, Liu, Shao, &amp; Xu, 2012; Ravindranath, Somashekhar, &amp; Murthy, 2008; Rudel, 2009)","noteIndex":0},"citationItems":[{"id":47,"uris":["http://zotero.org/groups/2241939/items/RIAP272X"],"uri":["http://zotero.org/groups/2241939/items/RIAP272X"],"itemData":{"id":47,"type":"article-journal","title":"Carbon sequestration by forestation across China: past, present, and future","container-title":"Renewable and Sustainable Energy Reviews","page":"1291–1299","volume":"16","issue":"2","source":"Google Scholar","shortTitle":"Carbon sequestration by forestation across China","author":[{"family":"Huang","given":"Lin"},{"family":"Liu","given":"Jiyuan"},{"family":"Shao","given":"Quanqin"},{"family":"Xu","given":"Xinliang"}],"issued":{"date-parts":[["2012"]]}}},{"id":2552,"uris":["http://zotero.org/groups/2241939/items/B7BWIUD3"],"uri":["http://zotero.org/groups/2241939/items/B7BWIUD3"],"itemData":{"id":2552,"type":"article-journal","title":"Forest conservation, afforestation and reforestation in India: implications for forest carbon stocks.","container-title":"Current Science","page":"216-222","volume":"95","issue":"2","source":"Zotero","language":"en","author":[{"family":"Ravindranath","given":"N. H."},{"family":"Somashekhar","given":"B. S."},{"family":"Murthy","given":"I. K."}],"issued":{"date-parts":[["2008"]]}}},{"id":12,"uris":["http://zotero.org/groups/2241939/items/5C3PRL6I"],"uri":["http://zotero.org/groups/2241939/items/5C3PRL6I"],"itemData":{"id":12,"type":"article-journal","title":"Tree farms: driving forces and regional patterns in the global expansion of forest plantations","container-title":"Land use policy","page":"545–550","volume":"26","issue":"3","source":"Google Scholar","shortTitle":"Tree farms","author":[{"family":"Rudel","given":"Thomas K."}],"issued":{"date-parts":[["2009"]]}}}],"schema":"https://github.com/citation-style-language/schema/raw/master/csl-citation.json"} </w:instrText>
      </w:r>
      <w:r w:rsidR="00647556">
        <w:rPr>
          <w:bCs/>
        </w:rPr>
        <w:fldChar w:fldCharType="separate"/>
      </w:r>
      <w:r w:rsidR="008B187E" w:rsidRPr="008B187E">
        <w:rPr>
          <w:rFonts w:cs="Times New Roman"/>
        </w:rPr>
        <w:t>(Huang, Liu, Shao, &amp; Xu, 2012; Ravindranath, Somashekhar, &amp; Murthy, 2008; Rudel, 2009)</w:t>
      </w:r>
      <w:r w:rsidR="00647556">
        <w:rPr>
          <w:bCs/>
        </w:rPr>
        <w:fldChar w:fldCharType="end"/>
      </w:r>
      <w:r w:rsidR="005072C2">
        <w:rPr>
          <w:bCs/>
        </w:rPr>
        <w:t xml:space="preserve"> and provide incentives through subsidies and other types of government-funded compensation schemes</w:t>
      </w:r>
      <w:r w:rsidR="000C6FC4">
        <w:rPr>
          <w:bCs/>
        </w:rPr>
        <w:t xml:space="preserve"> </w:t>
      </w:r>
      <w:r w:rsidR="000C6FC4">
        <w:rPr>
          <w:bCs/>
        </w:rPr>
        <w:fldChar w:fldCharType="begin"/>
      </w:r>
      <w:r w:rsidR="000C6FC4">
        <w:rPr>
          <w:bCs/>
        </w:rPr>
        <w:instrText xml:space="preserve"> ADDIN ZOTERO_ITEM CSL_CITATION {"citationID":"8mJ3W60Z","properties":{"formattedCitation":"(Uchida, Xu, &amp; Rozelle, 2005)","plainCitation":"(Uchida, Xu, &amp; Rozelle, 2005)","noteIndex":0},"citationItems":[{"id":2925,"uris":["http://zotero.org/groups/2241939/items/6IWYX529"],"uri":["http://zotero.org/groups/2241939/items/6IWYX529"],"itemData":{"id":2925,"type":"article-journal","title":"Grain for Green: Cost-Effectiveness and Sustainability of China's Conservation Set-Aside Program","container-title":"Land Economics","page":"247-264","volume":"81","issue":"2","source":"Crossref","abstract":"Since 1999 China has pursued Grain for Green, one of the most ambitious conservation set-aside programs in the developing world to prevent soil erosion. The goal of this paper is to evaluate the program’s cost-effectiveness and sustainability. The results indicate that while the program has made a clear attempt to retire plots that are susceptible to soil erosion, there is room for better targeting. The government also may be able to generate fiscal savings if the payments more accurately reflect the differences in the opportunity costs of each plot. The study finds that some farmers may reconvert the land back to cultivation after program ends, actions that would compromise the sustainability of the program’s environmental achievements.","DOI":"10.3368/le.81.2.247","ISSN":"0023-7639, 1543-8325","shortTitle":"Grain for Green","language":"en","author":[{"family":"Uchida","given":"E."},{"family":"Xu","given":"J."},{"family":"Rozelle","given":"S."}],"issued":{"date-parts":[["2005",5,1]]}}}],"schema":"https://github.com/citation-style-language/schema/raw/master/csl-citation.json"} </w:instrText>
      </w:r>
      <w:r w:rsidR="000C6FC4">
        <w:rPr>
          <w:bCs/>
        </w:rPr>
        <w:fldChar w:fldCharType="separate"/>
      </w:r>
      <w:r w:rsidR="008B187E" w:rsidRPr="008B187E">
        <w:rPr>
          <w:rFonts w:cs="Times New Roman"/>
        </w:rPr>
        <w:t>(Uchida, Xu, &amp; Rozelle, 2005)</w:t>
      </w:r>
      <w:r w:rsidR="000C6FC4">
        <w:rPr>
          <w:bCs/>
        </w:rPr>
        <w:fldChar w:fldCharType="end"/>
      </w:r>
      <w:r w:rsidR="005072C2">
        <w:rPr>
          <w:bCs/>
        </w:rPr>
        <w:t>.</w:t>
      </w:r>
      <w:r w:rsidR="00857471">
        <w:rPr>
          <w:bCs/>
        </w:rPr>
        <w:t xml:space="preserve"> </w:t>
      </w:r>
      <w:r w:rsidR="00E160BD">
        <w:rPr>
          <w:bCs/>
        </w:rPr>
        <w:t xml:space="preserve">Similarly, as a response to the Bonn Challenge, the AFR100 and 20x20 initiatives have resulted in afforestation </w:t>
      </w:r>
      <w:r w:rsidR="003600C4">
        <w:rPr>
          <w:bCs/>
        </w:rPr>
        <w:t xml:space="preserve">and forest plantation </w:t>
      </w:r>
      <w:r w:rsidR="00E160BD">
        <w:rPr>
          <w:bCs/>
        </w:rPr>
        <w:t>pledges from numerous countries in Latin American and Sub-Saharan Africa.</w:t>
      </w:r>
    </w:p>
    <w:p w14:paraId="7A7D70CC" w14:textId="77777777" w:rsidR="00182F1F" w:rsidRDefault="00182F1F" w:rsidP="00274997">
      <w:pPr>
        <w:spacing w:after="0"/>
        <w:rPr>
          <w:bCs/>
        </w:rPr>
      </w:pPr>
    </w:p>
    <w:p w14:paraId="09C40DA0" w14:textId="5F378E80" w:rsidR="006A0CB8" w:rsidRDefault="00182F1F" w:rsidP="00274997">
      <w:pPr>
        <w:spacing w:after="0"/>
        <w:rPr>
          <w:bCs/>
        </w:rPr>
      </w:pPr>
      <w:r>
        <w:rPr>
          <w:bCs/>
        </w:rPr>
        <w:t>Another type of approach is that of “carbon offset”</w:t>
      </w:r>
      <w:r w:rsidR="00274997" w:rsidRPr="0093139E">
        <w:rPr>
          <w:bCs/>
        </w:rPr>
        <w:t xml:space="preserve"> </w:t>
      </w:r>
      <w:r>
        <w:rPr>
          <w:bCs/>
        </w:rPr>
        <w:t xml:space="preserve">or “carbon credit” </w:t>
      </w:r>
      <w:r w:rsidR="00274997" w:rsidRPr="0093139E">
        <w:rPr>
          <w:bCs/>
        </w:rPr>
        <w:t>mechanisms</w:t>
      </w:r>
      <w:r>
        <w:rPr>
          <w:bCs/>
        </w:rPr>
        <w:t xml:space="preserve">, </w:t>
      </w:r>
      <w:r w:rsidR="009661B7">
        <w:rPr>
          <w:bCs/>
        </w:rPr>
        <w:t>through which actors (from individual to national scales)</w:t>
      </w:r>
      <w:r w:rsidR="00274997" w:rsidRPr="0093139E">
        <w:rPr>
          <w:bCs/>
        </w:rPr>
        <w:t xml:space="preserve"> </w:t>
      </w:r>
      <w:r>
        <w:rPr>
          <w:bCs/>
        </w:rPr>
        <w:t xml:space="preserve">offset </w:t>
      </w:r>
      <w:r w:rsidR="009661B7">
        <w:rPr>
          <w:bCs/>
        </w:rPr>
        <w:t>carbon emissions</w:t>
      </w:r>
      <w:r>
        <w:rPr>
          <w:bCs/>
        </w:rPr>
        <w:t xml:space="preserve"> by </w:t>
      </w:r>
      <w:r w:rsidR="008A274C">
        <w:rPr>
          <w:bCs/>
        </w:rPr>
        <w:t>financin</w:t>
      </w:r>
      <w:r>
        <w:rPr>
          <w:bCs/>
        </w:rPr>
        <w:t>g</w:t>
      </w:r>
      <w:r w:rsidR="00274997" w:rsidRPr="0093139E">
        <w:rPr>
          <w:bCs/>
        </w:rPr>
        <w:t xml:space="preserve"> </w:t>
      </w:r>
      <w:r>
        <w:rPr>
          <w:bCs/>
        </w:rPr>
        <w:t xml:space="preserve">carbon sequestration </w:t>
      </w:r>
      <w:r w:rsidR="009661B7">
        <w:rPr>
          <w:bCs/>
        </w:rPr>
        <w:t xml:space="preserve">elsewhere, often through </w:t>
      </w:r>
      <w:r w:rsidR="000B1629">
        <w:rPr>
          <w:bCs/>
        </w:rPr>
        <w:t>forest plantations</w:t>
      </w:r>
      <w:r w:rsidR="00274997" w:rsidRPr="0093139E">
        <w:rPr>
          <w:bCs/>
        </w:rPr>
        <w:t xml:space="preserve"> projects. </w:t>
      </w:r>
      <w:r w:rsidR="008A274C">
        <w:rPr>
          <w:bCs/>
        </w:rPr>
        <w:t>To this end, t</w:t>
      </w:r>
      <w:r w:rsidR="00274997" w:rsidRPr="0093139E">
        <w:rPr>
          <w:bCs/>
        </w:rPr>
        <w:t xml:space="preserve">he Kyoto Protocol instituted the Clean Development Mechanism </w:t>
      </w:r>
      <w:r w:rsidR="00274997">
        <w:rPr>
          <w:bCs/>
        </w:rPr>
        <w:t>(C</w:t>
      </w:r>
      <w:r w:rsidR="00274997" w:rsidRPr="0093139E">
        <w:rPr>
          <w:bCs/>
        </w:rPr>
        <w:t>D</w:t>
      </w:r>
      <w:r w:rsidR="00274997">
        <w:rPr>
          <w:bCs/>
        </w:rPr>
        <w:t>M</w:t>
      </w:r>
      <w:r w:rsidR="008A274C">
        <w:rPr>
          <w:bCs/>
        </w:rPr>
        <w:t>) which allows</w:t>
      </w:r>
      <w:r w:rsidR="00274997" w:rsidRPr="0093139E">
        <w:rPr>
          <w:bCs/>
        </w:rPr>
        <w:t xml:space="preserve"> </w:t>
      </w:r>
      <w:r w:rsidR="009661B7">
        <w:rPr>
          <w:bCs/>
        </w:rPr>
        <w:t>industrialized nations</w:t>
      </w:r>
      <w:r w:rsidR="008A274C">
        <w:rPr>
          <w:bCs/>
        </w:rPr>
        <w:t xml:space="preserve"> to</w:t>
      </w:r>
      <w:r w:rsidR="00274997" w:rsidRPr="0093139E">
        <w:rPr>
          <w:bCs/>
        </w:rPr>
        <w:t xml:space="preserve"> </w:t>
      </w:r>
      <w:r w:rsidR="008A274C">
        <w:rPr>
          <w:bCs/>
        </w:rPr>
        <w:t xml:space="preserve">finance </w:t>
      </w:r>
      <w:r w:rsidR="000B1629">
        <w:rPr>
          <w:bCs/>
        </w:rPr>
        <w:t>forest plantations</w:t>
      </w:r>
      <w:r w:rsidR="008A274C">
        <w:rPr>
          <w:bCs/>
        </w:rPr>
        <w:t xml:space="preserve"> and other carbon sequestration</w:t>
      </w:r>
      <w:r w:rsidR="00946E21">
        <w:rPr>
          <w:bCs/>
        </w:rPr>
        <w:t xml:space="preserve"> projects</w:t>
      </w:r>
      <w:r w:rsidR="008A274C">
        <w:rPr>
          <w:bCs/>
        </w:rPr>
        <w:t xml:space="preserve"> in </w:t>
      </w:r>
      <w:r w:rsidR="009661B7">
        <w:rPr>
          <w:bCs/>
        </w:rPr>
        <w:t xml:space="preserve">developing </w:t>
      </w:r>
      <w:r w:rsidR="006A0CB8">
        <w:rPr>
          <w:bCs/>
        </w:rPr>
        <w:t xml:space="preserve">countries to </w:t>
      </w:r>
      <w:r w:rsidR="008A274C">
        <w:rPr>
          <w:bCs/>
        </w:rPr>
        <w:t>reach</w:t>
      </w:r>
      <w:r w:rsidR="006A0CB8">
        <w:rPr>
          <w:bCs/>
        </w:rPr>
        <w:t xml:space="preserve"> their</w:t>
      </w:r>
      <w:r w:rsidR="00274997" w:rsidRPr="0093139E">
        <w:rPr>
          <w:bCs/>
        </w:rPr>
        <w:t xml:space="preserve"> emission reduction target.</w:t>
      </w:r>
      <w:r w:rsidR="00274997">
        <w:rPr>
          <w:bCs/>
        </w:rPr>
        <w:t xml:space="preserve"> </w:t>
      </w:r>
      <w:r w:rsidR="006A0CB8">
        <w:rPr>
          <w:bCs/>
        </w:rPr>
        <w:t xml:space="preserve">As </w:t>
      </w:r>
      <w:r w:rsidR="006A0CB8" w:rsidRPr="0093139E">
        <w:rPr>
          <w:bCs/>
        </w:rPr>
        <w:t xml:space="preserve">payment for </w:t>
      </w:r>
      <w:r w:rsidR="000B1629">
        <w:rPr>
          <w:bCs/>
        </w:rPr>
        <w:t>forest plantations</w:t>
      </w:r>
      <w:r w:rsidR="006A0CB8" w:rsidRPr="0093139E">
        <w:rPr>
          <w:bCs/>
        </w:rPr>
        <w:t xml:space="preserve"> projects is often cheaper than energy reduction,</w:t>
      </w:r>
      <w:r w:rsidR="006A0CB8">
        <w:rPr>
          <w:bCs/>
        </w:rPr>
        <w:t xml:space="preserve"> many countries participated in the scheme and the </w:t>
      </w:r>
      <w:r w:rsidR="00274997" w:rsidRPr="0093139E">
        <w:rPr>
          <w:bCs/>
        </w:rPr>
        <w:t xml:space="preserve">CDM has provided an important source of funds for </w:t>
      </w:r>
      <w:r w:rsidR="000B1629">
        <w:rPr>
          <w:bCs/>
        </w:rPr>
        <w:t>forest plantations</w:t>
      </w:r>
      <w:r w:rsidR="006A0CB8">
        <w:rPr>
          <w:bCs/>
        </w:rPr>
        <w:t xml:space="preserve"> in recent years. </w:t>
      </w:r>
    </w:p>
    <w:p w14:paraId="368B1B6E" w14:textId="11A8185D" w:rsidR="00B44DE6" w:rsidRDefault="00B44DE6" w:rsidP="00274997">
      <w:pPr>
        <w:spacing w:after="0"/>
        <w:rPr>
          <w:bCs/>
        </w:rPr>
      </w:pPr>
    </w:p>
    <w:p w14:paraId="4A4F20FB" w14:textId="1592BE55" w:rsidR="00B44DE6" w:rsidRDefault="00AA6414" w:rsidP="000F3209">
      <w:pPr>
        <w:spacing w:after="0"/>
      </w:pPr>
      <w:r>
        <w:t>There are</w:t>
      </w:r>
      <w:r w:rsidR="005D1079">
        <w:t xml:space="preserve"> additional</w:t>
      </w:r>
      <w:r>
        <w:t xml:space="preserve"> incentive mechanisms that can contribute to increased adoption of forest plantations. For instance, s</w:t>
      </w:r>
      <w:r w:rsidR="00B44DE6">
        <w:t xml:space="preserve">ustainable forestry certification programs such Forestry Stewardship Council (FSC) and building certification programs like Leadership in Energy &amp; Environmental (LEED) incentivize sourcing wood from sustainably managed timber plantations and are already popular globally and expanding. Developing a market for other/non-traditional forest products can also encourage the establishment of forest plantations. In the </w:t>
      </w:r>
      <w:r w:rsidR="000F3209">
        <w:t>s</w:t>
      </w:r>
      <w:r w:rsidR="00B44DE6">
        <w:t>outheastern United States, plantation owners can lease their lands during hunting season, for $20+ /ha/yr and sometimes more</w:t>
      </w:r>
      <w:r w:rsidR="005E18C1">
        <w:t xml:space="preserve"> </w:t>
      </w:r>
      <w:r w:rsidR="005E18C1">
        <w:fldChar w:fldCharType="begin"/>
      </w:r>
      <w:r w:rsidR="005E18C1">
        <w:instrText xml:space="preserve"> ADDIN ZOTERO_ITEM CSL_CITATION {"citationID":"UYuqdZiZ","properties":{"formattedCitation":"(Mengak, 2009)","plainCitation":"(Mengak, 2009)","noteIndex":0},"citationItems":[{"id":157,"uris":["http://zotero.org/groups/2241939/items/TUU258Z8"],"uri":["http://zotero.org/groups/2241939/items/TUU258Z8"],"itemData":{"id":157,"type":"webpage","title":"Growing Loblolly Pine With Wildlife Food Plots, Hunting Lease Assumptions And Liability Issues","URL":"http://www2.hcmuaf.edu.vn/data/nmduc/2008_forest%20proceedings(1).pdf","author":[{"family":"Mengak","given":"Michael"}],"issued":{"date-parts":[["2009"]]},"accessed":{"date-parts":[["2016",10,31]]}}}],"schema":"https://github.com/citation-style-language/schema/raw/master/csl-citation.json"} </w:instrText>
      </w:r>
      <w:r w:rsidR="005E18C1">
        <w:fldChar w:fldCharType="separate"/>
      </w:r>
      <w:r w:rsidR="005E18C1" w:rsidRPr="005E18C1">
        <w:rPr>
          <w:rFonts w:cs="Times New Roman"/>
        </w:rPr>
        <w:t>(Mengak, 2009)</w:t>
      </w:r>
      <w:r w:rsidR="005E18C1">
        <w:fldChar w:fldCharType="end"/>
      </w:r>
      <w:r w:rsidR="00B44DE6">
        <w:t>.  In Ecuador, edible mushrooms provided much earlier financial returns than timber products; a mushroom processing plant inspired nearby communities to start timber plantations</w:t>
      </w:r>
      <w:r w:rsidR="005E18C1">
        <w:t xml:space="preserve"> </w:t>
      </w:r>
      <w:r w:rsidR="005E18C1">
        <w:fldChar w:fldCharType="begin"/>
      </w:r>
      <w:r w:rsidR="005E18C1">
        <w:instrText xml:space="preserve"> ADDIN ZOTERO_ITEM CSL_CITATION {"citationID":"px4TXlsa","properties":{"formattedCitation":"(Farley, 2010)","plainCitation":"(Farley, 2010)","noteIndex":0},"citationItems":[{"id":50,"uris":["http://zotero.org/groups/2241939/items/DES2WCYJ"],"uri":["http://zotero.org/groups/2241939/items/DES2WCYJ"],"itemData":{"id":50,"type":"article-journal","title":"Pathways to forest transition: Local case studies from the Ecuadorian Andes","container-title":"Journal of Latin American Geography","page":"7–26","volume":"9","issue":"2","source":"Google Scholar","shortTitle":"Pathways to forest transition","author":[{"family":"Farley","given":"Kathleen A."}],"issued":{"date-parts":[["2010"]]}}}],"schema":"https://github.com/citation-style-language/schema/raw/master/csl-citation.json"} </w:instrText>
      </w:r>
      <w:r w:rsidR="005E18C1">
        <w:fldChar w:fldCharType="separate"/>
      </w:r>
      <w:r w:rsidR="005E18C1" w:rsidRPr="005E18C1">
        <w:rPr>
          <w:rFonts w:cs="Times New Roman"/>
        </w:rPr>
        <w:t>(Farley, 2010)</w:t>
      </w:r>
      <w:r w:rsidR="005E18C1">
        <w:fldChar w:fldCharType="end"/>
      </w:r>
      <w:r w:rsidR="00B44DE6">
        <w:t>.</w:t>
      </w:r>
    </w:p>
    <w:p w14:paraId="75E568A4" w14:textId="77777777" w:rsidR="001976F7" w:rsidRPr="001976F7" w:rsidRDefault="001976F7" w:rsidP="001976F7"/>
    <w:p w14:paraId="0B8C3EFB" w14:textId="30DA5DBF" w:rsidR="00D1508C" w:rsidRDefault="551A77D0" w:rsidP="00DB4CC8">
      <w:pPr>
        <w:pStyle w:val="Heading3"/>
      </w:pPr>
      <w:bookmarkStart w:id="10" w:name="_Toc18443081"/>
      <w:r w:rsidRPr="551A77D0">
        <w:lastRenderedPageBreak/>
        <w:t>Barriers to Adoption</w:t>
      </w:r>
      <w:bookmarkEnd w:id="10"/>
    </w:p>
    <w:p w14:paraId="39B23945" w14:textId="10AB0406" w:rsidR="00D27A30" w:rsidRPr="00D27A30" w:rsidRDefault="00D27A30" w:rsidP="00D27A30">
      <w:pPr>
        <w:rPr>
          <w:color w:val="000000" w:themeColor="text1"/>
        </w:rPr>
      </w:pPr>
      <w:r w:rsidRPr="00D27A30">
        <w:rPr>
          <w:bCs/>
        </w:rPr>
        <w:t xml:space="preserve">Complex feedback loops between forest growth and climate change can complicate carbon uptake calculations. In areas </w:t>
      </w:r>
      <w:r w:rsidR="009975A9">
        <w:rPr>
          <w:bCs/>
        </w:rPr>
        <w:t>well-suited for tree growth</w:t>
      </w:r>
      <w:r w:rsidRPr="00D27A30">
        <w:rPr>
          <w:bCs/>
        </w:rPr>
        <w:t>, increased atmospheric CO</w:t>
      </w:r>
      <w:r w:rsidRPr="00D27A30">
        <w:rPr>
          <w:bCs/>
          <w:vertAlign w:val="subscript"/>
        </w:rPr>
        <w:t>2</w:t>
      </w:r>
      <w:r w:rsidRPr="00D27A30">
        <w:rPr>
          <w:bCs/>
        </w:rPr>
        <w:t xml:space="preserve"> can foster biomass growth and lead to increased carbon uptake</w:t>
      </w:r>
      <w:r w:rsidR="005E18C1">
        <w:rPr>
          <w:bCs/>
        </w:rPr>
        <w:t xml:space="preserve"> </w:t>
      </w:r>
      <w:r w:rsidR="005E18C1">
        <w:rPr>
          <w:bCs/>
        </w:rPr>
        <w:fldChar w:fldCharType="begin"/>
      </w:r>
      <w:r w:rsidR="005E18C1">
        <w:rPr>
          <w:bCs/>
        </w:rPr>
        <w:instrText xml:space="preserve"> ADDIN ZOTERO_ITEM CSL_CITATION {"citationID":"lHAVBQqX","properties":{"formattedCitation":"(McGrath &amp; Lobell, 2013)","plainCitation":"(McGrath &amp; Lobell, 2013)","noteIndex":0},"citationItems":[{"id":43,"uris":["http://zotero.org/groups/2241939/items/VDVT55TV"],"uri":["http://zotero.org/groups/2241939/items/VDVT55TV"],"itemData":{"id":43,"type":"article-journal","title":"Regional disparities in the CO2 fertilization effect and implications for crop yields","container-title":"Environmental Research Letters","page":"014054","volume":"8","issue":"1","source":"Google Scholar","author":[{"family":"McGrath","given":"Justin M."},{"family":"Lobell","given":"David B."}],"issued":{"date-parts":[["2013"]]}}}],"schema":"https://github.com/citation-style-language/schema/raw/master/csl-citation.json"} </w:instrText>
      </w:r>
      <w:r w:rsidR="005E18C1">
        <w:rPr>
          <w:bCs/>
        </w:rPr>
        <w:fldChar w:fldCharType="separate"/>
      </w:r>
      <w:r w:rsidR="005E18C1" w:rsidRPr="005E18C1">
        <w:rPr>
          <w:rFonts w:cs="Times New Roman"/>
        </w:rPr>
        <w:t>(McGrath &amp; Lobell, 2013)</w:t>
      </w:r>
      <w:r w:rsidR="005E18C1">
        <w:rPr>
          <w:bCs/>
        </w:rPr>
        <w:fldChar w:fldCharType="end"/>
      </w:r>
      <w:r w:rsidRPr="00D27A30">
        <w:rPr>
          <w:bCs/>
        </w:rPr>
        <w:t>. However, climate change simultaneously increases the risk of disturbance and subsequent large releases of sequestered carbon through drought, warmer winters, increased fires, and increased pests</w:t>
      </w:r>
      <w:r w:rsidR="005E18C1">
        <w:rPr>
          <w:bCs/>
        </w:rPr>
        <w:t xml:space="preserve"> </w:t>
      </w:r>
      <w:r w:rsidR="005E18C1">
        <w:rPr>
          <w:bCs/>
        </w:rPr>
        <w:fldChar w:fldCharType="begin"/>
      </w:r>
      <w:r w:rsidR="005E18C1">
        <w:rPr>
          <w:bCs/>
        </w:rPr>
        <w:instrText xml:space="preserve"> ADDIN ZOTERO_ITEM CSL_CITATION {"citationID":"JyBmQgaC","properties":{"formattedCitation":"(Dale et al., 2001)","plainCitation":"(Dale et al., 2001)","noteIndex":0},"citationItems":[{"id":160,"uris":["http://zotero.org/groups/2241939/items/UDPBXE5K"],"uri":["http://zotero.org/groups/2241939/items/UDPBXE5K"],"itemData":{"id":160,"type":"article-journal","title":"Climate change and forest disturbances: climate change can affect forests by altering the frequency, intensity, duration, and timing of fire, drought, introduced species, insect and pathogen outbreaks, hurricanes, windstorms, ice storms, or landslides","container-title":"BioScience","page":"723–734","volume":"51","issue":"9","source":"Google Scholar","shortTitle":"Climate change and forest disturbances","author":[{"family":"Dale","given":"Virginia H."},{"family":"Joyce","given":"Linda A."},{"family":"McNulty","given":"Steve"},{"family":"Neilson","given":"Ronald P."},{"family":"Ayres","given":"Matthew P."},{"family":"Flannigan","given":"Michael D."},{"family":"Hanson","given":"Paul J."},{"family":"Irland","given":"Lloyd C."},{"family":"Lugo","given":"Ariel E."},{"family":"Peterson","given":"Chris J."},{"literal":"others"}],"issued":{"date-parts":[["2001"]]}}}],"schema":"https://github.com/citation-style-language/schema/raw/master/csl-citation.json"} </w:instrText>
      </w:r>
      <w:r w:rsidR="005E18C1">
        <w:rPr>
          <w:bCs/>
        </w:rPr>
        <w:fldChar w:fldCharType="separate"/>
      </w:r>
      <w:r w:rsidR="005E18C1" w:rsidRPr="005E18C1">
        <w:rPr>
          <w:rFonts w:cs="Times New Roman"/>
        </w:rPr>
        <w:t>(Dale et al., 2001)</w:t>
      </w:r>
      <w:r w:rsidR="005E18C1">
        <w:rPr>
          <w:bCs/>
        </w:rPr>
        <w:fldChar w:fldCharType="end"/>
      </w:r>
      <w:r w:rsidRPr="00D27A30">
        <w:rPr>
          <w:bCs/>
        </w:rPr>
        <w:t xml:space="preserve">. Forest growth </w:t>
      </w:r>
      <w:r w:rsidR="000C192C">
        <w:rPr>
          <w:bCs/>
        </w:rPr>
        <w:t>can</w:t>
      </w:r>
      <w:r w:rsidRPr="00D27A30">
        <w:rPr>
          <w:bCs/>
        </w:rPr>
        <w:t xml:space="preserve"> </w:t>
      </w:r>
      <w:r w:rsidR="00312CDC">
        <w:rPr>
          <w:bCs/>
        </w:rPr>
        <w:t xml:space="preserve">also </w:t>
      </w:r>
      <w:r w:rsidRPr="00D27A30">
        <w:rPr>
          <w:bCs/>
        </w:rPr>
        <w:t>impact</w:t>
      </w:r>
      <w:r w:rsidR="000C192C">
        <w:rPr>
          <w:bCs/>
        </w:rPr>
        <w:t xml:space="preserve"> </w:t>
      </w:r>
      <w:r w:rsidR="00312CDC">
        <w:rPr>
          <w:bCs/>
        </w:rPr>
        <w:t>wa</w:t>
      </w:r>
      <w:r w:rsidR="000C192C">
        <w:rPr>
          <w:bCs/>
        </w:rPr>
        <w:t>ter cycle regulation</w:t>
      </w:r>
      <w:r w:rsidRPr="00D27A30">
        <w:rPr>
          <w:bCs/>
        </w:rPr>
        <w:t xml:space="preserve">. </w:t>
      </w:r>
      <w:r w:rsidR="000C192C">
        <w:rPr>
          <w:bCs/>
        </w:rPr>
        <w:t>For instance, a</w:t>
      </w:r>
      <w:r w:rsidRPr="00D27A30">
        <w:rPr>
          <w:bCs/>
        </w:rPr>
        <w:t xml:space="preserve">fforested pasturelands in tropical regions have </w:t>
      </w:r>
      <w:r w:rsidR="000C192C">
        <w:rPr>
          <w:bCs/>
        </w:rPr>
        <w:t xml:space="preserve">contributed to </w:t>
      </w:r>
      <w:r w:rsidRPr="00D27A30">
        <w:rPr>
          <w:bCs/>
        </w:rPr>
        <w:t>decreased air temperature, increased precipitation, and higher evapotranspiration</w:t>
      </w:r>
      <w:r w:rsidR="005E18C1">
        <w:rPr>
          <w:bCs/>
        </w:rPr>
        <w:t xml:space="preserve"> </w:t>
      </w:r>
      <w:r w:rsidR="005E18C1">
        <w:rPr>
          <w:bCs/>
        </w:rPr>
        <w:fldChar w:fldCharType="begin"/>
      </w:r>
      <w:r w:rsidR="005E18C1">
        <w:rPr>
          <w:bCs/>
        </w:rPr>
        <w:instrText xml:space="preserve"> ADDIN ZOTERO_ITEM CSL_CITATION {"citationID":"ubEXX4uE","properties":{"formattedCitation":"(Bonan, 2008)","plainCitation":"(Bonan, 2008)","noteIndex":0},"citationItems":[{"id":55,"uris":["http://zotero.org/groups/2241939/items/LUGAQK48"],"uri":["http://zotero.org/groups/2241939/items/LUGAQK48"],"itemData":{"id":55,"type":"article-journal","title":"Forests and climate change: forcings, feedbacks, and the climate benefits of forests","container-title":"science","page":"1444–1449","volume":"320","issue":"5882","source":"Google Scholar","shortTitle":"Forests and climate change","author":[{"family":"Bonan","given":"Gordon B."}],"issued":{"date-parts":[["2008"]]}}}],"schema":"https://github.com/citation-style-language/schema/raw/master/csl-citation.json"} </w:instrText>
      </w:r>
      <w:r w:rsidR="005E18C1">
        <w:rPr>
          <w:bCs/>
        </w:rPr>
        <w:fldChar w:fldCharType="separate"/>
      </w:r>
      <w:r w:rsidR="005E18C1" w:rsidRPr="005E18C1">
        <w:rPr>
          <w:rFonts w:cs="Times New Roman"/>
        </w:rPr>
        <w:t>(Bonan, 2008)</w:t>
      </w:r>
      <w:r w:rsidR="005E18C1">
        <w:rPr>
          <w:bCs/>
        </w:rPr>
        <w:fldChar w:fldCharType="end"/>
      </w:r>
      <w:r w:rsidRPr="00D27A30">
        <w:rPr>
          <w:bCs/>
        </w:rPr>
        <w:t xml:space="preserve">. </w:t>
      </w:r>
    </w:p>
    <w:p w14:paraId="054BE29D" w14:textId="7D55C68F" w:rsidR="00D27A30" w:rsidRDefault="00D27A30" w:rsidP="00D27A30">
      <w:pPr>
        <w:rPr>
          <w:bCs/>
        </w:rPr>
      </w:pPr>
      <w:r w:rsidRPr="00D27A30">
        <w:rPr>
          <w:bCs/>
        </w:rPr>
        <w:t>Planting trees in</w:t>
      </w:r>
      <w:r w:rsidR="00312CDC">
        <w:rPr>
          <w:bCs/>
        </w:rPr>
        <w:t xml:space="preserve"> unsuitable</w:t>
      </w:r>
      <w:r w:rsidRPr="00D27A30">
        <w:rPr>
          <w:bCs/>
        </w:rPr>
        <w:t xml:space="preserve"> areas</w:t>
      </w:r>
      <w:r w:rsidR="00B756A0">
        <w:rPr>
          <w:bCs/>
        </w:rPr>
        <w:t>, or selecting species unsuitable to local conditions,</w:t>
      </w:r>
      <w:r w:rsidRPr="00D27A30">
        <w:rPr>
          <w:bCs/>
        </w:rPr>
        <w:t xml:space="preserve"> </w:t>
      </w:r>
      <w:r w:rsidR="00576A18">
        <w:rPr>
          <w:bCs/>
        </w:rPr>
        <w:t>can exacerbate environmental issues</w:t>
      </w:r>
      <w:r w:rsidR="00E42200">
        <w:rPr>
          <w:bCs/>
        </w:rPr>
        <w:t>, as new forest growth is highly intensive in terms of water and nutrient</w:t>
      </w:r>
      <w:r w:rsidR="00E42200" w:rsidRPr="00D27A30">
        <w:rPr>
          <w:bCs/>
        </w:rPr>
        <w:t xml:space="preserve"> inputs</w:t>
      </w:r>
      <w:r w:rsidR="00E42200">
        <w:rPr>
          <w:bCs/>
        </w:rPr>
        <w:t xml:space="preserve">. </w:t>
      </w:r>
      <w:r w:rsidR="00576A18">
        <w:rPr>
          <w:bCs/>
        </w:rPr>
        <w:t>In a</w:t>
      </w:r>
      <w:r w:rsidRPr="00D27A30">
        <w:rPr>
          <w:bCs/>
        </w:rPr>
        <w:t>rid regions, such as plains or mountains</w:t>
      </w:r>
      <w:r w:rsidR="00E42200">
        <w:rPr>
          <w:bCs/>
        </w:rPr>
        <w:t>, t</w:t>
      </w:r>
      <w:r w:rsidRPr="00D27A30">
        <w:rPr>
          <w:bCs/>
        </w:rPr>
        <w:t>rees planted on historical grasslands can lower the water table and cause groundwater salinization and acidification</w:t>
      </w:r>
      <w:r w:rsidR="005E18C1">
        <w:rPr>
          <w:bCs/>
        </w:rPr>
        <w:t xml:space="preserve"> </w:t>
      </w:r>
      <w:r w:rsidR="005E18C1">
        <w:rPr>
          <w:bCs/>
        </w:rPr>
        <w:fldChar w:fldCharType="begin"/>
      </w:r>
      <w:r w:rsidR="005E18C1">
        <w:rPr>
          <w:bCs/>
        </w:rPr>
        <w:instrText xml:space="preserve"> ADDIN ZOTERO_ITEM CSL_CITATION {"citationID":"pfmkotRW","properties":{"formattedCitation":"(Farley, Pi\\uc0\\u241{}eiro, Palmer, Jobb\\uc0\\u225{}gy, &amp; Jackson, 2008; Jackson et al., 2005; Jobbagy &amp; Jackson, 2004)","plainCitation":"(Farley, Piñeiro, Palmer, Jobbágy, &amp; Jackson, 2008; Jackson et al., 2005; Jobbagy &amp; Jackson, 2004)","noteIndex":0},"citationItems":[{"id":60,"uris":["http://zotero.org/groups/2241939/items/HQCBG7GN"],"uri":["http://zotero.org/groups/2241939/items/HQCBG7GN"],"itemData":{"id":60,"type":"article-journal","title":"Stream acidification and base cation losses with grassland afforestation","container-title":"Water Resources Research","volume":"44","issue":"7","source":"Google Scholar","URL":"http://onlinelibrary.wiley.com/doi/10.1029/2007WR006659/full","author":[{"family":"Farley","given":"Kathleen A."},{"family":"Piñeiro","given":"Gervasio"},{"family":"Palmer","given":"Sheila M."},{"family":"Jobbágy","given":"Esteban G."},{"family":"Jackson","given":"Robert B."}],"issued":{"date-parts":[["2008"]]},"accessed":{"date-parts":[["2015",7,28]]}}},{"id":45,"uris":["http://zotero.org/groups/2241939/items/LEURYP6X"],"uri":["http://zotero.org/groups/2241939/items/LEURYP6X"],"itemData":{"id":45,"type":"article-journal","title":"Trading water for carbon with biological carbon sequestration","container-title":"Science","page":"1944–1947","volume":"310","issue":"5756","source":"Google Scholar","author":[{"family":"Jackson","given":"Robert B."},{"family":"Jobbágy","given":"Esteban G."},{"family":"Avissar","given":"Roni"},{"family":"Roy","given":"Somnath Baidya"},{"family":"Barrett","given":"Damian J."},{"family":"Cook","given":"Charles W."},{"family":"Farley","given":"Kathleen A."},{"family":"Le Maitre","given":"David C."},{"family":"McCarl","given":"Bruce A."},{"family":"Murray","given":"Brian C."}],"issued":{"date-parts":[["2005"]]}}},{"id":36,"uris":["http://zotero.org/groups/2241939/items/3SSKLJW9"],"uri":["http://zotero.org/groups/2241939/items/3SSKLJW9"],"itemData":{"id":36,"type":"article-journal","title":"Groundwater use and salinization with grassland afforestation","container-title":"Global Change Biology","page":"1299–1312","volume":"10","issue":"8","source":"Google Scholar","author":[{"family":"Jobbagy","given":"Esteban G."},{"family":"Jackson","given":"Robert B."}],"issued":{"date-parts":[["2004"]]}}}],"schema":"https://github.com/citation-style-language/schema/raw/master/csl-citation.json"} </w:instrText>
      </w:r>
      <w:r w:rsidR="005E18C1">
        <w:rPr>
          <w:bCs/>
        </w:rPr>
        <w:fldChar w:fldCharType="separate"/>
      </w:r>
      <w:r w:rsidR="008B187E" w:rsidRPr="008B187E">
        <w:rPr>
          <w:rFonts w:cs="Times New Roman"/>
          <w:szCs w:val="24"/>
        </w:rPr>
        <w:t>(Farley, Piñeiro, Palmer, Jobbágy, &amp; Jackson, 2008; Jackson et al., 2005; Jobbagy &amp; Jackson, 2004)</w:t>
      </w:r>
      <w:r w:rsidR="005E18C1">
        <w:rPr>
          <w:bCs/>
        </w:rPr>
        <w:fldChar w:fldCharType="end"/>
      </w:r>
      <w:r w:rsidRPr="00D27A30">
        <w:rPr>
          <w:bCs/>
        </w:rPr>
        <w:t xml:space="preserve">. </w:t>
      </w:r>
      <w:r w:rsidR="005E18C1">
        <w:rPr>
          <w:bCs/>
        </w:rPr>
        <w:fldChar w:fldCharType="begin"/>
      </w:r>
      <w:r w:rsidR="005E18C1">
        <w:rPr>
          <w:bCs/>
        </w:rPr>
        <w:instrText xml:space="preserve"> ADDIN ZOTERO_ITEM CSL_CITATION {"citationID":"3eKgZJgr","properties":{"formattedCitation":"(Cao, 2008)","plainCitation":"(Cao, 2008)","noteIndex":0},"citationItems":[{"id":163,"uris":["http://zotero.org/groups/2241939/items/SXGTSC56"],"uri":["http://zotero.org/groups/2241939/items/SXGTSC56"],"itemData":{"id":163,"type":"article-journal","title":"Why large-scale afforestation efforts in China have failed to solve the desertification problem","container-title":"Environmental Science &amp; Technology","page":"1826–1831","volume":"42","issue":"6","source":"Google Scholar","author":[{"family":"Cao","given":"Shixiong"}],"issued":{"date-parts":[["2008"]]}}}],"schema":"https://github.com/citation-style-language/schema/raw/master/csl-citation.json"} </w:instrText>
      </w:r>
      <w:r w:rsidR="005E18C1">
        <w:rPr>
          <w:bCs/>
        </w:rPr>
        <w:fldChar w:fldCharType="separate"/>
      </w:r>
      <w:r w:rsidR="008B187E" w:rsidRPr="008B187E">
        <w:rPr>
          <w:rFonts w:cs="Times New Roman"/>
        </w:rPr>
        <w:t>(Cao, 2008)</w:t>
      </w:r>
      <w:r w:rsidR="005E18C1">
        <w:rPr>
          <w:bCs/>
        </w:rPr>
        <w:fldChar w:fldCharType="end"/>
      </w:r>
      <w:r w:rsidR="00E42200">
        <w:rPr>
          <w:bCs/>
        </w:rPr>
        <w:t xml:space="preserve">further </w:t>
      </w:r>
      <w:r w:rsidRPr="00D27A30">
        <w:rPr>
          <w:bCs/>
        </w:rPr>
        <w:t xml:space="preserve">documents negative environmental effects from a </w:t>
      </w:r>
      <w:r w:rsidR="000B1629">
        <w:rPr>
          <w:bCs/>
        </w:rPr>
        <w:t>forest plantations</w:t>
      </w:r>
      <w:r w:rsidRPr="00D27A30">
        <w:rPr>
          <w:bCs/>
        </w:rPr>
        <w:t xml:space="preserve"> project in China where non-native, high-water demand plants reduced the understory, which became vulnerable to wind erosion. The net decrease in vegetative cover and dry soils caused damaging dust storms. </w:t>
      </w:r>
    </w:p>
    <w:p w14:paraId="454BDB0F" w14:textId="5DF3CF21" w:rsidR="00B44DE6" w:rsidRDefault="00B756A0" w:rsidP="00814996">
      <w:pPr>
        <w:spacing w:after="0"/>
      </w:pPr>
      <w:r>
        <w:t xml:space="preserve">In addition, </w:t>
      </w:r>
      <w:r w:rsidR="00A81205">
        <w:t>m</w:t>
      </w:r>
      <w:r w:rsidR="00B44DE6">
        <w:t xml:space="preserve">any different economic challenges limit </w:t>
      </w:r>
      <w:r w:rsidR="000B1629">
        <w:t>forest plantations</w:t>
      </w:r>
      <w:r w:rsidR="00B44DE6">
        <w:t xml:space="preserve">, such as </w:t>
      </w:r>
      <w:r w:rsidR="00A81205">
        <w:t xml:space="preserve">high </w:t>
      </w:r>
      <w:r w:rsidR="00B44DE6">
        <w:t>risk</w:t>
      </w:r>
      <w:r w:rsidR="00A81205">
        <w:t>s</w:t>
      </w:r>
      <w:r w:rsidR="00B44DE6">
        <w:t xml:space="preserve"> of loss, high upfront costs, and the long-term payoff</w:t>
      </w:r>
      <w:r w:rsidR="00A81205">
        <w:t>s</w:t>
      </w:r>
      <w:r w:rsidR="00B44DE6">
        <w:t>. In developing countries, high inflation and uncertain profits limit forest establishment. Timber may be lost due to fire, disease, or pests</w:t>
      </w:r>
      <w:r w:rsidR="00A81205">
        <w:t>,</w:t>
      </w:r>
      <w:r w:rsidR="00B44DE6">
        <w:t xml:space="preserve"> while cattle require</w:t>
      </w:r>
      <w:r w:rsidR="00A81205">
        <w:t>s</w:t>
      </w:r>
      <w:r w:rsidR="00B44DE6">
        <w:t xml:space="preserve"> little time or upfront investment for a more certain return. In </w:t>
      </w:r>
      <w:r w:rsidR="009B61AF">
        <w:t>Panama</w:t>
      </w:r>
      <w:r w:rsidR="00B44DE6">
        <w:t xml:space="preserve">, </w:t>
      </w:r>
      <w:r w:rsidR="005E18C1">
        <w:fldChar w:fldCharType="begin"/>
      </w:r>
      <w:r w:rsidR="005E18C1">
        <w:instrText xml:space="preserve"> ADDIN ZOTERO_ITEM CSL_CITATION {"citationID":"257SV0lk","properties":{"formattedCitation":"(Coomes, Grimard, Potvin, &amp; Sima, 2008)","plainCitation":"(Coomes, Grimard, Potvin, &amp; Sima, 2008)","noteIndex":0},"citationItems":[{"id":63,"uris":["http://zotero.org/groups/2241939/items/SV64YVVX"],"uri":["http://zotero.org/groups/2241939/items/SV64YVVX"],"itemData":{"id":63,"type":"article-journal","title":"The fate of the tropical forest: Carbon or cattle?","container-title":"Ecological Economics","page":"207–212","volume":"65","issue":"2","source":"Google Scholar","shortTitle":"The fate of the tropical forest","author":[{"family":"Coomes","given":"Oliver T."},{"family":"Grimard","given":"Franque"},{"family":"Potvin","given":"Catherin"},{"family":"Sima","given":"Philip"}],"issued":{"date-parts":[["2008"]]}}}],"schema":"https://github.com/citation-style-language/schema/raw/master/csl-citation.json"} </w:instrText>
      </w:r>
      <w:r w:rsidR="005E18C1">
        <w:fldChar w:fldCharType="separate"/>
      </w:r>
      <w:r w:rsidR="008B187E" w:rsidRPr="008B187E">
        <w:rPr>
          <w:rFonts w:cs="Times New Roman"/>
        </w:rPr>
        <w:t>(Coomes, Grimard, Potvin, &amp; Sima, 2008)</w:t>
      </w:r>
      <w:r w:rsidR="005E18C1">
        <w:fldChar w:fldCharType="end"/>
      </w:r>
      <w:r w:rsidR="00020C02">
        <w:t xml:space="preserve"> </w:t>
      </w:r>
      <w:r w:rsidR="00B44DE6">
        <w:t xml:space="preserve">found that teak plantations could bring substantial profit, </w:t>
      </w:r>
      <w:r w:rsidR="009B61AF">
        <w:t>that associated</w:t>
      </w:r>
      <w:r w:rsidR="00B44DE6">
        <w:t xml:space="preserve"> risk</w:t>
      </w:r>
      <w:r w:rsidR="009B61AF">
        <w:t>s were too high</w:t>
      </w:r>
      <w:r w:rsidR="00B44DE6">
        <w:t xml:space="preserve"> for local communities. </w:t>
      </w:r>
      <w:r w:rsidR="009B61AF">
        <w:t>However, this can be addressed through financial incentives such as s</w:t>
      </w:r>
      <w:r w:rsidR="00B44DE6">
        <w:t>ubsidies for plantation establishment or upfront</w:t>
      </w:r>
      <w:r w:rsidR="009B61AF">
        <w:t xml:space="preserve"> cash </w:t>
      </w:r>
      <w:r w:rsidR="00356A26">
        <w:t>advances</w:t>
      </w:r>
      <w:r w:rsidR="00B44DE6">
        <w:t xml:space="preserve"> for potential timber harvests. </w:t>
      </w:r>
    </w:p>
    <w:p w14:paraId="2E6A407A" w14:textId="77777777" w:rsidR="005D1079" w:rsidRDefault="005D1079" w:rsidP="005D1079">
      <w:pPr>
        <w:spacing w:after="0"/>
        <w:rPr>
          <w:bCs/>
        </w:rPr>
      </w:pPr>
    </w:p>
    <w:p w14:paraId="444B36D6" w14:textId="4DD6F296" w:rsidR="00A93B1D" w:rsidRPr="00A93B1D" w:rsidRDefault="00EE04A8" w:rsidP="00A93B1D">
      <w:r>
        <w:rPr>
          <w:bCs/>
        </w:rPr>
        <w:t>C</w:t>
      </w:r>
      <w:r w:rsidR="009B61AF">
        <w:rPr>
          <w:bCs/>
        </w:rPr>
        <w:t xml:space="preserve">arbon </w:t>
      </w:r>
      <w:r w:rsidR="00D97B6A">
        <w:rPr>
          <w:bCs/>
        </w:rPr>
        <w:t>offset</w:t>
      </w:r>
      <w:r w:rsidR="009B61AF">
        <w:rPr>
          <w:bCs/>
        </w:rPr>
        <w:t xml:space="preserve"> mechanisms like the CDM</w:t>
      </w:r>
      <w:r w:rsidR="005D1079">
        <w:rPr>
          <w:bCs/>
        </w:rPr>
        <w:t xml:space="preserve"> have</w:t>
      </w:r>
      <w:r>
        <w:rPr>
          <w:bCs/>
        </w:rPr>
        <w:t xml:space="preserve"> been particularly criticized. First, critics have</w:t>
      </w:r>
      <w:r w:rsidR="005D1079">
        <w:rPr>
          <w:bCs/>
        </w:rPr>
        <w:t xml:space="preserve"> </w:t>
      </w:r>
      <w:r w:rsidR="005D1079" w:rsidRPr="0093139E">
        <w:rPr>
          <w:bCs/>
        </w:rPr>
        <w:t>challenge</w:t>
      </w:r>
      <w:r w:rsidR="005D1079">
        <w:rPr>
          <w:bCs/>
        </w:rPr>
        <w:t>d</w:t>
      </w:r>
      <w:r w:rsidR="005D1079" w:rsidRPr="0093139E">
        <w:rPr>
          <w:bCs/>
        </w:rPr>
        <w:t xml:space="preserve"> </w:t>
      </w:r>
      <w:r w:rsidR="00D97B6A">
        <w:rPr>
          <w:bCs/>
        </w:rPr>
        <w:t xml:space="preserve">its </w:t>
      </w:r>
      <w:r w:rsidR="005D1079" w:rsidRPr="0093139E">
        <w:rPr>
          <w:bCs/>
        </w:rPr>
        <w:t>complicated and expensive registration and application process can deter applying for these funds, particularly by indivi</w:t>
      </w:r>
      <w:r w:rsidR="005D1079">
        <w:rPr>
          <w:bCs/>
        </w:rPr>
        <w:t>duals or small community groups</w:t>
      </w:r>
      <w:r w:rsidR="005E18C1">
        <w:rPr>
          <w:bCs/>
        </w:rPr>
        <w:t xml:space="preserve"> </w:t>
      </w:r>
      <w:r w:rsidR="005E18C1">
        <w:rPr>
          <w:bCs/>
        </w:rPr>
        <w:fldChar w:fldCharType="begin"/>
      </w:r>
      <w:r w:rsidR="005E18C1">
        <w:rPr>
          <w:bCs/>
        </w:rPr>
        <w:instrText xml:space="preserve"> ADDIN ZOTERO_ITEM CSL_CITATION {"citationID":"Pwr36Fdk","properties":{"formattedCitation":"(Thomas, Dargusch, Harrison, &amp; Herbohn, 2010)","plainCitation":"(Thomas, Dargusch, Harrison, &amp; Herbohn, 2010)","noteIndex":0},"citationItems":[{"id":6,"uris":["http://zotero.org/groups/2241939/items/78BB4G6M"],"uri":["http://zotero.org/groups/2241939/items/78BB4G6M"],"itemData":{"id":6,"type":"article-journal","title":"Why are there so few afforestation and reforestation Clean Development Mechanism projects?","container-title":"Land use policy","page":"880–887","volume":"27","issue":"3","source":"Google Scholar","author":[{"family":"Thomas","given":"Sebastian"},{"family":"Dargusch","given":"Paul"},{"family":"Harrison","given":"Steve"},{"family":"Herbohn","given":"John"}],"issued":{"date-parts":[["2010"]]}}}],"schema":"https://github.com/citation-style-language/schema/raw/master/csl-citation.json"} </w:instrText>
      </w:r>
      <w:r w:rsidR="005E18C1">
        <w:rPr>
          <w:bCs/>
        </w:rPr>
        <w:fldChar w:fldCharType="separate"/>
      </w:r>
      <w:r w:rsidR="008B187E" w:rsidRPr="008B187E">
        <w:rPr>
          <w:rFonts w:cs="Times New Roman"/>
        </w:rPr>
        <w:t>(Thomas, Dargusch, Harrison, &amp; Herbohn, 2010)</w:t>
      </w:r>
      <w:r w:rsidR="005E18C1">
        <w:rPr>
          <w:bCs/>
        </w:rPr>
        <w:fldChar w:fldCharType="end"/>
      </w:r>
      <w:r w:rsidR="005D1079">
        <w:rPr>
          <w:bCs/>
        </w:rPr>
        <w:t xml:space="preserve">.  Second, </w:t>
      </w:r>
      <w:r w:rsidR="005D1079" w:rsidRPr="0093139E">
        <w:rPr>
          <w:bCs/>
        </w:rPr>
        <w:t>carbon offsets do not reduce</w:t>
      </w:r>
      <w:r w:rsidR="005D1079">
        <w:rPr>
          <w:bCs/>
        </w:rPr>
        <w:t xml:space="preserve"> absolute</w:t>
      </w:r>
      <w:r w:rsidR="005D1079" w:rsidRPr="0093139E">
        <w:rPr>
          <w:bCs/>
        </w:rPr>
        <w:t xml:space="preserve"> energy usage </w:t>
      </w:r>
      <w:r w:rsidR="005D1079">
        <w:rPr>
          <w:bCs/>
        </w:rPr>
        <w:t>and does not incentivize</w:t>
      </w:r>
      <w:r w:rsidR="005D1079" w:rsidRPr="0093139E">
        <w:rPr>
          <w:bCs/>
        </w:rPr>
        <w:t xml:space="preserve"> lifestyle changes, improved industrial practices, or new technologies</w:t>
      </w:r>
      <w:r w:rsidR="005D1079">
        <w:rPr>
          <w:bCs/>
        </w:rPr>
        <w:t>. Carbon offsets thus contribute to postponing the adoption of solutions that directly address excessive and unsustainable resource consumption issues at their root</w:t>
      </w:r>
      <w:r w:rsidR="005D1079" w:rsidRPr="0093139E">
        <w:rPr>
          <w:bCs/>
        </w:rPr>
        <w:t>.</w:t>
      </w:r>
      <w:r w:rsidR="005D1079">
        <w:rPr>
          <w:bCs/>
        </w:rPr>
        <w:t xml:space="preserve"> Third, the issue of </w:t>
      </w:r>
      <w:r w:rsidR="005D1079" w:rsidRPr="0093139E">
        <w:rPr>
          <w:bCs/>
        </w:rPr>
        <w:t>leakage</w:t>
      </w:r>
      <w:r w:rsidR="005D1079">
        <w:rPr>
          <w:bCs/>
        </w:rPr>
        <w:t xml:space="preserve"> is significant: forest plantations</w:t>
      </w:r>
      <w:r w:rsidR="005D1079" w:rsidRPr="0093139E">
        <w:rPr>
          <w:bCs/>
        </w:rPr>
        <w:t xml:space="preserve"> in one location may be matched by deforestation elsewhere.</w:t>
      </w:r>
      <w:r w:rsidR="005D1079">
        <w:rPr>
          <w:bCs/>
        </w:rPr>
        <w:t xml:space="preserve"> </w:t>
      </w:r>
      <w:r w:rsidR="005D1079" w:rsidRPr="0093139E">
        <w:rPr>
          <w:bCs/>
        </w:rPr>
        <w:t>F</w:t>
      </w:r>
      <w:r w:rsidR="005D1079">
        <w:rPr>
          <w:bCs/>
        </w:rPr>
        <w:t>ourth, f</w:t>
      </w:r>
      <w:r w:rsidR="005D1079" w:rsidRPr="0093139E">
        <w:rPr>
          <w:bCs/>
        </w:rPr>
        <w:t xml:space="preserve">or developing countries, committing to sequestration projects </w:t>
      </w:r>
      <w:r w:rsidR="005D1079">
        <w:rPr>
          <w:bCs/>
        </w:rPr>
        <w:t xml:space="preserve">may </w:t>
      </w:r>
      <w:r w:rsidR="005D1079" w:rsidRPr="0093139E">
        <w:rPr>
          <w:bCs/>
        </w:rPr>
        <w:t>limits future options for land use and other development.</w:t>
      </w:r>
      <w:r w:rsidR="005D1079">
        <w:rPr>
          <w:bCs/>
        </w:rPr>
        <w:t xml:space="preserve"> </w:t>
      </w:r>
      <w:r w:rsidR="005D1079" w:rsidRPr="0093139E">
        <w:rPr>
          <w:bCs/>
        </w:rPr>
        <w:t xml:space="preserve">Further, poor implementation </w:t>
      </w:r>
      <w:r w:rsidR="005D1079">
        <w:rPr>
          <w:bCs/>
        </w:rPr>
        <w:t>practices</w:t>
      </w:r>
      <w:r w:rsidR="005D1079" w:rsidRPr="0093139E">
        <w:rPr>
          <w:bCs/>
        </w:rPr>
        <w:t xml:space="preserve"> ha</w:t>
      </w:r>
      <w:r w:rsidR="005D1079">
        <w:rPr>
          <w:bCs/>
        </w:rPr>
        <w:t>ve</w:t>
      </w:r>
      <w:r w:rsidR="005D1079" w:rsidRPr="0093139E">
        <w:rPr>
          <w:bCs/>
        </w:rPr>
        <w:t xml:space="preserve"> harmed </w:t>
      </w:r>
      <w:r w:rsidR="005D1079" w:rsidRPr="0093139E">
        <w:rPr>
          <w:bCs/>
        </w:rPr>
        <w:lastRenderedPageBreak/>
        <w:t xml:space="preserve">some local communities by denying </w:t>
      </w:r>
      <w:r w:rsidR="005D1079">
        <w:rPr>
          <w:bCs/>
        </w:rPr>
        <w:t xml:space="preserve">them traditional use of forests </w:t>
      </w:r>
      <w:r w:rsidR="005E18C1">
        <w:rPr>
          <w:bCs/>
        </w:rPr>
        <w:fldChar w:fldCharType="begin"/>
      </w:r>
      <w:r w:rsidR="005E18C1">
        <w:rPr>
          <w:bCs/>
        </w:rPr>
        <w:instrText xml:space="preserve"> ADDIN ZOTERO_ITEM CSL_CITATION {"citationID":"RcXtzEVA","properties":{"formattedCitation":"(Boyd &amp; others, 2009)","plainCitation":"(Boyd &amp; others, 2009)","noteIndex":0},"citationItems":[{"id":165,"uris":["http://zotero.org/groups/2241939/items/VV979B8U"],"uri":["http://zotero.org/groups/2241939/items/VV979B8U"],"itemData":{"id":165,"type":"article-journal","title":"Governing the Clean Development Mechanism: global rhetoric versus local realities in carbon sequestration projects","container-title":"Environment and planning. A","page":"2380","volume":"41","issue":"10","source":"Google Scholar","shortTitle":"Governing the Clean Development Mechanism","author":[{"family":"Boyd","given":"Emily"},{"literal":"others"}],"issued":{"date-parts":[["2009"]]}}}],"schema":"https://github.com/citation-style-language/schema/raw/master/csl-citation.json"} </w:instrText>
      </w:r>
      <w:r w:rsidR="005E18C1">
        <w:rPr>
          <w:bCs/>
        </w:rPr>
        <w:fldChar w:fldCharType="separate"/>
      </w:r>
      <w:r w:rsidR="008B187E" w:rsidRPr="008B187E">
        <w:rPr>
          <w:rFonts w:cs="Times New Roman"/>
        </w:rPr>
        <w:t>(Boyd &amp; others, 2009)</w:t>
      </w:r>
      <w:r w:rsidR="005E18C1">
        <w:rPr>
          <w:bCs/>
        </w:rPr>
        <w:fldChar w:fldCharType="end"/>
      </w:r>
      <w:r w:rsidR="005D1079">
        <w:rPr>
          <w:bCs/>
        </w:rPr>
        <w:t xml:space="preserve">. </w:t>
      </w:r>
      <w:r w:rsidR="005D1079" w:rsidRPr="0093139E">
        <w:rPr>
          <w:bCs/>
        </w:rPr>
        <w:t>Carbon Trade Watch, a non-profit organization that focuses on social justice, lists additional concerns about carbon offsets.</w:t>
      </w:r>
      <w:r w:rsidR="005D1079">
        <w:rPr>
          <w:bCs/>
        </w:rPr>
        <w:t xml:space="preserve"> </w:t>
      </w:r>
      <w:r w:rsidR="005D1079" w:rsidRPr="0093139E">
        <w:rPr>
          <w:bCs/>
        </w:rPr>
        <w:t>They state that lack of regulation of offset markets gives unscrupulous companies the opportunity to falsely state that trees are being planted.</w:t>
      </w:r>
      <w:r w:rsidR="005D1079">
        <w:rPr>
          <w:bCs/>
        </w:rPr>
        <w:t xml:space="preserve"> </w:t>
      </w:r>
      <w:r w:rsidR="005D1079" w:rsidRPr="0093139E">
        <w:rPr>
          <w:bCs/>
        </w:rPr>
        <w:t>Purchasing carbon offsets also allow companies with significantly negative environmental records to “greenwash” their practices.</w:t>
      </w:r>
    </w:p>
    <w:p w14:paraId="4D92DDD2" w14:textId="291B2C67" w:rsidR="00720F26" w:rsidRPr="005E18C1" w:rsidRDefault="551A77D0" w:rsidP="00BB5D8F">
      <w:pPr>
        <w:pStyle w:val="Heading3"/>
      </w:pPr>
      <w:bookmarkStart w:id="11" w:name="_Toc18443082"/>
      <w:r w:rsidRPr="005E18C1">
        <w:t>Adoption</w:t>
      </w:r>
      <w:r w:rsidR="006E6C65" w:rsidRPr="005E18C1">
        <w:t xml:space="preserve"> </w:t>
      </w:r>
      <w:r w:rsidRPr="005E18C1">
        <w:t>Potential</w:t>
      </w:r>
      <w:bookmarkEnd w:id="11"/>
    </w:p>
    <w:p w14:paraId="52C49875" w14:textId="7F2F8670" w:rsidR="00720F26" w:rsidRPr="00720F26" w:rsidRDefault="00555211" w:rsidP="006B20C0">
      <w:r>
        <w:t>A recent study by</w:t>
      </w:r>
      <w:r w:rsidR="008B187E">
        <w:t xml:space="preserve"> </w:t>
      </w:r>
      <w:r w:rsidR="008B187E">
        <w:fldChar w:fldCharType="begin"/>
      </w:r>
      <w:r w:rsidR="008B187E">
        <w:instrText xml:space="preserve"> ADDIN ZOTERO_ITEM CSL_CITATION {"citationID":"aEGTJDlw","properties":{"formattedCitation":"(Lal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8B187E">
        <w:fldChar w:fldCharType="separate"/>
      </w:r>
      <w:r w:rsidR="008B187E" w:rsidRPr="008B187E">
        <w:rPr>
          <w:rFonts w:cs="Times New Roman"/>
        </w:rPr>
        <w:t>Lal et al.</w:t>
      </w:r>
      <w:r w:rsidR="008B187E">
        <w:rPr>
          <w:rFonts w:cs="Times New Roman"/>
        </w:rPr>
        <w:t xml:space="preserve"> (2</w:t>
      </w:r>
      <w:r w:rsidR="008B187E" w:rsidRPr="008B187E">
        <w:rPr>
          <w:rFonts w:cs="Times New Roman"/>
        </w:rPr>
        <w:t>018)</w:t>
      </w:r>
      <w:r w:rsidR="008B187E">
        <w:fldChar w:fldCharType="end"/>
      </w:r>
      <w:r>
        <w:t xml:space="preserve"> estimates the current global area of land available for afforestation at </w:t>
      </w:r>
      <w:r w:rsidR="00A63DB2">
        <w:t>about 500</w:t>
      </w:r>
      <w:r>
        <w:t xml:space="preserve"> Mha</w:t>
      </w:r>
      <w:r w:rsidR="00A63DB2">
        <w:t>, which includes abandoned cropland and land degraded through erosion, chemical degradation or mining</w:t>
      </w:r>
      <w:r>
        <w:t xml:space="preserve">. </w:t>
      </w:r>
      <w:r w:rsidR="00720F26">
        <w:t xml:space="preserve">Much of </w:t>
      </w:r>
      <w:r>
        <w:t xml:space="preserve">this land is </w:t>
      </w:r>
      <w:r w:rsidR="00720F26">
        <w:t>in developing countries; this provides both challenges and opportunities, as forests meet basic human needs and can improve quality of life. Wood consumption dominates energy usage for much of world’s poor, with 40% of residents in developing countries using wood to cook</w:t>
      </w:r>
      <w:r w:rsidR="005E18C1">
        <w:t xml:space="preserve"> </w:t>
      </w:r>
      <w:r w:rsidR="005E18C1">
        <w:fldChar w:fldCharType="begin"/>
      </w:r>
      <w:r w:rsidR="005E18C1">
        <w:instrText xml:space="preserve"> ADDIN ZOTERO_ITEM CSL_CITATION {"citationID":"fR0DBSx7","properties":{"formattedCitation":"(Cox, Crews, &amp; Jackson, 2014)","plainCitation":"(Cox, Crews, &amp; Jackson, 2014)","noteIndex":0},"citationItems":[{"id":500,"uris":["http://zotero.org/groups/2241939/items/SH6R5X2S"],"uri":["http://zotero.org/groups/2241939/items/SH6R5X2S"],"itemData":{"id":500,"type":"paper-conference","title":"From genetics and breeding to agronomy and ecology","container-title":"Perennial Crops for Food Security: Proceedings of the FAO Expert Workshop","publisher-place":"Rome","page":"158-168","event-place":"Rome","URL":"https://landinstitute.org/wp-content/uploads/2014/11/PF_FAO14_ch12.pdf","author":[{"family":"Cox","given":"Stan"},{"family":"Crews","given":"Timothy"},{"family":"Jackson","given":"Wes"}],"issued":{"date-parts":[["2014"]]}}}],"schema":"https://github.com/citation-style-language/schema/raw/master/csl-citation.json"} </w:instrText>
      </w:r>
      <w:r w:rsidR="005E18C1">
        <w:fldChar w:fldCharType="separate"/>
      </w:r>
      <w:r w:rsidR="008B187E" w:rsidRPr="008B187E">
        <w:rPr>
          <w:rFonts w:cs="Times New Roman"/>
        </w:rPr>
        <w:t>(Cox, Crews, &amp; Jackson, 2014)</w:t>
      </w:r>
      <w:r w:rsidR="005E18C1">
        <w:fldChar w:fldCharType="end"/>
      </w:r>
      <w:r w:rsidR="00720F26">
        <w:t xml:space="preserve">. Timber plantations provide other ecosystem services, strengthening the support of communities whose livelihoods depend on the land. </w:t>
      </w:r>
      <w:r w:rsidR="005E18C1">
        <w:fldChar w:fldCharType="begin"/>
      </w:r>
      <w:r w:rsidR="005E18C1">
        <w:instrText xml:space="preserve"> ADDIN ZOTERO_ITEM CSL_CITATION {"citationID":"vFg2St4j","properties":{"formattedCitation":"(Chhatre &amp; Agrawal, 2009)","plainCitation":"(Chhatre &amp; Agrawal, 2009)","noteIndex":0},"citationItems":[{"id":164,"uris":["http://zotero.org/groups/2241939/items/LWBQ8YUX"],"uri":["http://zotero.org/groups/2241939/items/LWBQ8YUX"],"itemData":{"id":164,"type":"article-journal","title":"Trade-offs and synergies between carbon storage and livelihood benefits from forest commons","container-title":"Proceedings of the National Academy of Sciences","page":"17667-17670","volume":"106","issue":"42","source":"CrossRef","DOI":"10.1073/pnas.0905308106","ISSN":"0027-8424, 1091-6490","language":"en","author":[{"family":"Chhatre","given":"A."},{"family":"Agrawal","given":"A."}],"issued":{"date-parts":[["2009",10,20]]}}}],"schema":"https://github.com/citation-style-language/schema/raw/master/csl-citation.json"} </w:instrText>
      </w:r>
      <w:r w:rsidR="005E18C1">
        <w:fldChar w:fldCharType="separate"/>
      </w:r>
      <w:r w:rsidR="008B187E" w:rsidRPr="008B187E">
        <w:rPr>
          <w:rFonts w:cs="Times New Roman"/>
        </w:rPr>
        <w:t>(Chhatre &amp; Agrawal, 2009)</w:t>
      </w:r>
      <w:r w:rsidR="005E18C1">
        <w:fldChar w:fldCharType="end"/>
      </w:r>
      <w:r w:rsidR="007E7A8B">
        <w:t xml:space="preserve"> </w:t>
      </w:r>
      <w:r w:rsidR="00720F26">
        <w:t xml:space="preserve">found that </w:t>
      </w:r>
      <w:r w:rsidR="00FF2D98">
        <w:t>land-tenure security</w:t>
      </w:r>
      <w:r w:rsidR="00720F26">
        <w:t xml:space="preserve"> can motivate communities to preserve forests. Communities with well-established communal ownership had both high rates of carbon sequestration and high forest livelihood benefits. </w:t>
      </w:r>
    </w:p>
    <w:p w14:paraId="12A2F24A" w14:textId="638F28E2" w:rsidR="001C49CB" w:rsidRDefault="551A77D0" w:rsidP="001D6F00">
      <w:pPr>
        <w:pStyle w:val="Heading2"/>
        <w:numPr>
          <w:ilvl w:val="1"/>
          <w:numId w:val="4"/>
        </w:numPr>
      </w:pPr>
      <w:bookmarkStart w:id="12" w:name="_Toc18443083"/>
      <w:r w:rsidRPr="00483FFA">
        <w:t>Advantages and disadvantages of</w:t>
      </w:r>
      <w:r w:rsidR="00DB4CC8">
        <w:t xml:space="preserve"> </w:t>
      </w:r>
      <w:r w:rsidR="000B1629">
        <w:t>Forest plantations</w:t>
      </w:r>
      <w:bookmarkEnd w:id="12"/>
    </w:p>
    <w:p w14:paraId="40FEDE3F" w14:textId="45AEE875" w:rsidR="009A15A9" w:rsidRDefault="551A77D0" w:rsidP="00E03C0E">
      <w:pPr>
        <w:pStyle w:val="Heading3"/>
      </w:pPr>
      <w:bookmarkStart w:id="13" w:name="_Toc18443084"/>
      <w:r w:rsidRPr="00483FFA">
        <w:t>Similar Solutions</w:t>
      </w:r>
      <w:bookmarkEnd w:id="13"/>
    </w:p>
    <w:p w14:paraId="04FC5558" w14:textId="55EBBB45" w:rsidR="009A15A9" w:rsidRPr="009A15A9" w:rsidRDefault="00E03C0E" w:rsidP="006B20C0">
      <w:r>
        <w:t xml:space="preserve">On appropriate lands, </w:t>
      </w:r>
      <w:r w:rsidR="004371B5">
        <w:t>carbon sequestration in</w:t>
      </w:r>
      <w:r>
        <w:t xml:space="preserve"> forest</w:t>
      </w:r>
      <w:r w:rsidR="004371B5">
        <w:t>s</w:t>
      </w:r>
      <w:r>
        <w:t xml:space="preserve"> </w:t>
      </w:r>
      <w:r w:rsidR="004371B5">
        <w:t>can be achieved through different pathways</w:t>
      </w:r>
      <w:r w:rsidR="00EE0097">
        <w:t xml:space="preserve"> in addition to </w:t>
      </w:r>
      <w:r w:rsidR="00C16C86">
        <w:rPr>
          <w:i/>
        </w:rPr>
        <w:t>afforestation</w:t>
      </w:r>
      <w:r w:rsidR="00EE0097">
        <w:rPr>
          <w:i/>
        </w:rPr>
        <w:t xml:space="preserve"> </w:t>
      </w:r>
      <w:r w:rsidR="00EE0097">
        <w:t>establishment</w:t>
      </w:r>
      <w:r w:rsidRPr="00A573A8">
        <w:t xml:space="preserve">: </w:t>
      </w:r>
      <w:r w:rsidR="004371B5">
        <w:t xml:space="preserve">with </w:t>
      </w:r>
      <w:r w:rsidR="00223B3A" w:rsidRPr="000D19DD">
        <w:rPr>
          <w:i/>
        </w:rPr>
        <w:t>avoided deforestation</w:t>
      </w:r>
      <w:r w:rsidR="00223B3A">
        <w:t>, land can be conserved from the get-go; alternatively, restoration</w:t>
      </w:r>
      <w:r w:rsidR="004371B5">
        <w:t xml:space="preserve"> or regeneration</w:t>
      </w:r>
      <w:r w:rsidR="00223B3A">
        <w:t xml:space="preserve"> can occur through </w:t>
      </w:r>
      <w:r w:rsidRPr="00A573A8">
        <w:t>re</w:t>
      </w:r>
      <w:r w:rsidR="00223B3A">
        <w:t>forestation of</w:t>
      </w:r>
      <w:r w:rsidRPr="00A573A8">
        <w:t xml:space="preserve"> secondary forest</w:t>
      </w:r>
      <w:r w:rsidR="00223B3A">
        <w:t>s</w:t>
      </w:r>
      <w:r w:rsidRPr="00A573A8">
        <w:t xml:space="preserve"> (</w:t>
      </w:r>
      <w:r w:rsidRPr="00A74071">
        <w:rPr>
          <w:i/>
        </w:rPr>
        <w:t>forest restoration</w:t>
      </w:r>
      <w:r w:rsidRPr="00A573A8">
        <w:t xml:space="preserve">) or </w:t>
      </w:r>
      <w:r w:rsidR="00223B3A">
        <w:t xml:space="preserve">the integration of </w:t>
      </w:r>
      <w:r w:rsidRPr="00A573A8">
        <w:t xml:space="preserve">trees </w:t>
      </w:r>
      <w:r w:rsidR="00223B3A">
        <w:t>on</w:t>
      </w:r>
      <w:r w:rsidRPr="00A573A8">
        <w:t xml:space="preserve"> agriculture/pasture lands</w:t>
      </w:r>
      <w:r>
        <w:t xml:space="preserve"> (</w:t>
      </w:r>
      <w:r w:rsidRPr="00A74071">
        <w:rPr>
          <w:i/>
        </w:rPr>
        <w:t>agroforestry</w:t>
      </w:r>
      <w:r w:rsidR="00B16888">
        <w:t>)</w:t>
      </w:r>
      <w:r w:rsidRPr="00A573A8">
        <w:t>.</w:t>
      </w:r>
      <w:r>
        <w:t xml:space="preserve"> </w:t>
      </w:r>
      <w:r w:rsidR="009A15A9">
        <w:t xml:space="preserve">Compared to </w:t>
      </w:r>
      <w:r w:rsidR="000B1629">
        <w:t>forest plantations</w:t>
      </w:r>
      <w:r w:rsidR="009A15A9">
        <w:t xml:space="preserve">, </w:t>
      </w:r>
      <w:r w:rsidR="009A15A9" w:rsidRPr="000D19DD">
        <w:rPr>
          <w:i/>
        </w:rPr>
        <w:t>avoided deforestation</w:t>
      </w:r>
      <w:r w:rsidR="009A15A9">
        <w:t xml:space="preserve"> requires less monitoring and up-front costs, protects intact ecosystems, and preserves biodiversity making it potentially more desirable from a carbon-cost perspective. However,</w:t>
      </w:r>
      <w:r w:rsidR="009E435F">
        <w:t xml:space="preserve"> wider implementation of</w:t>
      </w:r>
      <w:r w:rsidR="009A15A9">
        <w:t xml:space="preserve"> </w:t>
      </w:r>
      <w:r w:rsidR="000B1629">
        <w:t>forest plantations</w:t>
      </w:r>
      <w:r w:rsidR="009E435F">
        <w:t xml:space="preserve"> strategies might contribute to </w:t>
      </w:r>
      <w:r w:rsidR="009A15A9">
        <w:t>avoid</w:t>
      </w:r>
      <w:r w:rsidR="009E435F">
        <w:t>ed</w:t>
      </w:r>
      <w:r w:rsidR="009A15A9">
        <w:t xml:space="preserve"> deforestation</w:t>
      </w:r>
      <w:r w:rsidR="009E435F">
        <w:t xml:space="preserve"> if managed well</w:t>
      </w:r>
      <w:r w:rsidR="009A15A9">
        <w:t xml:space="preserve"> and </w:t>
      </w:r>
      <w:r w:rsidR="009E435F">
        <w:t>does not necessarily require a</w:t>
      </w:r>
      <w:r w:rsidR="009A15A9">
        <w:t xml:space="preserve"> decrease</w:t>
      </w:r>
      <w:r w:rsidR="009E435F">
        <w:t xml:space="preserve"> in</w:t>
      </w:r>
      <w:r w:rsidR="009A15A9">
        <w:t xml:space="preserve"> consumption</w:t>
      </w:r>
      <w:r w:rsidR="009E435F">
        <w:t xml:space="preserve"> levels</w:t>
      </w:r>
      <w:r w:rsidR="009A15A9">
        <w:t xml:space="preserve">. </w:t>
      </w:r>
      <w:r w:rsidR="000329B3">
        <w:t>Global d</w:t>
      </w:r>
      <w:r w:rsidR="001E31F8">
        <w:t>eforestation is driven both by the demand for w</w:t>
      </w:r>
      <w:r w:rsidR="009A15A9">
        <w:t>ood products</w:t>
      </w:r>
      <w:r w:rsidR="001E31F8">
        <w:t xml:space="preserve"> and by </w:t>
      </w:r>
      <w:r w:rsidR="009A15A9">
        <w:t>agricultural practices</w:t>
      </w:r>
      <w:r w:rsidR="000329B3">
        <w:t xml:space="preserve"> </w:t>
      </w:r>
      <w:r w:rsidR="00CD13B3">
        <w:fldChar w:fldCharType="begin"/>
      </w:r>
      <w:r w:rsidR="00CD13B3">
        <w:instrText xml:space="preserve"> ADDIN ZOTERO_ITEM CSL_CITATION {"citationID":"QQj0F2vV","properties":{"formattedCitation":"(Lambin &amp; Meyfroidt, 2011)","plainCitation":"(Lambin &amp; Meyfroidt, 2011)","noteIndex":0},"citationItems":[{"id":898,"uris":["http://zotero.org/groups/2241939/items/6SUS6928"],"uri":["http://zotero.org/groups/2241939/items/6SUS6928"],"itemData":{"id":898,"type":"article-journal","title":"Global land use change, economic globalization, and the looming land scarcity","container-title":"Proceedings of the National Academy of Sciences","page":"3465–3472","volume":"108","issue":"9","source":"Google Scholar","author":[{"family":"Lambin","given":"Eric F."},{"family":"Meyfroidt","given":"Patrick"}],"issued":{"date-parts":[["2011"]]}}}],"schema":"https://github.com/citation-style-language/schema/raw/master/csl-citation.json"} </w:instrText>
      </w:r>
      <w:r w:rsidR="00CD13B3">
        <w:fldChar w:fldCharType="separate"/>
      </w:r>
      <w:r w:rsidR="00CD13B3" w:rsidRPr="00CD13B3">
        <w:rPr>
          <w:rFonts w:cs="Times New Roman"/>
        </w:rPr>
        <w:t>(Lambin &amp; Meyfroidt, 2011)</w:t>
      </w:r>
      <w:r w:rsidR="00CD13B3">
        <w:fldChar w:fldCharType="end"/>
      </w:r>
      <w:r w:rsidR="000329B3">
        <w:t>.</w:t>
      </w:r>
      <w:r w:rsidR="009A15A9">
        <w:t xml:space="preserve"> </w:t>
      </w:r>
      <w:r w:rsidR="001E31F8">
        <w:t>Tree</w:t>
      </w:r>
      <w:r w:rsidR="009E435F">
        <w:t>-based solutions (</w:t>
      </w:r>
      <w:r w:rsidR="009E435F">
        <w:rPr>
          <w:i/>
        </w:rPr>
        <w:t>multistrata agroforestry, tree intercropping, and silvopasture</w:t>
      </w:r>
      <w:r w:rsidR="009E435F">
        <w:t>)</w:t>
      </w:r>
      <w:r>
        <w:t xml:space="preserve"> address food-production issues while</w:t>
      </w:r>
      <w:r w:rsidR="009A15A9">
        <w:t xml:space="preserve"> offer</w:t>
      </w:r>
      <w:r>
        <w:t>ing</w:t>
      </w:r>
      <w:r w:rsidR="009A15A9">
        <w:t xml:space="preserve"> ecological benefits similar to those of </w:t>
      </w:r>
      <w:r w:rsidR="000B1629">
        <w:t>forest plantations</w:t>
      </w:r>
      <w:r w:rsidR="009A15A9">
        <w:t xml:space="preserve">. </w:t>
      </w:r>
      <w:r w:rsidR="009A15A9" w:rsidRPr="009A15A9">
        <w:rPr>
          <w:i/>
        </w:rPr>
        <w:t>Bamboo</w:t>
      </w:r>
      <w:r w:rsidR="009A15A9">
        <w:t xml:space="preserve">, which may be viewed as related to, or as a subset of, </w:t>
      </w:r>
      <w:r w:rsidR="000B1629">
        <w:t>forest plantations</w:t>
      </w:r>
      <w:r w:rsidR="009A15A9">
        <w:t xml:space="preserve">, </w:t>
      </w:r>
      <w:r w:rsidR="009E435F">
        <w:t>can contribute to the restoration of</w:t>
      </w:r>
      <w:r w:rsidR="009A15A9">
        <w:t xml:space="preserve"> degraded lands</w:t>
      </w:r>
      <w:r w:rsidR="00FD0790">
        <w:t xml:space="preserve"> and offers a range of benefits (including natural regeneration, food and forage production and shorter delays before </w:t>
      </w:r>
      <w:r w:rsidR="00FD0790">
        <w:lastRenderedPageBreak/>
        <w:t>harvest)</w:t>
      </w:r>
      <w:r w:rsidR="009A15A9">
        <w:t xml:space="preserve">. </w:t>
      </w:r>
      <w:r w:rsidR="00042FF5">
        <w:t>An assessment of stakeholders’</w:t>
      </w:r>
      <w:r w:rsidRPr="009A15A9">
        <w:t xml:space="preserve"> priorities</w:t>
      </w:r>
      <w:r w:rsidR="00042FF5">
        <w:t>,</w:t>
      </w:r>
      <w:r w:rsidRPr="009A15A9">
        <w:t xml:space="preserve"> in consultation with forestry experts</w:t>
      </w:r>
      <w:r w:rsidR="00042FF5">
        <w:t>, might help</w:t>
      </w:r>
      <w:r w:rsidRPr="009A15A9">
        <w:t xml:space="preserve"> </w:t>
      </w:r>
      <w:r w:rsidR="00F66567">
        <w:t>identify</w:t>
      </w:r>
      <w:r w:rsidR="00F66567" w:rsidRPr="009A15A9">
        <w:t xml:space="preserve"> </w:t>
      </w:r>
      <w:r w:rsidRPr="009A15A9">
        <w:t>which of these related solutions (or combinations of them) best suit</w:t>
      </w:r>
      <w:r w:rsidR="00457ABC">
        <w:t>s</w:t>
      </w:r>
      <w:r w:rsidRPr="009A15A9">
        <w:t xml:space="preserve"> </w:t>
      </w:r>
      <w:r w:rsidR="00457ABC">
        <w:t>needs in a particular context</w:t>
      </w:r>
      <w:r w:rsidRPr="009A15A9">
        <w:t>.</w:t>
      </w:r>
    </w:p>
    <w:p w14:paraId="4646719B" w14:textId="77777777" w:rsidR="003D2054" w:rsidRPr="006B20C0" w:rsidRDefault="551A77D0" w:rsidP="00000959">
      <w:pPr>
        <w:pStyle w:val="Heading3"/>
      </w:pPr>
      <w:bookmarkStart w:id="14" w:name="_Toc18443085"/>
      <w:r w:rsidRPr="006B20C0">
        <w:t>Arguments for Adoptio</w:t>
      </w:r>
      <w:r w:rsidR="00000959" w:rsidRPr="006B20C0">
        <w:t>n</w:t>
      </w:r>
      <w:bookmarkEnd w:id="14"/>
    </w:p>
    <w:p w14:paraId="51658F04" w14:textId="4C1F71DE" w:rsidR="00424673" w:rsidRPr="004B1E4D" w:rsidRDefault="00424673" w:rsidP="006B20C0">
      <w:pPr>
        <w:rPr>
          <w:i/>
        </w:rPr>
      </w:pPr>
      <w:r>
        <w:t>Currently existing solutions related to sustainable natural</w:t>
      </w:r>
      <w:r w:rsidRPr="00A573A8">
        <w:t xml:space="preserve"> </w:t>
      </w:r>
      <w:r>
        <w:t xml:space="preserve">resource management </w:t>
      </w:r>
      <w:r w:rsidR="00AA4C22">
        <w:t>are all associated with</w:t>
      </w:r>
      <w:r w:rsidRPr="00A573A8">
        <w:t xml:space="preserve"> </w:t>
      </w:r>
      <w:r w:rsidR="00AA4C22">
        <w:t xml:space="preserve">varying </w:t>
      </w:r>
      <w:r w:rsidRPr="00A573A8">
        <w:t xml:space="preserve">trade-offs between economic </w:t>
      </w:r>
      <w:r>
        <w:t>and</w:t>
      </w:r>
      <w:r w:rsidRPr="00A573A8">
        <w:t xml:space="preserve"> ecological benefits.</w:t>
      </w:r>
      <w:r>
        <w:t xml:space="preserve"> </w:t>
      </w:r>
      <w:r w:rsidR="00E25618">
        <w:t xml:space="preserve">In the case of </w:t>
      </w:r>
      <w:r w:rsidR="00BA5A29">
        <w:rPr>
          <w:i/>
        </w:rPr>
        <w:t>afforestation</w:t>
      </w:r>
      <w:r w:rsidR="00E25618">
        <w:rPr>
          <w:i/>
        </w:rPr>
        <w:t xml:space="preserve">, </w:t>
      </w:r>
      <w:r w:rsidR="00E25618">
        <w:t>e</w:t>
      </w:r>
      <w:r w:rsidRPr="009443B7">
        <w:t xml:space="preserve">cological benefits </w:t>
      </w:r>
      <w:r>
        <w:t>can include</w:t>
      </w:r>
      <w:r w:rsidRPr="009443B7">
        <w:t xml:space="preserve"> </w:t>
      </w:r>
      <w:r w:rsidR="005D4414">
        <w:t xml:space="preserve">carbon sequestration, </w:t>
      </w:r>
      <w:r w:rsidRPr="009443B7">
        <w:t>improved air and water quality</w:t>
      </w:r>
      <w:r w:rsidR="007953FC">
        <w:t>, and economic benefits include</w:t>
      </w:r>
      <w:r>
        <w:t xml:space="preserve"> </w:t>
      </w:r>
      <w:r w:rsidRPr="009443B7">
        <w:t>revenue from forest products</w:t>
      </w:r>
      <w:r>
        <w:t xml:space="preserve"> </w:t>
      </w:r>
      <w:r w:rsidR="00CD13B3">
        <w:fldChar w:fldCharType="begin"/>
      </w:r>
      <w:r w:rsidR="00CD13B3">
        <w:instrText xml:space="preserve"> ADDIN ZOTERO_ITEM CSL_CITATION {"citationID":"oI2UH1WQ","properties":{"formattedCitation":"(Lamb et al., 2005)","plainCitation":"(Lamb et al., 2005)","noteIndex":0},"citationItems":[{"id":928,"uris":["http://zotero.org/groups/2241939/items/T664AWJS"],"uri":["http://zotero.org/groups/2241939/items/T664AWJS"],"itemData":{"id":928,"type":"article-journal","title":"Restoration of Degraded Tropical Forest Landscapes","container-title":"Science","page":"1628-1632","volume":"310","issue":"5754","source":"science.sciencemag.org","abstract":"The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poverty.","DOI":"10.1126/science.1111773","ISSN":"0036-8075, 1095-9203","note":"PMID: 16339437","language":"en","author":[{"family":"Lamb","given":"David"},{"family":"Erskine","given":"Peter D."},{"family":"Parrotta","given":"John A."}],"issued":{"date-parts":[["2005",12,9]]}}}],"schema":"https://github.com/citation-style-language/schema/raw/master/csl-citation.json"} </w:instrText>
      </w:r>
      <w:r w:rsidR="00CD13B3">
        <w:fldChar w:fldCharType="separate"/>
      </w:r>
      <w:r w:rsidR="00CD13B3" w:rsidRPr="00CD13B3">
        <w:rPr>
          <w:rFonts w:cs="Times New Roman"/>
        </w:rPr>
        <w:t>(Lamb et al., 2005)</w:t>
      </w:r>
      <w:r w:rsidR="00CD13B3">
        <w:fldChar w:fldCharType="end"/>
      </w:r>
      <w:r>
        <w:t xml:space="preserve">. </w:t>
      </w:r>
      <w:r w:rsidR="006B20C0">
        <w:t xml:space="preserve">Some of the more significant advantages associated with </w:t>
      </w:r>
      <w:r w:rsidR="000B1629">
        <w:t>forest plantations</w:t>
      </w:r>
      <w:r w:rsidR="006B20C0">
        <w:t xml:space="preserve"> are:</w:t>
      </w:r>
    </w:p>
    <w:p w14:paraId="402C78F3" w14:textId="59C8122A" w:rsidR="00424673" w:rsidRDefault="00424673" w:rsidP="00424673">
      <w:pPr>
        <w:pStyle w:val="ListParagraph"/>
        <w:numPr>
          <w:ilvl w:val="0"/>
          <w:numId w:val="9"/>
        </w:numPr>
      </w:pPr>
      <w:r>
        <w:t>Natural forests store more carbon than plantations or secondary forests</w:t>
      </w:r>
      <w:r w:rsidR="00CD13B3">
        <w:t xml:space="preserve"> </w:t>
      </w:r>
      <w:r w:rsidR="00CD13B3">
        <w:fldChar w:fldCharType="begin"/>
      </w:r>
      <w:r w:rsidR="00CD13B3">
        <w:instrText xml:space="preserve"> ADDIN ZOTERO_ITEM CSL_CITATION {"citationID":"a1zDxmfJ","properties":{"formattedCitation":"(Chen et al., 2005; Liao, Luo, Fang, &amp; Li, 2010)","plainCitation":"(Chen et al., 2005; Liao, Luo, Fang, &amp; Li, 2010)","noteIndex":0},"citationItems":[{"id":2927,"uris":["http://zotero.org/groups/2241939/items/FUXZQZ8J"],"uri":["http://zotero.org/groups/2241939/items/FUXZQZ8J"],"itemData":{"id":2927,"type":"article-journal","title":"Conversion of a natural broad-leafed evergreen forest into pure plantation forests in a subtropical area: Effects on carbon storage","container-title":"Annals of Forest Science","page":"659-668","volume":"62","issue":"7","source":"Crossref","abstract":"For the last several decades, native broad-leafed forests in many areas of south China have been converted into plantations of more productive forest species for timber use. This paper presents a case study examining how this forest conversion affects ecosystem carbon storage by comparing 33 year-old plantations of two coniferous trees, Chinese fir (Cunninghamia lanceolata, CF) and Fokienia hodginsii (FH) and two broadleaved trees, Ormosia xylocarpa (OX) and Castanopsis kawakamii (CK), with an adjacent relict natural forest of Castanopsis kawakamii (NF, ~ 150 year old) in Sanming, Fujian, China. Overall estimates of total ecosystem carbon pools ranged from a maximum of 399.1 Mg ha–1 in the NF to a minimum of 210.6 Mg ha–1 in the FH. The combined tree carbon pool was at a maximum in the NF where it contributed 64% of the total ecosystem pool, while the OX had the lowest contribution by trees at only 49%. Differences were also observed for the carbon pools of undergrowth, forest floor and standing dead wood, but that these pools together represent at the most 5% of the ecosystem C stock. Total C storage in the surface 100 cm soils ranged from 123.9 Mg ha–1 in the NF to 102.3 Mg ha–1 in the FH. Significant differences (P &lt; 0.01) in SOC concentrations and storage between native forest and the plantations were limited to the surface soils (0–10 cm and 10–20 cm), while no significant difference was found among the plantations at any soil depth (P &gt; 0.05). Annual aboveground litterfall C ranged from 4.51 Mg ha–1 in the CK to 2.15 Mg ha–1 in the CF, and annual belowground litterfall (root mortality) C ranged from 4.35 Mg ha–1 in the NF to 1.25 Mg ha–1 in the CF. When the NF was converted into tree plantations, the vegetation C pool (tree plus undergrowth) was reduced by 27–59%, and the detritus C pool (forest floor, standing dead wood, and soils) reduced by 20–25%, respectively. These differences between the NF and the plantations may be attributed to a combination of factors including more diverse species communities, more C store types, higher quantity and better quality of above- and belowground litter materials under the NF than under the plantations and site disturbance during the establishment of plantations.","DOI":"10.1051/forest:2005073","ISSN":"1286-4560, 1297-966X","shortTitle":"Conversion of a natural broad-leafed evergreen forest into pure plantation forests in a subtropical area","language":"en","author":[{"family":"Chen","given":"Guang-Shui"},{"family":"Yang","given":"Yu-Sheng"},{"family":"Xie","given":"Jin-Sheng"},{"family":"Guo","given":"Jian-Fen"},{"family":"Gao","given":"Ren"},{"family":"Qian","given":"Wei"}],"issued":{"date-parts":[["2005",11]]}}},{"id":2929,"uris":["http://zotero.org/groups/2241939/items/USUNQTUX"],"uri":["http://zotero.org/groups/2241939/items/USUNQTUX"],"itemData":{"id":2929,"type":"article-journal","title":"Ecosystem Carbon Stock Influenced by Plantation Practice: Implications for Planting Forests as a Measure of Climate Change Mitigation","container-title":"PLoS ONE","page":"e10867","volume":"5","issue":"5","source":"Crossref","abstract":"Uncertainties remain in the potential of forest plantations to sequestrate carbon (C). We synthesized 86 experimental studies with paired-site design, using a meta-analysis approach, to quantify the differences in ecosystem C pools between plantations and their corresponding adjacent primary and secondary forests (natural forests). Totaled ecosystem C stock in plant and soil pools was 284 Mg C ha21 in natural forests and decreased by 28% in plantations. In comparison with natural forests, plantations decreased aboveground net primary production, litterfall, and rate of soil respiration by 11, 34, and 32%, respectively. Fine root biomass, soil C concentration, and soil microbial C concentration decreased respectively by 66, 32, and 29% in plantations relative to natural forests. Soil available N, P and K concentrations were lower by 22, 20 and 26%, respectively, in plantations than in natural forests. The general pattern of decreased ecosystem C pools did not change between two different groups in relation to various factors: stand age (,25 years vs. $25 years), stand types (broadleaved vs. coniferous and deciduous vs. evergreen), tree species origin (native vs. exotic) of plantations, land-use history (afforestation vs. reforestation) and site preparation for plantations (unburnt vs. burnt), and study regions (tropic vs. temperate). The pattern also held true across geographic regions. Our findings argued against the replacement of natural forests by the plantations as a measure of climate change mitigation.","DOI":"10.1371/journal.pone.0010867","ISSN":"1932-6203","shortTitle":"Ecosystem Carbon Stock Influenced by Plantation Practice","language":"en","author":[{"family":"Liao","given":"Chengzhang"},{"family":"Luo","given":"Yiqi"},{"family":"Fang","given":"Changming"},{"family":"Li","given":"Bo"}],"editor":[{"family":"Hector","given":"Andy"}],"issued":{"date-parts":[["2010",5,27]]}}}],"schema":"https://github.com/citation-style-language/schema/raw/master/csl-citation.json"} </w:instrText>
      </w:r>
      <w:r w:rsidR="00CD13B3">
        <w:fldChar w:fldCharType="separate"/>
      </w:r>
      <w:r w:rsidR="00CD13B3" w:rsidRPr="00CD13B3">
        <w:rPr>
          <w:rFonts w:cs="Times New Roman"/>
        </w:rPr>
        <w:t>(Chen et al., 2005; Liao, Luo, Fang, &amp; Li, 2010)</w:t>
      </w:r>
      <w:r w:rsidR="00CD13B3">
        <w:fldChar w:fldCharType="end"/>
      </w:r>
      <w:r>
        <w:t>. Sourcing wood from plantations dramatically reduces global harvests from natural forests (by ~26%), thus preventing deforestation and degradation and protecting the biodiversity and carbon sequestration benefits of those forests</w:t>
      </w:r>
      <w:r w:rsidR="00CD13B3">
        <w:t xml:space="preserve"> </w:t>
      </w:r>
      <w:r w:rsidR="00CD13B3">
        <w:fldChar w:fldCharType="begin"/>
      </w:r>
      <w:r w:rsidR="00CD13B3">
        <w:instrText xml:space="preserve"> ADDIN ZOTERO_ITEM CSL_CITATION {"citationID":"U5x3tS3T","properties":{"formattedCitation":"(Buongiorno &amp; Zhu, 2014)","plainCitation":"(Buongiorno &amp; Zhu, 2014)","noteIndex":0},"citationItems":[{"id":52,"uris":["http://zotero.org/groups/2241939/items/4WF7PSUL"],"uri":["http://zotero.org/groups/2241939/items/4WF7PSUL"],"itemData":{"id":52,"type":"article-journal","title":"Assessing the impact of planted forests on the global forest economy","container-title":"New Zealand Journal of Forestry Science","page":"S2","volume":"44","issue":"Suppl 1","source":"CrossRef","DOI":"10.1186/1179-5395-44-S1-S2","ISSN":"1179-5395","language":"en","author":[{"family":"Buongiorno","given":"Joseph"},{"family":"Zhu","given":"Shushuai"}],"issued":{"date-parts":[["2014"]]}}}],"schema":"https://github.com/citation-style-language/schema/raw/master/csl-citation.json"} </w:instrText>
      </w:r>
      <w:r w:rsidR="00CD13B3">
        <w:fldChar w:fldCharType="separate"/>
      </w:r>
      <w:r w:rsidR="00CD13B3" w:rsidRPr="00CD13B3">
        <w:rPr>
          <w:rFonts w:cs="Times New Roman"/>
        </w:rPr>
        <w:t>(Buongiorno &amp; Zhu, 2014)</w:t>
      </w:r>
      <w:r w:rsidR="00CD13B3">
        <w:fldChar w:fldCharType="end"/>
      </w:r>
      <w:r>
        <w:t xml:space="preserve">. </w:t>
      </w:r>
    </w:p>
    <w:p w14:paraId="162299F3" w14:textId="2BD8B3FE" w:rsidR="00A67A59" w:rsidRDefault="00A67A59" w:rsidP="00424673">
      <w:pPr>
        <w:pStyle w:val="ListParagraph"/>
        <w:numPr>
          <w:ilvl w:val="0"/>
          <w:numId w:val="9"/>
        </w:numPr>
      </w:pPr>
      <w:r>
        <w:t>While</w:t>
      </w:r>
      <w:r w:rsidRPr="009443B7">
        <w:t xml:space="preserve"> </w:t>
      </w:r>
      <w:r>
        <w:t xml:space="preserve">the establishment and maintenance of </w:t>
      </w:r>
      <w:r w:rsidRPr="009443B7">
        <w:t>forest</w:t>
      </w:r>
      <w:r>
        <w:t xml:space="preserve"> plantation might </w:t>
      </w:r>
      <w:r w:rsidRPr="009443B7">
        <w:t>cost more than natural secondary growth</w:t>
      </w:r>
      <w:r>
        <w:t>, it is also associated with slightly higher carbon sequestration</w:t>
      </w:r>
      <w:r w:rsidR="00CD13B3">
        <w:t xml:space="preserve"> </w:t>
      </w:r>
      <w:r w:rsidR="00CD13B3">
        <w:fldChar w:fldCharType="begin"/>
      </w:r>
      <w:r w:rsidR="00CD13B3">
        <w:instrText xml:space="preserve"> ADDIN ZOTERO_ITEM CSL_CITATION {"citationID":"GAub9uVA","properties":{"formattedCitation":"(Bonner, Schmidt, &amp; Shoo, 2013)","plainCitation":"(Bonner, Schmidt, &amp; Shoo, 2013)","noteIndex":0},"citationItems":[{"id":64,"uris":["http://zotero.org/groups/2241939/items/QB7TAFPU"],"uri":["http://zotero.org/groups/2241939/items/QB7TAFPU"],"itemData":{"id":64,"type":"article-journal","title":"A meta-analytical global comparison of aboveground biomass accumulation between tropical secondary forests and monoculture plantations","container-title":"Forest ecology and management","page":"73–86","volume":"291","source":"Google Scholar","author":[{"family":"Bonner","given":"Mark TL"},{"family":"Schmidt","given":"Susanne"},{"family":"Shoo","given":"Luke P."}],"issued":{"date-parts":[["2013"]]}}}],"schema":"https://github.com/citation-style-language/schema/raw/master/csl-citation.json"} </w:instrText>
      </w:r>
      <w:r w:rsidR="00CD13B3">
        <w:fldChar w:fldCharType="separate"/>
      </w:r>
      <w:r w:rsidR="008B187E" w:rsidRPr="008B187E">
        <w:rPr>
          <w:rFonts w:cs="Times New Roman"/>
        </w:rPr>
        <w:t>(Bonner, Schmidt, &amp; Shoo, 2013)</w:t>
      </w:r>
      <w:r w:rsidR="00CD13B3">
        <w:fldChar w:fldCharType="end"/>
      </w:r>
      <w:r>
        <w:t>. However, the high initial costs are generally met through</w:t>
      </w:r>
      <w:r w:rsidR="00D92ECF">
        <w:t xml:space="preserve"> revenues from</w:t>
      </w:r>
      <w:r>
        <w:t xml:space="preserve"> later harvest</w:t>
      </w:r>
      <w:r w:rsidR="00D92ECF">
        <w:t>s</w:t>
      </w:r>
      <w:r>
        <w:t xml:space="preserve">, and the delay in compensation can be addressed through subsidies or other financial mechanisms. </w:t>
      </w:r>
    </w:p>
    <w:p w14:paraId="7DB374C8" w14:textId="666A4694" w:rsidR="00A67A59" w:rsidRDefault="00A67A59" w:rsidP="00424673">
      <w:pPr>
        <w:pStyle w:val="ListParagraph"/>
        <w:numPr>
          <w:ilvl w:val="0"/>
          <w:numId w:val="9"/>
        </w:numPr>
      </w:pPr>
      <w:r>
        <w:t>T</w:t>
      </w:r>
      <w:r w:rsidRPr="009443B7">
        <w:t xml:space="preserve">imber </w:t>
      </w:r>
      <w:r>
        <w:t>plantations sequester additional carbon</w:t>
      </w:r>
      <w:r w:rsidRPr="009443B7">
        <w:t xml:space="preserve"> in </w:t>
      </w:r>
      <w:r>
        <w:t>durable</w:t>
      </w:r>
      <w:r w:rsidRPr="009443B7">
        <w:t xml:space="preserve"> wood products and wood</w:t>
      </w:r>
      <w:r>
        <w:t xml:space="preserve"> can be</w:t>
      </w:r>
      <w:r w:rsidRPr="009443B7">
        <w:t xml:space="preserve"> </w:t>
      </w:r>
      <w:r>
        <w:t>used in place of more energy and carbon intensive</w:t>
      </w:r>
      <w:r w:rsidRPr="009443B7">
        <w:t xml:space="preserve"> materials su</w:t>
      </w:r>
      <w:r>
        <w:t>ch as concrete, steel, aluminum, and plastic, thus leading to avoided emissions.</w:t>
      </w:r>
    </w:p>
    <w:p w14:paraId="0528DCB8" w14:textId="64884D97" w:rsidR="00424673" w:rsidRDefault="00424673" w:rsidP="00424673">
      <w:pPr>
        <w:pStyle w:val="ListParagraph"/>
        <w:numPr>
          <w:ilvl w:val="0"/>
          <w:numId w:val="9"/>
        </w:numPr>
      </w:pPr>
      <w:r>
        <w:t>In addition to reducing human impacts on primary forests, tree plantations offer some habitat benefits, though less than secondary forests. Plantations can have a diverse secondary understory and can provide crucial habitat connectivity for some species</w:t>
      </w:r>
      <w:r w:rsidR="00CD13B3">
        <w:t xml:space="preserve"> </w:t>
      </w:r>
      <w:r w:rsidR="00CD13B3">
        <w:fldChar w:fldCharType="begin"/>
      </w:r>
      <w:r w:rsidR="00CD13B3">
        <w:instrText xml:space="preserve"> ADDIN ZOTERO_ITEM CSL_CITATION {"citationID":"pQLzSIE2","properties":{"formattedCitation":"(Brockerhoff, Jactel, Parrotta, Quine, &amp; Sayer, 2008; Lamb, Erskine, &amp; Parrotta, 2005b)","plainCitation":"(Brockerhoff, Jactel, Parrotta, Quine, &amp; Sayer, 2008; Lamb, Erskine, &amp; Parrotta, 2005b)","dontUpdate":true,"noteIndex":0},"citationItems":[{"id":53,"uris":["http://zotero.org/groups/2241939/items/69YWRLF4"],"uri":["http://zotero.org/groups/2241939/items/69YWRLF4"],"itemData":{"id":53,"type":"article-journal","title":"Plantation forests and biodiversity: oxymoron or opportunity?","container-title":"Biodiversity and Conservation","page":"925–951","volume":"17","issue":"5","source":"Google Scholar","shortTitle":"Plantation forests and biodiversity","author":[{"family":"Brockerhoff","given":"Eckehard G."},{"family":"Jactel","given":"Hervé"},{"family":"Parrotta","given":"John A."},{"family":"Quine","given":"Christopher P."},{"family":"Sayer","given":"Jeffrey"}],"issued":{"date-parts":[["2008"]]}}},{"id":928,"uris":["http://zotero.org/groups/2241939/items/T664AWJS"],"uri":["http://zotero.org/groups/2241939/items/T664AWJS"],"itemData":{"id":928,"type":"article-journal","title":"Restoration of Degraded Tropical Forest Landscapes","container-title":"Science","page":"1628-1632","volume":"310","issue":"5754","source":"science.sciencemag.org","abstract":"The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poverty.","DOI":"10.1126/science.1111773","ISSN":"0036-8075, 1095-9203","note":"PMID: 16339437","language":"en","author":[{"family":"Lamb","given":"David"},{"family":"Erskine","given":"Peter D."},{"family":"Parrotta","given":"John A."}],"issued":{"date-parts":[["2005",12,9]]}}}],"schema":"https://github.com/citation-style-language/schema/raw/master/csl-citation.json"} </w:instrText>
      </w:r>
      <w:r w:rsidR="00CD13B3">
        <w:fldChar w:fldCharType="separate"/>
      </w:r>
      <w:r w:rsidR="00CD13B3" w:rsidRPr="00CD13B3">
        <w:rPr>
          <w:rFonts w:cs="Times New Roman"/>
        </w:rPr>
        <w:t>(Brockerhoff</w:t>
      </w:r>
      <w:r w:rsidR="00CD13B3">
        <w:rPr>
          <w:rFonts w:cs="Times New Roman"/>
        </w:rPr>
        <w:t xml:space="preserve"> et al. 200</w:t>
      </w:r>
      <w:r w:rsidR="00CD13B3" w:rsidRPr="00CD13B3">
        <w:rPr>
          <w:rFonts w:cs="Times New Roman"/>
        </w:rPr>
        <w:t>8; Lamb</w:t>
      </w:r>
      <w:r w:rsidR="00CD13B3">
        <w:rPr>
          <w:rFonts w:cs="Times New Roman"/>
        </w:rPr>
        <w:t xml:space="preserve"> et al. </w:t>
      </w:r>
      <w:r w:rsidR="00CD13B3" w:rsidRPr="00CD13B3">
        <w:rPr>
          <w:rFonts w:cs="Times New Roman"/>
        </w:rPr>
        <w:t xml:space="preserve"> 2005)</w:t>
      </w:r>
      <w:r w:rsidR="00CD13B3">
        <w:fldChar w:fldCharType="end"/>
      </w:r>
      <w:r>
        <w:t>.</w:t>
      </w:r>
    </w:p>
    <w:p w14:paraId="5000D58E" w14:textId="53483204" w:rsidR="00424673" w:rsidRDefault="000B1629" w:rsidP="00424673">
      <w:pPr>
        <w:pStyle w:val="ListParagraph"/>
        <w:numPr>
          <w:ilvl w:val="0"/>
          <w:numId w:val="9"/>
        </w:numPr>
      </w:pPr>
      <w:r>
        <w:t>Forest plantations</w:t>
      </w:r>
      <w:r w:rsidR="00424673">
        <w:t xml:space="preserve"> projects can sequester carbon, help preserve biodiversity, restore degraded lands, reduce logging in primary forests, and improve the overall well-being of people who live near them. The design of </w:t>
      </w:r>
      <w:r>
        <w:t>forest plantations</w:t>
      </w:r>
      <w:r w:rsidR="00424673">
        <w:t xml:space="preserve"> projects should be based on the demands and preferences of local people, balancing the need for sequestration with needs for food, fiber, and a healthy ecosystem.</w:t>
      </w:r>
    </w:p>
    <w:p w14:paraId="7993E2AC" w14:textId="2C2E9CA0" w:rsidR="006B20C0" w:rsidRPr="006B20C0" w:rsidRDefault="006B20C0" w:rsidP="006B20C0">
      <w:r>
        <w:t>Nevertheless, despite these advantages, the following potential negative impacts should be taken into</w:t>
      </w:r>
      <w:r w:rsidR="00A50CA2">
        <w:t xml:space="preserve"> </w:t>
      </w:r>
      <w:r>
        <w:t>account:</w:t>
      </w:r>
    </w:p>
    <w:p w14:paraId="4B0D79CF" w14:textId="5BC8F504" w:rsidR="00424673" w:rsidRDefault="00424673" w:rsidP="00424673">
      <w:pPr>
        <w:pStyle w:val="ListParagraph"/>
        <w:numPr>
          <w:ilvl w:val="0"/>
          <w:numId w:val="10"/>
        </w:numPr>
      </w:pPr>
      <w:r>
        <w:t xml:space="preserve">If implemented inappropriately, </w:t>
      </w:r>
      <w:r w:rsidR="000B1629">
        <w:t>forest plantations</w:t>
      </w:r>
      <w:r>
        <w:t xml:space="preserve"> can also cause environmental degradation, through stream flow reduction, erosion, soil salinization and acidification </w:t>
      </w:r>
      <w:r w:rsidR="00CD13B3">
        <w:fldChar w:fldCharType="begin"/>
      </w:r>
      <w:r w:rsidR="00CD13B3">
        <w:instrText xml:space="preserve"> ADDIN ZOTERO_ITEM CSL_CITATION {"citationID":"VG2OQNXY","properties":{"formattedCitation":"(Cao, 2008)","plainCitation":"(Cao, 2008)","noteIndex":0},"citationItems":[{"id":163,"uris":["http://zotero.org/groups/2241939/items/SXGTSC56"],"uri":["http://zotero.org/groups/2241939/items/SXGTSC56"],"itemData":{"id":163,"type":"article-journal","title":"Why large-scale afforestation efforts in China have failed to solve the desertification problem","container-title":"Environmental Science &amp; Technology","page":"1826–1831","volume":"42","issue":"6","source":"Google Scholar","author":[{"family":"Cao","given":"Shixiong"}],"issued":{"date-parts":[["2008"]]}}}],"schema":"https://github.com/citation-style-language/schema/raw/master/csl-citation.json"} </w:instrText>
      </w:r>
      <w:r w:rsidR="00CD13B3">
        <w:fldChar w:fldCharType="separate"/>
      </w:r>
      <w:r w:rsidR="00CD13B3" w:rsidRPr="00CD13B3">
        <w:rPr>
          <w:rFonts w:cs="Times New Roman"/>
        </w:rPr>
        <w:t>(Cao, 2008)</w:t>
      </w:r>
      <w:r w:rsidR="00CD13B3">
        <w:fldChar w:fldCharType="end"/>
      </w:r>
      <w:r>
        <w:t xml:space="preserve">. </w:t>
      </w:r>
    </w:p>
    <w:p w14:paraId="5F06D024" w14:textId="25FB5B53" w:rsidR="00424673" w:rsidRDefault="000B1629" w:rsidP="00424673">
      <w:pPr>
        <w:pStyle w:val="ListParagraph"/>
        <w:numPr>
          <w:ilvl w:val="0"/>
          <w:numId w:val="10"/>
        </w:numPr>
      </w:pPr>
      <w:r>
        <w:lastRenderedPageBreak/>
        <w:t>Forest plantations</w:t>
      </w:r>
      <w:r w:rsidR="00424673">
        <w:t xml:space="preserve"> on marginal lands can require significant fertilizer input, often in the form of nitrogen, which can generate potent greenhouse gases </w:t>
      </w:r>
      <w:r w:rsidR="00CD13B3">
        <w:fldChar w:fldCharType="begin"/>
      </w:r>
      <w:r w:rsidR="00CD13B3">
        <w:instrText xml:space="preserve"> ADDIN ZOTERO_ITEM CSL_CITATION {"citationID":"qbIr993z","properties":{"formattedCitation":"(Oren et al., 2001)","plainCitation":"(Oren et al., 2001)","noteIndex":0},"citationItems":[{"id":39,"uris":["http://zotero.org/groups/2241939/items/F75FDAB9"],"uri":["http://zotero.org/groups/2241939/items/F75FDAB9"],"itemData":{"id":39,"type":"article-journal","title":"Soil fertility limits carbon sequestration by forest ecosystems in a CO2-enriched atmosphere","container-title":"Nature","page":"469–472","volume":"411","issue":"6836","source":"Google Scholar","author":[{"family":"Oren","given":"Ram"},{"family":"Ellsworth","given":"David S."},{"family":"Johnsen","given":"Kurt H."},{"family":"Phillips","given":"Nathan"},{"family":"Ewers","given":"Brent E."},{"family":"Maier","given":"Chris"},{"family":"Schäfer","given":"Karina VR"},{"family":"McCarthy","given":"Heather"},{"family":"Hendrey","given":"George"},{"family":"McNulty","given":"Steven G."},{"literal":"others"}],"issued":{"date-parts":[["2001"]]}}}],"schema":"https://github.com/citation-style-language/schema/raw/master/csl-citation.json"} </w:instrText>
      </w:r>
      <w:r w:rsidR="00CD13B3">
        <w:fldChar w:fldCharType="separate"/>
      </w:r>
      <w:r w:rsidR="00CD13B3" w:rsidRPr="00CD13B3">
        <w:rPr>
          <w:rFonts w:cs="Times New Roman"/>
        </w:rPr>
        <w:t>(Oren et al., 2001)</w:t>
      </w:r>
      <w:r w:rsidR="00CD13B3">
        <w:fldChar w:fldCharType="end"/>
      </w:r>
      <w:r w:rsidR="00424673">
        <w:t xml:space="preserve">. </w:t>
      </w:r>
    </w:p>
    <w:p w14:paraId="236BDC08" w14:textId="6AAB5629" w:rsidR="00424673" w:rsidRDefault="008D791A" w:rsidP="00424673">
      <w:pPr>
        <w:pStyle w:val="ListParagraph"/>
        <w:numPr>
          <w:ilvl w:val="0"/>
          <w:numId w:val="10"/>
        </w:numPr>
      </w:pPr>
      <w:r>
        <w:rPr>
          <w:rFonts w:eastAsia="Times New Roman" w:cs="Times New Roman"/>
          <w:lang w:eastAsia="en-US"/>
        </w:rPr>
        <w:t>Afforestation</w:t>
      </w:r>
      <w:r w:rsidR="00424673" w:rsidRPr="00C45219">
        <w:rPr>
          <w:rFonts w:eastAsia="Times New Roman" w:cs="Times New Roman"/>
          <w:lang w:eastAsia="en-US"/>
        </w:rPr>
        <w:t xml:space="preserve"> projects do not guarantee long-term carbon sequestration due to</w:t>
      </w:r>
      <w:r w:rsidR="00424673">
        <w:rPr>
          <w:rFonts w:eastAsia="Times New Roman" w:cs="Times New Roman"/>
          <w:lang w:eastAsia="en-US"/>
        </w:rPr>
        <w:t xml:space="preserve"> uncertainty surrounding the risk of</w:t>
      </w:r>
      <w:r w:rsidR="00424673" w:rsidRPr="00C45219">
        <w:rPr>
          <w:rFonts w:eastAsia="Times New Roman" w:cs="Times New Roman"/>
          <w:lang w:eastAsia="en-US"/>
        </w:rPr>
        <w:t xml:space="preserve"> fire, drought, and pests.</w:t>
      </w:r>
      <w:r w:rsidR="00424673">
        <w:rPr>
          <w:rFonts w:eastAsia="Times New Roman" w:cs="Times New Roman"/>
          <w:lang w:eastAsia="en-US"/>
        </w:rPr>
        <w:t xml:space="preserve"> </w:t>
      </w:r>
      <w:r w:rsidR="00424673">
        <w:t>D</w:t>
      </w:r>
      <w:r w:rsidR="00424673" w:rsidRPr="00C45219">
        <w:t>eforestation is always possible, whether natural (through climate change) or human induced.</w:t>
      </w:r>
      <w:r w:rsidR="00424673">
        <w:t xml:space="preserve"> </w:t>
      </w:r>
    </w:p>
    <w:p w14:paraId="7BE4E868" w14:textId="0B63EB5F" w:rsidR="00424673" w:rsidRDefault="008D791A" w:rsidP="00424673">
      <w:pPr>
        <w:pStyle w:val="ListParagraph"/>
        <w:numPr>
          <w:ilvl w:val="0"/>
          <w:numId w:val="10"/>
        </w:numPr>
        <w:shd w:val="clear" w:color="auto" w:fill="FFFFFF"/>
      </w:pPr>
      <w:r>
        <w:t>Afforestation</w:t>
      </w:r>
      <w:r w:rsidR="00424673" w:rsidRPr="00C45219">
        <w:t xml:space="preserve"> ha</w:t>
      </w:r>
      <w:r>
        <w:t>s</w:t>
      </w:r>
      <w:r w:rsidR="00424673" w:rsidRPr="00C45219">
        <w:t xml:space="preserve"> many ecological and economic benefits in addition to carbon sequestration.</w:t>
      </w:r>
      <w:r w:rsidR="00424673">
        <w:t xml:space="preserve"> </w:t>
      </w:r>
      <w:r w:rsidR="00424673" w:rsidRPr="00C45219">
        <w:t>However, forests take decades to establish and to fully realize many</w:t>
      </w:r>
      <w:r w:rsidR="00424673">
        <w:t xml:space="preserve"> of their benefits, especially those from timber harvest. Particularly in developing countries, individuals need government or private support to understand the perhaps unfamiliar timber farming, minimize risks, and provide initial funding. Research and education into appropriate species and management techniques can reduce the risk of environmental degradation from tree-planting.</w:t>
      </w:r>
    </w:p>
    <w:p w14:paraId="10A32622" w14:textId="77777777" w:rsidR="001E5E85" w:rsidRDefault="001E5E85" w:rsidP="00424673">
      <w:pPr>
        <w:rPr>
          <w:highlight w:val="yellow"/>
        </w:rPr>
      </w:pPr>
    </w:p>
    <w:p w14:paraId="5DFAA1EB" w14:textId="77777777" w:rsidR="001E5E85" w:rsidRDefault="001E5E85" w:rsidP="001E5E85">
      <w:pPr>
        <w:pStyle w:val="Heading3"/>
      </w:pPr>
      <w:bookmarkStart w:id="15" w:name="_Toc533862126"/>
      <w:bookmarkStart w:id="16" w:name="_Toc18443086"/>
      <w:r w:rsidRPr="551A77D0">
        <w:t>Additional Benefits and Burdens</w:t>
      </w:r>
      <w:bookmarkStart w:id="17" w:name="_Toc524993438"/>
      <w:bookmarkEnd w:id="15"/>
      <w:bookmarkEnd w:id="16"/>
    </w:p>
    <w:p w14:paraId="73229DB8" w14:textId="70839E03" w:rsidR="001E5E85" w:rsidRPr="00EF1970" w:rsidRDefault="001E5E85" w:rsidP="001E5E85">
      <w:r>
        <w:t xml:space="preserve">Here this solution is compared with other solutions in the biomass production cluster for farm, ecosystem, and social impacts. </w:t>
      </w:r>
      <w:r w:rsidR="009014D2">
        <w:t>Like other biomass solutions, afforestation increases commercial biomass production but has inferior ecosystem services when compared to ecosystem protection and restoration solutions.</w:t>
      </w:r>
      <w:r>
        <w:t xml:space="preserve"> </w:t>
      </w:r>
    </w:p>
    <w:p w14:paraId="7EC33266" w14:textId="5D0F1F34" w:rsidR="00B34A39" w:rsidRDefault="00172CCC" w:rsidP="00172CCC">
      <w:pPr>
        <w:pStyle w:val="Caption"/>
        <w:keepNext/>
      </w:pPr>
      <w:bookmarkStart w:id="18" w:name="_Toc18443154"/>
      <w:bookmarkEnd w:id="17"/>
      <w:r>
        <w:t xml:space="preserve">Table </w:t>
      </w:r>
      <w:fldSimple w:instr=" STYLEREF 1 \s ">
        <w:r w:rsidR="00636BAC">
          <w:rPr>
            <w:noProof/>
          </w:rPr>
          <w:t>1</w:t>
        </w:r>
      </w:fldSimple>
      <w:r>
        <w:t>.</w:t>
      </w:r>
      <w:fldSimple w:instr=" SEQ Table \* ARABIC \s 1 ">
        <w:r w:rsidR="00636BAC">
          <w:rPr>
            <w:noProof/>
          </w:rPr>
          <w:t>2</w:t>
        </w:r>
      </w:fldSimple>
      <w:r>
        <w:t xml:space="preserve">: </w:t>
      </w:r>
      <w:r w:rsidR="00B34A39">
        <w:t>Land Use</w:t>
      </w:r>
      <w:r w:rsidR="00B34A39" w:rsidRPr="009734C3">
        <w:t xml:space="preserve"> Solutions Comparison: </w:t>
      </w:r>
      <w:r w:rsidR="00B34A39">
        <w:t>Economic</w:t>
      </w:r>
      <w:r w:rsidR="00B34A39" w:rsidRPr="009734C3">
        <w:t xml:space="preserve"> Impacts</w:t>
      </w:r>
      <w:bookmarkEnd w:id="18"/>
    </w:p>
    <w:p w14:paraId="217179EE" w14:textId="77777777" w:rsidR="00B34A39" w:rsidRPr="003016AA" w:rsidRDefault="00B34A39" w:rsidP="00B34A39">
      <w:r w:rsidRPr="00B34A39">
        <w:rPr>
          <w:rFonts w:cstheme="minorHAnsi"/>
          <w:b/>
          <w:color w:val="000000" w:themeColor="text1"/>
          <w:sz w:val="18"/>
          <w:szCs w:val="18"/>
        </w:rPr>
        <w:t>First Cost</w:t>
      </w:r>
      <w:r w:rsidRPr="00B34A39">
        <w:rPr>
          <w:rFonts w:cstheme="minorHAnsi"/>
          <w:color w:val="000000" w:themeColor="text1"/>
          <w:sz w:val="18"/>
          <w:szCs w:val="18"/>
        </w:rPr>
        <w:t>: Free is $0</w:t>
      </w:r>
      <w:r w:rsidRPr="00B34A39">
        <w:rPr>
          <w:rFonts w:cstheme="minorHAnsi"/>
          <w:b/>
          <w:color w:val="000000" w:themeColor="text1"/>
          <w:sz w:val="18"/>
          <w:szCs w:val="18"/>
        </w:rPr>
        <w:t xml:space="preserve">, </w:t>
      </w:r>
      <w:r w:rsidRPr="00B34A39">
        <w:rPr>
          <w:rFonts w:cstheme="minorHAnsi"/>
          <w:color w:val="000000" w:themeColor="text1"/>
          <w:sz w:val="18"/>
          <w:szCs w:val="18"/>
        </w:rPr>
        <w:t xml:space="preserve">Low is $1-100, Medium is $100-500, Expensive is $500+. </w:t>
      </w:r>
      <w:r w:rsidRPr="00B34A39">
        <w:rPr>
          <w:rFonts w:cstheme="minorHAnsi"/>
          <w:b/>
          <w:color w:val="000000" w:themeColor="text1"/>
          <w:sz w:val="18"/>
          <w:szCs w:val="18"/>
        </w:rPr>
        <w:t xml:space="preserve">Net Profit Margin: </w:t>
      </w:r>
      <w:r w:rsidRPr="00B34A39">
        <w:rPr>
          <w:rFonts w:cstheme="minorHAnsi"/>
          <w:color w:val="000000" w:themeColor="text1"/>
          <w:sz w:val="18"/>
          <w:szCs w:val="18"/>
        </w:rPr>
        <w:t xml:space="preserve">Low is $0-100/ha, Medium is $100-500, High is $500+. </w:t>
      </w:r>
      <w:r w:rsidRPr="00B34A39">
        <w:rPr>
          <w:rFonts w:cstheme="minorHAnsi"/>
          <w:b/>
          <w:color w:val="000000" w:themeColor="text1"/>
          <w:sz w:val="18"/>
          <w:szCs w:val="18"/>
        </w:rPr>
        <w:t xml:space="preserve">Value of Ecosystem Services: </w:t>
      </w:r>
      <w:r w:rsidRPr="00B34A39">
        <w:rPr>
          <w:rFonts w:cstheme="minorHAnsi"/>
          <w:color w:val="000000" w:themeColor="text1"/>
          <w:sz w:val="18"/>
          <w:szCs w:val="18"/>
        </w:rPr>
        <w:t xml:space="preserve">Set values for very high, high, medium, low. </w:t>
      </w:r>
      <w:r w:rsidRPr="00B34A39">
        <w:rPr>
          <w:rFonts w:cstheme="minorHAnsi"/>
          <w:b/>
          <w:bCs/>
          <w:color w:val="000000" w:themeColor="text1"/>
          <w:sz w:val="18"/>
          <w:szCs w:val="18"/>
        </w:rPr>
        <w:t xml:space="preserve">Timber and Biomass Production: </w:t>
      </w:r>
      <w:r w:rsidRPr="00B34A39">
        <w:rPr>
          <w:rFonts w:cstheme="minorHAnsi"/>
          <w:color w:val="000000" w:themeColor="text1"/>
          <w:sz w:val="18"/>
          <w:szCs w:val="18"/>
        </w:rPr>
        <w:t>Decrease indicates restriction of logging where it currently occurs; Increase indicates new commercial biomass production where it does not currently occur.</w:t>
      </w:r>
    </w:p>
    <w:tbl>
      <w:tblPr>
        <w:tblStyle w:val="TableGrid"/>
        <w:tblW w:w="9350" w:type="dxa"/>
        <w:tblLook w:val="04A0" w:firstRow="1" w:lastRow="0" w:firstColumn="1" w:lastColumn="0" w:noHBand="0" w:noVBand="1"/>
      </w:tblPr>
      <w:tblGrid>
        <w:gridCol w:w="2875"/>
        <w:gridCol w:w="1620"/>
        <w:gridCol w:w="1620"/>
        <w:gridCol w:w="1620"/>
        <w:gridCol w:w="1615"/>
      </w:tblGrid>
      <w:tr w:rsidR="00B34A39" w:rsidRPr="00E91BE1" w14:paraId="4F542154" w14:textId="77777777" w:rsidTr="006F3213">
        <w:trPr>
          <w:cantSplit/>
          <w:trHeight w:val="594"/>
          <w:tblHeader/>
        </w:trPr>
        <w:tc>
          <w:tcPr>
            <w:tcW w:w="2875" w:type="dxa"/>
            <w:shd w:val="clear" w:color="auto" w:fill="4F81BD" w:themeFill="accent1"/>
          </w:tcPr>
          <w:p w14:paraId="195F5124" w14:textId="77777777" w:rsidR="00B34A39" w:rsidRPr="00E91BE1" w:rsidRDefault="00B34A39" w:rsidP="006F3213">
            <w:pPr>
              <w:jc w:val="center"/>
              <w:rPr>
                <w:b/>
                <w:color w:val="FFFFFF" w:themeColor="background1"/>
                <w:sz w:val="20"/>
                <w:szCs w:val="20"/>
              </w:rPr>
            </w:pPr>
          </w:p>
        </w:tc>
        <w:tc>
          <w:tcPr>
            <w:tcW w:w="1620" w:type="dxa"/>
            <w:shd w:val="clear" w:color="auto" w:fill="4F81BD" w:themeFill="accent1"/>
          </w:tcPr>
          <w:p w14:paraId="78B895F6" w14:textId="77777777" w:rsidR="00B34A39" w:rsidRPr="00E91BE1" w:rsidRDefault="00B34A39" w:rsidP="006F3213">
            <w:pPr>
              <w:jc w:val="center"/>
              <w:rPr>
                <w:b/>
                <w:color w:val="FFFFFF" w:themeColor="background1"/>
                <w:sz w:val="20"/>
                <w:szCs w:val="20"/>
              </w:rPr>
            </w:pPr>
            <w:r>
              <w:rPr>
                <w:b/>
                <w:color w:val="FFFFFF" w:themeColor="background1"/>
                <w:sz w:val="20"/>
                <w:szCs w:val="20"/>
              </w:rPr>
              <w:t>First Cost $/ha</w:t>
            </w:r>
          </w:p>
        </w:tc>
        <w:tc>
          <w:tcPr>
            <w:tcW w:w="1620" w:type="dxa"/>
            <w:shd w:val="clear" w:color="auto" w:fill="4F81BD" w:themeFill="accent1"/>
          </w:tcPr>
          <w:p w14:paraId="5C5DEDEF" w14:textId="77777777" w:rsidR="00B34A39" w:rsidRPr="00E91BE1" w:rsidRDefault="00B34A39" w:rsidP="006F3213">
            <w:pPr>
              <w:jc w:val="center"/>
              <w:rPr>
                <w:b/>
                <w:color w:val="FFFFFF" w:themeColor="background1"/>
                <w:sz w:val="20"/>
                <w:szCs w:val="20"/>
              </w:rPr>
            </w:pPr>
            <w:r>
              <w:rPr>
                <w:b/>
                <w:color w:val="FFFFFF" w:themeColor="background1"/>
                <w:sz w:val="20"/>
                <w:szCs w:val="20"/>
              </w:rPr>
              <w:t>Net Profit $/ha</w:t>
            </w:r>
          </w:p>
        </w:tc>
        <w:tc>
          <w:tcPr>
            <w:tcW w:w="1620" w:type="dxa"/>
            <w:shd w:val="clear" w:color="auto" w:fill="4F81BD" w:themeFill="accent1"/>
          </w:tcPr>
          <w:p w14:paraId="1A7DD580" w14:textId="77777777" w:rsidR="00B34A39" w:rsidRPr="00E91BE1" w:rsidRDefault="00B34A39" w:rsidP="006F3213">
            <w:pPr>
              <w:jc w:val="center"/>
              <w:rPr>
                <w:b/>
                <w:color w:val="FFFFFF" w:themeColor="background1"/>
                <w:sz w:val="20"/>
                <w:szCs w:val="20"/>
              </w:rPr>
            </w:pPr>
            <w:r>
              <w:rPr>
                <w:b/>
                <w:color w:val="FFFFFF" w:themeColor="background1"/>
                <w:sz w:val="20"/>
                <w:szCs w:val="20"/>
              </w:rPr>
              <w:t>Value of Ecosystem Services</w:t>
            </w:r>
          </w:p>
        </w:tc>
        <w:tc>
          <w:tcPr>
            <w:tcW w:w="1615" w:type="dxa"/>
            <w:shd w:val="clear" w:color="auto" w:fill="4F81BD" w:themeFill="accent1"/>
          </w:tcPr>
          <w:p w14:paraId="687443A6" w14:textId="77777777" w:rsidR="00B34A39" w:rsidRDefault="00B34A39" w:rsidP="006F3213">
            <w:pPr>
              <w:jc w:val="center"/>
              <w:rPr>
                <w:b/>
                <w:color w:val="FFFFFF" w:themeColor="background1"/>
                <w:sz w:val="20"/>
                <w:szCs w:val="20"/>
              </w:rPr>
            </w:pPr>
            <w:r>
              <w:rPr>
                <w:b/>
                <w:color w:val="FFFFFF" w:themeColor="background1"/>
                <w:sz w:val="20"/>
                <w:szCs w:val="20"/>
              </w:rPr>
              <w:t>Timber and Biomass Production</w:t>
            </w:r>
          </w:p>
        </w:tc>
      </w:tr>
      <w:tr w:rsidR="003631DE" w:rsidRPr="00E91BE1" w14:paraId="4E9E1336" w14:textId="77777777" w:rsidTr="006F3213">
        <w:trPr>
          <w:trHeight w:val="315"/>
        </w:trPr>
        <w:tc>
          <w:tcPr>
            <w:tcW w:w="2875" w:type="dxa"/>
          </w:tcPr>
          <w:p w14:paraId="0E514860" w14:textId="77777777" w:rsidR="003631DE" w:rsidRDefault="003631DE" w:rsidP="006F3213">
            <w:pPr>
              <w:rPr>
                <w:sz w:val="20"/>
                <w:szCs w:val="20"/>
              </w:rPr>
            </w:pPr>
            <w:r>
              <w:rPr>
                <w:sz w:val="20"/>
                <w:szCs w:val="20"/>
              </w:rPr>
              <w:t>Afforestation</w:t>
            </w:r>
          </w:p>
        </w:tc>
        <w:tc>
          <w:tcPr>
            <w:tcW w:w="1620" w:type="dxa"/>
          </w:tcPr>
          <w:p w14:paraId="5F523F66" w14:textId="77777777" w:rsidR="003631DE" w:rsidRPr="003D2054" w:rsidRDefault="003631DE" w:rsidP="006F3213">
            <w:pPr>
              <w:jc w:val="center"/>
              <w:rPr>
                <w:sz w:val="20"/>
                <w:szCs w:val="20"/>
              </w:rPr>
            </w:pPr>
            <w:r>
              <w:rPr>
                <w:sz w:val="20"/>
                <w:szCs w:val="20"/>
              </w:rPr>
              <w:t>Expensive</w:t>
            </w:r>
          </w:p>
        </w:tc>
        <w:tc>
          <w:tcPr>
            <w:tcW w:w="1620" w:type="dxa"/>
          </w:tcPr>
          <w:p w14:paraId="7157128E" w14:textId="77777777" w:rsidR="003631DE" w:rsidRPr="003D2054" w:rsidRDefault="003631DE" w:rsidP="006F3213">
            <w:pPr>
              <w:jc w:val="center"/>
              <w:rPr>
                <w:sz w:val="20"/>
                <w:szCs w:val="20"/>
              </w:rPr>
            </w:pPr>
            <w:r>
              <w:rPr>
                <w:sz w:val="20"/>
                <w:szCs w:val="20"/>
              </w:rPr>
              <w:t>Medium</w:t>
            </w:r>
          </w:p>
        </w:tc>
        <w:tc>
          <w:tcPr>
            <w:tcW w:w="1620" w:type="dxa"/>
          </w:tcPr>
          <w:p w14:paraId="346FBE02" w14:textId="77777777" w:rsidR="003631DE" w:rsidRPr="003D2054" w:rsidRDefault="003631DE" w:rsidP="006F3213">
            <w:pPr>
              <w:jc w:val="center"/>
              <w:rPr>
                <w:sz w:val="20"/>
                <w:szCs w:val="20"/>
              </w:rPr>
            </w:pPr>
            <w:r>
              <w:rPr>
                <w:sz w:val="20"/>
                <w:szCs w:val="20"/>
              </w:rPr>
              <w:t>High</w:t>
            </w:r>
          </w:p>
        </w:tc>
        <w:tc>
          <w:tcPr>
            <w:tcW w:w="1615" w:type="dxa"/>
          </w:tcPr>
          <w:p w14:paraId="3DD92646" w14:textId="77777777" w:rsidR="003631DE" w:rsidRDefault="003631DE" w:rsidP="006F3213">
            <w:pPr>
              <w:jc w:val="center"/>
              <w:rPr>
                <w:sz w:val="20"/>
                <w:szCs w:val="20"/>
              </w:rPr>
            </w:pPr>
            <w:r>
              <w:rPr>
                <w:sz w:val="20"/>
                <w:szCs w:val="20"/>
              </w:rPr>
              <w:t>Increase</w:t>
            </w:r>
          </w:p>
        </w:tc>
      </w:tr>
      <w:tr w:rsidR="00B34A39" w:rsidRPr="00E91BE1" w14:paraId="76B1E65E" w14:textId="77777777" w:rsidTr="006F3213">
        <w:trPr>
          <w:trHeight w:val="334"/>
        </w:trPr>
        <w:tc>
          <w:tcPr>
            <w:tcW w:w="2875" w:type="dxa"/>
          </w:tcPr>
          <w:p w14:paraId="698F6E2D" w14:textId="77777777" w:rsidR="00B34A39" w:rsidRDefault="00B34A39" w:rsidP="006F3213">
            <w:pPr>
              <w:rPr>
                <w:sz w:val="20"/>
                <w:szCs w:val="20"/>
              </w:rPr>
            </w:pPr>
            <w:r>
              <w:rPr>
                <w:sz w:val="20"/>
                <w:szCs w:val="20"/>
              </w:rPr>
              <w:t>Bamboo</w:t>
            </w:r>
          </w:p>
        </w:tc>
        <w:tc>
          <w:tcPr>
            <w:tcW w:w="1620" w:type="dxa"/>
          </w:tcPr>
          <w:p w14:paraId="3E82AC4F" w14:textId="77777777" w:rsidR="00B34A39" w:rsidRPr="003D2054" w:rsidRDefault="00B34A39" w:rsidP="006F3213">
            <w:pPr>
              <w:jc w:val="center"/>
              <w:rPr>
                <w:sz w:val="20"/>
                <w:szCs w:val="20"/>
              </w:rPr>
            </w:pPr>
            <w:r>
              <w:rPr>
                <w:sz w:val="20"/>
                <w:szCs w:val="20"/>
              </w:rPr>
              <w:t>Expensive</w:t>
            </w:r>
          </w:p>
        </w:tc>
        <w:tc>
          <w:tcPr>
            <w:tcW w:w="1620" w:type="dxa"/>
          </w:tcPr>
          <w:p w14:paraId="3619251F" w14:textId="77777777" w:rsidR="00B34A39" w:rsidRPr="003D2054" w:rsidRDefault="00B34A39" w:rsidP="006F3213">
            <w:pPr>
              <w:jc w:val="center"/>
              <w:rPr>
                <w:sz w:val="20"/>
                <w:szCs w:val="20"/>
              </w:rPr>
            </w:pPr>
            <w:r>
              <w:rPr>
                <w:sz w:val="20"/>
                <w:szCs w:val="20"/>
              </w:rPr>
              <w:t>Medium</w:t>
            </w:r>
          </w:p>
        </w:tc>
        <w:tc>
          <w:tcPr>
            <w:tcW w:w="1620" w:type="dxa"/>
          </w:tcPr>
          <w:p w14:paraId="7DB1E89B" w14:textId="77777777" w:rsidR="00B34A39" w:rsidRPr="003D2054" w:rsidRDefault="00B34A39" w:rsidP="006F3213">
            <w:pPr>
              <w:jc w:val="center"/>
              <w:rPr>
                <w:sz w:val="20"/>
                <w:szCs w:val="20"/>
              </w:rPr>
            </w:pPr>
            <w:r>
              <w:rPr>
                <w:sz w:val="20"/>
                <w:szCs w:val="20"/>
              </w:rPr>
              <w:t>High</w:t>
            </w:r>
          </w:p>
        </w:tc>
        <w:tc>
          <w:tcPr>
            <w:tcW w:w="1615" w:type="dxa"/>
          </w:tcPr>
          <w:p w14:paraId="2D35740D" w14:textId="77777777" w:rsidR="00B34A39" w:rsidRDefault="00B34A39" w:rsidP="006F3213">
            <w:pPr>
              <w:jc w:val="center"/>
              <w:rPr>
                <w:sz w:val="20"/>
                <w:szCs w:val="20"/>
              </w:rPr>
            </w:pPr>
            <w:r>
              <w:rPr>
                <w:sz w:val="20"/>
                <w:szCs w:val="20"/>
              </w:rPr>
              <w:t>Increase</w:t>
            </w:r>
          </w:p>
        </w:tc>
      </w:tr>
      <w:tr w:rsidR="00B34A39" w:rsidRPr="00E91BE1" w14:paraId="5F950A57" w14:textId="77777777" w:rsidTr="006F3213">
        <w:trPr>
          <w:trHeight w:val="315"/>
        </w:trPr>
        <w:tc>
          <w:tcPr>
            <w:tcW w:w="2875" w:type="dxa"/>
          </w:tcPr>
          <w:p w14:paraId="76846B60" w14:textId="77777777" w:rsidR="00B34A39" w:rsidRDefault="00B34A39" w:rsidP="006F3213">
            <w:pPr>
              <w:rPr>
                <w:sz w:val="20"/>
                <w:szCs w:val="20"/>
              </w:rPr>
            </w:pPr>
            <w:r>
              <w:rPr>
                <w:sz w:val="20"/>
                <w:szCs w:val="20"/>
              </w:rPr>
              <w:t>Forest Protection</w:t>
            </w:r>
          </w:p>
        </w:tc>
        <w:tc>
          <w:tcPr>
            <w:tcW w:w="1620" w:type="dxa"/>
          </w:tcPr>
          <w:p w14:paraId="51184AFE" w14:textId="77777777" w:rsidR="00B34A39" w:rsidRPr="003D2054" w:rsidRDefault="00B34A39" w:rsidP="006F3213">
            <w:pPr>
              <w:jc w:val="center"/>
              <w:rPr>
                <w:sz w:val="20"/>
                <w:szCs w:val="20"/>
              </w:rPr>
            </w:pPr>
            <w:r>
              <w:rPr>
                <w:sz w:val="20"/>
                <w:szCs w:val="20"/>
              </w:rPr>
              <w:t>Not calculated</w:t>
            </w:r>
          </w:p>
        </w:tc>
        <w:tc>
          <w:tcPr>
            <w:tcW w:w="1620" w:type="dxa"/>
          </w:tcPr>
          <w:p w14:paraId="2C01DBB3" w14:textId="77777777" w:rsidR="00B34A39" w:rsidRPr="003D2054" w:rsidRDefault="00B34A39" w:rsidP="006F3213">
            <w:pPr>
              <w:jc w:val="center"/>
              <w:rPr>
                <w:sz w:val="20"/>
                <w:szCs w:val="20"/>
              </w:rPr>
            </w:pPr>
            <w:r>
              <w:rPr>
                <w:sz w:val="20"/>
                <w:szCs w:val="20"/>
              </w:rPr>
              <w:t>Not calculated</w:t>
            </w:r>
          </w:p>
        </w:tc>
        <w:tc>
          <w:tcPr>
            <w:tcW w:w="1620" w:type="dxa"/>
          </w:tcPr>
          <w:p w14:paraId="5E562B4E" w14:textId="77777777" w:rsidR="00B34A39" w:rsidRPr="003D2054" w:rsidRDefault="00B34A39" w:rsidP="006F3213">
            <w:pPr>
              <w:jc w:val="center"/>
              <w:rPr>
                <w:sz w:val="20"/>
                <w:szCs w:val="20"/>
              </w:rPr>
            </w:pPr>
            <w:r>
              <w:rPr>
                <w:sz w:val="20"/>
                <w:szCs w:val="20"/>
              </w:rPr>
              <w:t>Very high</w:t>
            </w:r>
          </w:p>
        </w:tc>
        <w:tc>
          <w:tcPr>
            <w:tcW w:w="1615" w:type="dxa"/>
          </w:tcPr>
          <w:p w14:paraId="2AC841E7" w14:textId="77777777" w:rsidR="00B34A39" w:rsidRPr="003D2054" w:rsidRDefault="00B34A39" w:rsidP="006F3213">
            <w:pPr>
              <w:jc w:val="center"/>
              <w:rPr>
                <w:sz w:val="20"/>
                <w:szCs w:val="20"/>
              </w:rPr>
            </w:pPr>
            <w:r>
              <w:rPr>
                <w:sz w:val="20"/>
                <w:szCs w:val="20"/>
              </w:rPr>
              <w:t>Decrease</w:t>
            </w:r>
          </w:p>
        </w:tc>
      </w:tr>
      <w:tr w:rsidR="00B34A39" w:rsidRPr="00E91BE1" w14:paraId="355DFA21" w14:textId="77777777" w:rsidTr="006F3213">
        <w:trPr>
          <w:trHeight w:val="315"/>
        </w:trPr>
        <w:tc>
          <w:tcPr>
            <w:tcW w:w="2875" w:type="dxa"/>
          </w:tcPr>
          <w:p w14:paraId="73BA9A1F" w14:textId="77777777" w:rsidR="00B34A39" w:rsidRPr="003D2054" w:rsidRDefault="00B34A39" w:rsidP="006F3213">
            <w:pPr>
              <w:rPr>
                <w:sz w:val="20"/>
                <w:szCs w:val="20"/>
              </w:rPr>
            </w:pPr>
            <w:r>
              <w:rPr>
                <w:sz w:val="20"/>
                <w:szCs w:val="20"/>
              </w:rPr>
              <w:t>Indigenous People’s Forest Management</w:t>
            </w:r>
          </w:p>
        </w:tc>
        <w:tc>
          <w:tcPr>
            <w:tcW w:w="1620" w:type="dxa"/>
          </w:tcPr>
          <w:p w14:paraId="58B79464" w14:textId="77777777" w:rsidR="00B34A39" w:rsidRPr="003D2054" w:rsidRDefault="00B34A39" w:rsidP="006F3213">
            <w:pPr>
              <w:jc w:val="center"/>
              <w:rPr>
                <w:sz w:val="20"/>
                <w:szCs w:val="20"/>
              </w:rPr>
            </w:pPr>
            <w:r>
              <w:rPr>
                <w:sz w:val="20"/>
                <w:szCs w:val="20"/>
              </w:rPr>
              <w:t>Not calculated</w:t>
            </w:r>
          </w:p>
        </w:tc>
        <w:tc>
          <w:tcPr>
            <w:tcW w:w="1620" w:type="dxa"/>
          </w:tcPr>
          <w:p w14:paraId="15C4A75C" w14:textId="77777777" w:rsidR="00B34A39" w:rsidRPr="003D2054" w:rsidRDefault="00B34A39" w:rsidP="006F3213">
            <w:pPr>
              <w:jc w:val="center"/>
              <w:rPr>
                <w:sz w:val="20"/>
                <w:szCs w:val="20"/>
              </w:rPr>
            </w:pPr>
            <w:r>
              <w:rPr>
                <w:sz w:val="20"/>
                <w:szCs w:val="20"/>
              </w:rPr>
              <w:t>Not calculated</w:t>
            </w:r>
          </w:p>
        </w:tc>
        <w:tc>
          <w:tcPr>
            <w:tcW w:w="1620" w:type="dxa"/>
          </w:tcPr>
          <w:p w14:paraId="34551E88" w14:textId="77777777" w:rsidR="00B34A39" w:rsidRPr="003D2054" w:rsidRDefault="00B34A39" w:rsidP="006F3213">
            <w:pPr>
              <w:jc w:val="center"/>
              <w:rPr>
                <w:sz w:val="20"/>
                <w:szCs w:val="20"/>
              </w:rPr>
            </w:pPr>
            <w:r>
              <w:rPr>
                <w:sz w:val="20"/>
                <w:szCs w:val="20"/>
              </w:rPr>
              <w:t>Very high</w:t>
            </w:r>
          </w:p>
        </w:tc>
        <w:tc>
          <w:tcPr>
            <w:tcW w:w="1615" w:type="dxa"/>
          </w:tcPr>
          <w:p w14:paraId="40812464" w14:textId="77777777" w:rsidR="00B34A39" w:rsidRDefault="00B34A39" w:rsidP="006F3213">
            <w:pPr>
              <w:jc w:val="center"/>
            </w:pPr>
            <w:r w:rsidRPr="00A839DF">
              <w:rPr>
                <w:sz w:val="20"/>
                <w:szCs w:val="20"/>
              </w:rPr>
              <w:t>Decrease</w:t>
            </w:r>
          </w:p>
        </w:tc>
      </w:tr>
      <w:tr w:rsidR="00B34A39" w:rsidRPr="00E91BE1" w14:paraId="0B7557C1" w14:textId="77777777" w:rsidTr="006F3213">
        <w:trPr>
          <w:trHeight w:val="352"/>
        </w:trPr>
        <w:tc>
          <w:tcPr>
            <w:tcW w:w="2875" w:type="dxa"/>
          </w:tcPr>
          <w:p w14:paraId="715189BE" w14:textId="77777777" w:rsidR="00B34A39" w:rsidRPr="003D2054" w:rsidRDefault="00B34A39" w:rsidP="006F3213">
            <w:pPr>
              <w:rPr>
                <w:sz w:val="20"/>
                <w:szCs w:val="20"/>
              </w:rPr>
            </w:pPr>
            <w:r>
              <w:rPr>
                <w:sz w:val="20"/>
                <w:szCs w:val="20"/>
              </w:rPr>
              <w:t>Peatland Protection</w:t>
            </w:r>
          </w:p>
        </w:tc>
        <w:tc>
          <w:tcPr>
            <w:tcW w:w="1620" w:type="dxa"/>
          </w:tcPr>
          <w:p w14:paraId="601E4258" w14:textId="77777777" w:rsidR="00B34A39" w:rsidRPr="003D2054" w:rsidRDefault="00B34A39" w:rsidP="006F3213">
            <w:pPr>
              <w:jc w:val="center"/>
              <w:rPr>
                <w:sz w:val="20"/>
                <w:szCs w:val="20"/>
              </w:rPr>
            </w:pPr>
            <w:r>
              <w:rPr>
                <w:sz w:val="20"/>
                <w:szCs w:val="20"/>
              </w:rPr>
              <w:t>Not calculated</w:t>
            </w:r>
          </w:p>
        </w:tc>
        <w:tc>
          <w:tcPr>
            <w:tcW w:w="1620" w:type="dxa"/>
          </w:tcPr>
          <w:p w14:paraId="03E421C8" w14:textId="77777777" w:rsidR="00B34A39" w:rsidRPr="003D2054" w:rsidRDefault="00B34A39" w:rsidP="006F3213">
            <w:pPr>
              <w:jc w:val="center"/>
              <w:rPr>
                <w:sz w:val="20"/>
                <w:szCs w:val="20"/>
              </w:rPr>
            </w:pPr>
            <w:r>
              <w:rPr>
                <w:sz w:val="20"/>
                <w:szCs w:val="20"/>
              </w:rPr>
              <w:t>Not calculated</w:t>
            </w:r>
          </w:p>
        </w:tc>
        <w:tc>
          <w:tcPr>
            <w:tcW w:w="1620" w:type="dxa"/>
          </w:tcPr>
          <w:p w14:paraId="61F0BA24" w14:textId="77777777" w:rsidR="00B34A39" w:rsidRPr="003D2054" w:rsidRDefault="00B34A39" w:rsidP="006F3213">
            <w:pPr>
              <w:jc w:val="center"/>
              <w:rPr>
                <w:sz w:val="20"/>
                <w:szCs w:val="20"/>
              </w:rPr>
            </w:pPr>
            <w:r>
              <w:rPr>
                <w:sz w:val="20"/>
                <w:szCs w:val="20"/>
              </w:rPr>
              <w:t>Very high</w:t>
            </w:r>
          </w:p>
        </w:tc>
        <w:tc>
          <w:tcPr>
            <w:tcW w:w="1615" w:type="dxa"/>
          </w:tcPr>
          <w:p w14:paraId="6B21D1AA" w14:textId="77777777" w:rsidR="00B34A39" w:rsidRDefault="00B34A39" w:rsidP="006F3213">
            <w:pPr>
              <w:jc w:val="center"/>
            </w:pPr>
            <w:r w:rsidRPr="00A839DF">
              <w:rPr>
                <w:sz w:val="20"/>
                <w:szCs w:val="20"/>
              </w:rPr>
              <w:t>Decrease</w:t>
            </w:r>
          </w:p>
        </w:tc>
      </w:tr>
      <w:tr w:rsidR="00B34A39" w:rsidRPr="00E91BE1" w14:paraId="1A4B96EB" w14:textId="77777777" w:rsidTr="006F3213">
        <w:trPr>
          <w:trHeight w:val="352"/>
        </w:trPr>
        <w:tc>
          <w:tcPr>
            <w:tcW w:w="2875" w:type="dxa"/>
          </w:tcPr>
          <w:p w14:paraId="2FB4374B" w14:textId="77777777" w:rsidR="00B34A39" w:rsidRDefault="00B34A39" w:rsidP="006F3213">
            <w:pPr>
              <w:rPr>
                <w:sz w:val="20"/>
                <w:szCs w:val="20"/>
              </w:rPr>
            </w:pPr>
            <w:r>
              <w:rPr>
                <w:sz w:val="20"/>
                <w:szCs w:val="20"/>
              </w:rPr>
              <w:t>Perennial Biomass</w:t>
            </w:r>
          </w:p>
        </w:tc>
        <w:tc>
          <w:tcPr>
            <w:tcW w:w="1620" w:type="dxa"/>
          </w:tcPr>
          <w:p w14:paraId="2FBA0A38" w14:textId="77777777" w:rsidR="00B34A39" w:rsidRPr="003D2054" w:rsidRDefault="00B34A39" w:rsidP="006F3213">
            <w:pPr>
              <w:jc w:val="center"/>
              <w:rPr>
                <w:sz w:val="20"/>
                <w:szCs w:val="20"/>
              </w:rPr>
            </w:pPr>
            <w:r>
              <w:rPr>
                <w:sz w:val="20"/>
                <w:szCs w:val="20"/>
              </w:rPr>
              <w:t>Expensive</w:t>
            </w:r>
          </w:p>
        </w:tc>
        <w:tc>
          <w:tcPr>
            <w:tcW w:w="1620" w:type="dxa"/>
          </w:tcPr>
          <w:p w14:paraId="0F26D53F" w14:textId="77777777" w:rsidR="00B34A39" w:rsidRPr="003D2054" w:rsidRDefault="00B34A39" w:rsidP="006F3213">
            <w:pPr>
              <w:jc w:val="center"/>
              <w:rPr>
                <w:sz w:val="20"/>
                <w:szCs w:val="20"/>
              </w:rPr>
            </w:pPr>
            <w:r>
              <w:rPr>
                <w:sz w:val="20"/>
                <w:szCs w:val="20"/>
              </w:rPr>
              <w:t>Medium</w:t>
            </w:r>
          </w:p>
        </w:tc>
        <w:tc>
          <w:tcPr>
            <w:tcW w:w="1620" w:type="dxa"/>
          </w:tcPr>
          <w:p w14:paraId="5FCF8FA0" w14:textId="77777777" w:rsidR="00B34A39" w:rsidRPr="003D2054" w:rsidRDefault="00B34A39" w:rsidP="006F3213">
            <w:pPr>
              <w:jc w:val="center"/>
              <w:rPr>
                <w:sz w:val="20"/>
                <w:szCs w:val="20"/>
              </w:rPr>
            </w:pPr>
            <w:r>
              <w:rPr>
                <w:sz w:val="20"/>
                <w:szCs w:val="20"/>
              </w:rPr>
              <w:t>Medium</w:t>
            </w:r>
          </w:p>
        </w:tc>
        <w:tc>
          <w:tcPr>
            <w:tcW w:w="1615" w:type="dxa"/>
          </w:tcPr>
          <w:p w14:paraId="38C5E0BD" w14:textId="77777777" w:rsidR="00B34A39" w:rsidRDefault="00B34A39" w:rsidP="006F3213">
            <w:pPr>
              <w:jc w:val="center"/>
              <w:rPr>
                <w:sz w:val="20"/>
                <w:szCs w:val="20"/>
              </w:rPr>
            </w:pPr>
            <w:r>
              <w:rPr>
                <w:sz w:val="20"/>
                <w:szCs w:val="20"/>
              </w:rPr>
              <w:t>Increase</w:t>
            </w:r>
          </w:p>
        </w:tc>
      </w:tr>
      <w:tr w:rsidR="00B34A39" w:rsidRPr="00E91BE1" w14:paraId="60695FFA" w14:textId="77777777" w:rsidTr="006F3213">
        <w:trPr>
          <w:trHeight w:val="352"/>
        </w:trPr>
        <w:tc>
          <w:tcPr>
            <w:tcW w:w="2875" w:type="dxa"/>
          </w:tcPr>
          <w:p w14:paraId="60E96A32" w14:textId="77777777" w:rsidR="00B34A39" w:rsidRPr="003D2054" w:rsidRDefault="00B34A39" w:rsidP="006F3213">
            <w:pPr>
              <w:rPr>
                <w:sz w:val="20"/>
                <w:szCs w:val="20"/>
              </w:rPr>
            </w:pPr>
            <w:r>
              <w:rPr>
                <w:sz w:val="20"/>
                <w:szCs w:val="20"/>
              </w:rPr>
              <w:lastRenderedPageBreak/>
              <w:t>Temperate Forest Restoration</w:t>
            </w:r>
          </w:p>
        </w:tc>
        <w:tc>
          <w:tcPr>
            <w:tcW w:w="1620" w:type="dxa"/>
          </w:tcPr>
          <w:p w14:paraId="759BDC2C" w14:textId="77777777" w:rsidR="00B34A39" w:rsidRPr="003D2054" w:rsidRDefault="00B34A39" w:rsidP="006F3213">
            <w:pPr>
              <w:jc w:val="center"/>
              <w:rPr>
                <w:sz w:val="20"/>
                <w:szCs w:val="20"/>
              </w:rPr>
            </w:pPr>
            <w:r>
              <w:rPr>
                <w:sz w:val="20"/>
                <w:szCs w:val="20"/>
              </w:rPr>
              <w:t>Not calculated</w:t>
            </w:r>
          </w:p>
        </w:tc>
        <w:tc>
          <w:tcPr>
            <w:tcW w:w="1620" w:type="dxa"/>
          </w:tcPr>
          <w:p w14:paraId="775A8648" w14:textId="77777777" w:rsidR="00B34A39" w:rsidRPr="003D2054" w:rsidRDefault="00B34A39" w:rsidP="006F3213">
            <w:pPr>
              <w:jc w:val="center"/>
              <w:rPr>
                <w:sz w:val="20"/>
                <w:szCs w:val="20"/>
              </w:rPr>
            </w:pPr>
            <w:r>
              <w:rPr>
                <w:sz w:val="20"/>
                <w:szCs w:val="20"/>
              </w:rPr>
              <w:t>Not calculated</w:t>
            </w:r>
          </w:p>
        </w:tc>
        <w:tc>
          <w:tcPr>
            <w:tcW w:w="1620" w:type="dxa"/>
          </w:tcPr>
          <w:p w14:paraId="66DE7390" w14:textId="77777777" w:rsidR="00B34A39" w:rsidRPr="003D2054" w:rsidRDefault="00B34A39" w:rsidP="006F3213">
            <w:pPr>
              <w:jc w:val="center"/>
              <w:rPr>
                <w:sz w:val="20"/>
                <w:szCs w:val="20"/>
              </w:rPr>
            </w:pPr>
            <w:r>
              <w:rPr>
                <w:sz w:val="20"/>
                <w:szCs w:val="20"/>
              </w:rPr>
              <w:t>High</w:t>
            </w:r>
          </w:p>
        </w:tc>
        <w:tc>
          <w:tcPr>
            <w:tcW w:w="1615" w:type="dxa"/>
          </w:tcPr>
          <w:p w14:paraId="7F043B71" w14:textId="77777777" w:rsidR="00B34A39" w:rsidRPr="003D2054" w:rsidRDefault="00B34A39" w:rsidP="006F3213">
            <w:pPr>
              <w:jc w:val="center"/>
              <w:rPr>
                <w:sz w:val="20"/>
                <w:szCs w:val="20"/>
              </w:rPr>
            </w:pPr>
            <w:r>
              <w:rPr>
                <w:sz w:val="20"/>
                <w:szCs w:val="20"/>
              </w:rPr>
              <w:t>n/a</w:t>
            </w:r>
          </w:p>
        </w:tc>
      </w:tr>
      <w:tr w:rsidR="00B34A39" w:rsidRPr="00E91BE1" w14:paraId="1620D5F6" w14:textId="77777777" w:rsidTr="006F3213">
        <w:trPr>
          <w:trHeight w:val="352"/>
        </w:trPr>
        <w:tc>
          <w:tcPr>
            <w:tcW w:w="2875" w:type="dxa"/>
          </w:tcPr>
          <w:p w14:paraId="4593D276" w14:textId="77777777" w:rsidR="00B34A39" w:rsidRPr="003D2054" w:rsidRDefault="00B34A39" w:rsidP="006F3213">
            <w:pPr>
              <w:rPr>
                <w:sz w:val="20"/>
                <w:szCs w:val="20"/>
              </w:rPr>
            </w:pPr>
            <w:r>
              <w:rPr>
                <w:sz w:val="20"/>
                <w:szCs w:val="20"/>
              </w:rPr>
              <w:t>Tropical Forest Restoration</w:t>
            </w:r>
          </w:p>
        </w:tc>
        <w:tc>
          <w:tcPr>
            <w:tcW w:w="1620" w:type="dxa"/>
          </w:tcPr>
          <w:p w14:paraId="52FDCE22" w14:textId="77777777" w:rsidR="00B34A39" w:rsidRPr="003D2054" w:rsidRDefault="00B34A39" w:rsidP="006F3213">
            <w:pPr>
              <w:jc w:val="center"/>
              <w:rPr>
                <w:sz w:val="20"/>
                <w:szCs w:val="20"/>
              </w:rPr>
            </w:pPr>
            <w:r>
              <w:rPr>
                <w:sz w:val="20"/>
                <w:szCs w:val="20"/>
              </w:rPr>
              <w:t>Not calculated</w:t>
            </w:r>
          </w:p>
        </w:tc>
        <w:tc>
          <w:tcPr>
            <w:tcW w:w="1620" w:type="dxa"/>
          </w:tcPr>
          <w:p w14:paraId="6DD9E350" w14:textId="77777777" w:rsidR="00B34A39" w:rsidRPr="003D2054" w:rsidRDefault="00B34A39" w:rsidP="006F3213">
            <w:pPr>
              <w:jc w:val="center"/>
              <w:rPr>
                <w:sz w:val="20"/>
                <w:szCs w:val="20"/>
              </w:rPr>
            </w:pPr>
            <w:r>
              <w:rPr>
                <w:sz w:val="20"/>
                <w:szCs w:val="20"/>
              </w:rPr>
              <w:t>Not calculated</w:t>
            </w:r>
          </w:p>
        </w:tc>
        <w:tc>
          <w:tcPr>
            <w:tcW w:w="1620" w:type="dxa"/>
          </w:tcPr>
          <w:p w14:paraId="5AF262A8" w14:textId="77777777" w:rsidR="00B34A39" w:rsidRPr="003D2054" w:rsidRDefault="00B34A39" w:rsidP="006F3213">
            <w:pPr>
              <w:jc w:val="center"/>
              <w:rPr>
                <w:sz w:val="20"/>
                <w:szCs w:val="20"/>
              </w:rPr>
            </w:pPr>
            <w:r>
              <w:rPr>
                <w:sz w:val="20"/>
                <w:szCs w:val="20"/>
              </w:rPr>
              <w:t>High</w:t>
            </w:r>
          </w:p>
        </w:tc>
        <w:tc>
          <w:tcPr>
            <w:tcW w:w="1615" w:type="dxa"/>
          </w:tcPr>
          <w:p w14:paraId="1FBFA4C5" w14:textId="77777777" w:rsidR="00B34A39" w:rsidRPr="003D2054" w:rsidRDefault="00B34A39" w:rsidP="006F3213">
            <w:pPr>
              <w:jc w:val="center"/>
              <w:rPr>
                <w:sz w:val="20"/>
                <w:szCs w:val="20"/>
              </w:rPr>
            </w:pPr>
            <w:r>
              <w:rPr>
                <w:sz w:val="20"/>
                <w:szCs w:val="20"/>
              </w:rPr>
              <w:t>n/a</w:t>
            </w:r>
          </w:p>
        </w:tc>
      </w:tr>
    </w:tbl>
    <w:p w14:paraId="04BD0148" w14:textId="77777777" w:rsidR="00B34A39" w:rsidRPr="00B34A39" w:rsidRDefault="00B34A39" w:rsidP="00B34A39">
      <w:pPr>
        <w:autoSpaceDE w:val="0"/>
        <w:spacing w:after="0"/>
        <w:rPr>
          <w:rFonts w:asciiTheme="majorHAnsi" w:eastAsiaTheme="majorEastAsia" w:hAnsiTheme="majorHAnsi" w:cstheme="majorBidi"/>
          <w:b/>
          <w:bCs/>
          <w:smallCaps/>
          <w:color w:val="000000" w:themeColor="text1"/>
          <w:sz w:val="36"/>
          <w:szCs w:val="36"/>
        </w:rPr>
      </w:pPr>
    </w:p>
    <w:p w14:paraId="61E6E27F" w14:textId="26859EF9" w:rsidR="00B34A39" w:rsidRDefault="00172CCC" w:rsidP="00172CCC">
      <w:pPr>
        <w:pStyle w:val="Caption"/>
        <w:keepNext/>
      </w:pPr>
      <w:bookmarkStart w:id="19" w:name="_Toc18443155"/>
      <w:r>
        <w:t xml:space="preserve">Table </w:t>
      </w:r>
      <w:fldSimple w:instr=" STYLEREF 1 \s ">
        <w:r w:rsidR="00636BAC">
          <w:rPr>
            <w:noProof/>
          </w:rPr>
          <w:t>1</w:t>
        </w:r>
      </w:fldSimple>
      <w:r>
        <w:t>.</w:t>
      </w:r>
      <w:fldSimple w:instr=" SEQ Table \* ARABIC \s 1 ">
        <w:r w:rsidR="00636BAC">
          <w:rPr>
            <w:noProof/>
          </w:rPr>
          <w:t>3</w:t>
        </w:r>
      </w:fldSimple>
      <w:r>
        <w:t xml:space="preserve">: </w:t>
      </w:r>
      <w:r w:rsidR="00B34A39">
        <w:t>Land Use Solutions Comparison: Social and Climate Impacts</w:t>
      </w:r>
      <w:bookmarkEnd w:id="19"/>
    </w:p>
    <w:p w14:paraId="273F3E97" w14:textId="6DA4D499" w:rsidR="00B34A39" w:rsidRPr="00B34A39" w:rsidRDefault="00B34A39" w:rsidP="00B34A39">
      <w:pPr>
        <w:rPr>
          <w:b/>
          <w:sz w:val="18"/>
          <w:szCs w:val="18"/>
        </w:rPr>
      </w:pPr>
      <w:r w:rsidRPr="00B34A39">
        <w:rPr>
          <w:rFonts w:cstheme="minorHAnsi"/>
          <w:b/>
          <w:color w:val="000000" w:themeColor="text1"/>
          <w:sz w:val="18"/>
          <w:szCs w:val="18"/>
        </w:rPr>
        <w:t>Carbon Stock Protected:</w:t>
      </w:r>
      <w:r w:rsidRPr="00B34A39">
        <w:rPr>
          <w:rFonts w:cstheme="minorHAnsi"/>
          <w:color w:val="000000" w:themeColor="text1"/>
          <w:sz w:val="18"/>
          <w:szCs w:val="18"/>
        </w:rPr>
        <w:t xml:space="preserve"> Low 0-500 Gt CO2-eq, Medium is 500-1000 Gt CO2-eq, high is 1000+ Gt CO2-eq.</w:t>
      </w:r>
      <w:r>
        <w:rPr>
          <w:b/>
          <w:sz w:val="18"/>
          <w:szCs w:val="18"/>
        </w:rPr>
        <w:t xml:space="preserve"> </w:t>
      </w:r>
      <w:r w:rsidRPr="00B34A39">
        <w:rPr>
          <w:b/>
          <w:sz w:val="18"/>
          <w:szCs w:val="18"/>
        </w:rPr>
        <w:t>Ecosystem Services</w:t>
      </w:r>
      <w:r w:rsidRPr="00B34A39">
        <w:rPr>
          <w:sz w:val="18"/>
          <w:szCs w:val="18"/>
        </w:rPr>
        <w:t xml:space="preserve"> is subjective based on impacts on biodiversity, water quality, etc. </w:t>
      </w:r>
      <w:r w:rsidRPr="00B34A39">
        <w:rPr>
          <w:b/>
          <w:sz w:val="18"/>
          <w:szCs w:val="18"/>
        </w:rPr>
        <w:t xml:space="preserve">Social Justice Benefits: </w:t>
      </w:r>
      <w:r w:rsidRPr="00B34A39">
        <w:rPr>
          <w:sz w:val="18"/>
          <w:szCs w:val="18"/>
        </w:rPr>
        <w:t xml:space="preserve">Is solution Targeted to disadvantaged producers like smallholders and women, Relevant to them, or Not Applicable (n/a). </w:t>
      </w:r>
      <w:r w:rsidRPr="00B34A39">
        <w:rPr>
          <w:b/>
          <w:sz w:val="18"/>
          <w:szCs w:val="18"/>
        </w:rPr>
        <w:t xml:space="preserve">Climate Impacts per Hectare: </w:t>
      </w:r>
      <w:r w:rsidRPr="00B34A39">
        <w:rPr>
          <w:sz w:val="18"/>
          <w:szCs w:val="18"/>
        </w:rPr>
        <w:t>Low 0-3.7 t CO2-eq/ha/yr (0-1tC),</w:t>
      </w:r>
      <w:r w:rsidRPr="00B34A39">
        <w:rPr>
          <w:b/>
          <w:sz w:val="18"/>
          <w:szCs w:val="18"/>
        </w:rPr>
        <w:t xml:space="preserve"> </w:t>
      </w:r>
      <w:r w:rsidRPr="00B34A39">
        <w:rPr>
          <w:sz w:val="18"/>
          <w:szCs w:val="18"/>
        </w:rPr>
        <w:t xml:space="preserve">Medium 3.8-11.0 t CO2-eq/yr (1-3 tC), High 11.1-18.0 tCO2-eq/yr (3-5 tC), Very High 18.1 tCO2-eq/yr (5tC+). </w:t>
      </w:r>
      <w:r w:rsidRPr="00B34A39">
        <w:rPr>
          <w:rFonts w:cstheme="minorHAnsi"/>
          <w:b/>
          <w:color w:val="000000" w:themeColor="text1"/>
          <w:sz w:val="18"/>
          <w:szCs w:val="18"/>
        </w:rPr>
        <w:t>Global Adoption Potential:</w:t>
      </w:r>
      <w:r w:rsidRPr="00B34A39">
        <w:rPr>
          <w:rFonts w:cstheme="minorHAnsi"/>
          <w:color w:val="000000" w:themeColor="text1"/>
          <w:sz w:val="18"/>
          <w:szCs w:val="18"/>
        </w:rPr>
        <w:t xml:space="preserve"> Low 0-100Mha, Medium 101-500 Mha, High 500+ Mha </w:t>
      </w:r>
    </w:p>
    <w:tbl>
      <w:tblPr>
        <w:tblStyle w:val="TableGrid"/>
        <w:tblW w:w="9350" w:type="dxa"/>
        <w:tblLook w:val="04A0" w:firstRow="1" w:lastRow="0" w:firstColumn="1" w:lastColumn="0" w:noHBand="0" w:noVBand="1"/>
      </w:tblPr>
      <w:tblGrid>
        <w:gridCol w:w="2873"/>
        <w:gridCol w:w="1620"/>
        <w:gridCol w:w="1619"/>
        <w:gridCol w:w="1620"/>
        <w:gridCol w:w="1618"/>
      </w:tblGrid>
      <w:tr w:rsidR="00B34A39" w:rsidRPr="00E91BE1" w14:paraId="663224C8" w14:textId="77777777" w:rsidTr="006F3213">
        <w:trPr>
          <w:cantSplit/>
          <w:trHeight w:val="594"/>
          <w:tblHeader/>
        </w:trPr>
        <w:tc>
          <w:tcPr>
            <w:tcW w:w="2873" w:type="dxa"/>
            <w:shd w:val="clear" w:color="auto" w:fill="4F81BD" w:themeFill="accent1"/>
          </w:tcPr>
          <w:p w14:paraId="4050F634" w14:textId="77777777" w:rsidR="00B34A39" w:rsidRPr="00E91BE1" w:rsidRDefault="00B34A39" w:rsidP="006F3213">
            <w:pPr>
              <w:jc w:val="center"/>
              <w:rPr>
                <w:b/>
                <w:color w:val="FFFFFF" w:themeColor="background1"/>
                <w:sz w:val="20"/>
                <w:szCs w:val="20"/>
              </w:rPr>
            </w:pPr>
          </w:p>
        </w:tc>
        <w:tc>
          <w:tcPr>
            <w:tcW w:w="1620" w:type="dxa"/>
            <w:shd w:val="clear" w:color="auto" w:fill="4F81BD" w:themeFill="accent1"/>
          </w:tcPr>
          <w:p w14:paraId="7D021070" w14:textId="77777777" w:rsidR="00B34A39" w:rsidRPr="00E91BE1" w:rsidRDefault="00B34A39" w:rsidP="006F3213">
            <w:pPr>
              <w:jc w:val="center"/>
              <w:rPr>
                <w:b/>
                <w:color w:val="FFFFFF" w:themeColor="background1"/>
                <w:sz w:val="20"/>
                <w:szCs w:val="20"/>
              </w:rPr>
            </w:pPr>
            <w:r>
              <w:rPr>
                <w:b/>
                <w:color w:val="FFFFFF" w:themeColor="background1"/>
                <w:sz w:val="20"/>
                <w:szCs w:val="20"/>
              </w:rPr>
              <w:t>Carbon Stock Protected</w:t>
            </w:r>
          </w:p>
        </w:tc>
        <w:tc>
          <w:tcPr>
            <w:tcW w:w="1619" w:type="dxa"/>
            <w:shd w:val="clear" w:color="auto" w:fill="4F81BD" w:themeFill="accent1"/>
          </w:tcPr>
          <w:p w14:paraId="533D99F0" w14:textId="77777777" w:rsidR="00B34A39" w:rsidRPr="00E91BE1" w:rsidRDefault="00B34A39" w:rsidP="006F3213">
            <w:pPr>
              <w:jc w:val="center"/>
              <w:rPr>
                <w:b/>
                <w:color w:val="FFFFFF" w:themeColor="background1"/>
                <w:sz w:val="20"/>
                <w:szCs w:val="20"/>
              </w:rPr>
            </w:pPr>
            <w:r>
              <w:rPr>
                <w:b/>
                <w:color w:val="FFFFFF" w:themeColor="background1"/>
                <w:sz w:val="20"/>
                <w:szCs w:val="20"/>
              </w:rPr>
              <w:t>Social Justice Benefits</w:t>
            </w:r>
          </w:p>
        </w:tc>
        <w:tc>
          <w:tcPr>
            <w:tcW w:w="1620" w:type="dxa"/>
            <w:shd w:val="clear" w:color="auto" w:fill="4F81BD" w:themeFill="accent1"/>
          </w:tcPr>
          <w:p w14:paraId="7D4772C3" w14:textId="77777777" w:rsidR="00B34A39" w:rsidRPr="00E91BE1" w:rsidRDefault="00B34A39" w:rsidP="006F3213">
            <w:pPr>
              <w:jc w:val="center"/>
              <w:rPr>
                <w:b/>
                <w:color w:val="FFFFFF" w:themeColor="background1"/>
                <w:sz w:val="20"/>
                <w:szCs w:val="20"/>
              </w:rPr>
            </w:pPr>
            <w:r>
              <w:rPr>
                <w:b/>
                <w:color w:val="FFFFFF" w:themeColor="background1"/>
                <w:sz w:val="20"/>
                <w:szCs w:val="20"/>
              </w:rPr>
              <w:t>Climate Impact/ha</w:t>
            </w:r>
          </w:p>
        </w:tc>
        <w:tc>
          <w:tcPr>
            <w:tcW w:w="1618" w:type="dxa"/>
            <w:shd w:val="clear" w:color="auto" w:fill="4F81BD" w:themeFill="accent1"/>
          </w:tcPr>
          <w:p w14:paraId="390A963B" w14:textId="77777777" w:rsidR="00B34A39" w:rsidRPr="00E91BE1" w:rsidRDefault="00B34A39" w:rsidP="006F3213">
            <w:pPr>
              <w:jc w:val="center"/>
              <w:rPr>
                <w:b/>
                <w:color w:val="FFFFFF" w:themeColor="background1"/>
                <w:sz w:val="20"/>
                <w:szCs w:val="20"/>
              </w:rPr>
            </w:pPr>
            <w:r>
              <w:rPr>
                <w:b/>
                <w:color w:val="FFFFFF" w:themeColor="background1"/>
                <w:sz w:val="20"/>
                <w:szCs w:val="20"/>
              </w:rPr>
              <w:t>Global Adoption Potential</w:t>
            </w:r>
          </w:p>
        </w:tc>
      </w:tr>
      <w:tr w:rsidR="003631DE" w:rsidRPr="00E91BE1" w14:paraId="1B8D413C" w14:textId="77777777" w:rsidTr="006F3213">
        <w:trPr>
          <w:trHeight w:val="315"/>
        </w:trPr>
        <w:tc>
          <w:tcPr>
            <w:tcW w:w="2873" w:type="dxa"/>
          </w:tcPr>
          <w:p w14:paraId="44C40723" w14:textId="77777777" w:rsidR="003631DE" w:rsidRDefault="003631DE" w:rsidP="006F3213">
            <w:pPr>
              <w:rPr>
                <w:sz w:val="20"/>
                <w:szCs w:val="20"/>
              </w:rPr>
            </w:pPr>
            <w:r>
              <w:rPr>
                <w:sz w:val="20"/>
                <w:szCs w:val="20"/>
              </w:rPr>
              <w:t>Afforestation</w:t>
            </w:r>
          </w:p>
        </w:tc>
        <w:tc>
          <w:tcPr>
            <w:tcW w:w="1620" w:type="dxa"/>
          </w:tcPr>
          <w:p w14:paraId="2F52AAF9" w14:textId="77777777" w:rsidR="003631DE" w:rsidRPr="003D2054" w:rsidRDefault="003631DE" w:rsidP="006F3213">
            <w:pPr>
              <w:jc w:val="center"/>
              <w:rPr>
                <w:sz w:val="20"/>
                <w:szCs w:val="20"/>
              </w:rPr>
            </w:pPr>
            <w:r>
              <w:rPr>
                <w:sz w:val="20"/>
                <w:szCs w:val="20"/>
              </w:rPr>
              <w:t>Medium to High</w:t>
            </w:r>
          </w:p>
        </w:tc>
        <w:tc>
          <w:tcPr>
            <w:tcW w:w="1619" w:type="dxa"/>
          </w:tcPr>
          <w:p w14:paraId="1175E375" w14:textId="77777777" w:rsidR="003631DE" w:rsidRPr="003D2054" w:rsidRDefault="003631DE" w:rsidP="006F3213">
            <w:pPr>
              <w:jc w:val="center"/>
              <w:rPr>
                <w:sz w:val="20"/>
                <w:szCs w:val="20"/>
              </w:rPr>
            </w:pPr>
            <w:r>
              <w:rPr>
                <w:sz w:val="20"/>
                <w:szCs w:val="20"/>
              </w:rPr>
              <w:t>Relevant</w:t>
            </w:r>
          </w:p>
        </w:tc>
        <w:tc>
          <w:tcPr>
            <w:tcW w:w="1620" w:type="dxa"/>
          </w:tcPr>
          <w:p w14:paraId="72A3C08A" w14:textId="77777777" w:rsidR="003631DE" w:rsidRPr="003D2054" w:rsidRDefault="003631DE" w:rsidP="006F3213">
            <w:pPr>
              <w:jc w:val="center"/>
              <w:rPr>
                <w:sz w:val="20"/>
                <w:szCs w:val="20"/>
              </w:rPr>
            </w:pPr>
            <w:r>
              <w:rPr>
                <w:sz w:val="20"/>
                <w:szCs w:val="20"/>
              </w:rPr>
              <w:t>High</w:t>
            </w:r>
          </w:p>
        </w:tc>
        <w:tc>
          <w:tcPr>
            <w:tcW w:w="1618" w:type="dxa"/>
          </w:tcPr>
          <w:p w14:paraId="0F1E6173" w14:textId="77777777" w:rsidR="003631DE" w:rsidRDefault="003631DE" w:rsidP="006F3213">
            <w:pPr>
              <w:jc w:val="center"/>
              <w:rPr>
                <w:sz w:val="20"/>
                <w:szCs w:val="20"/>
              </w:rPr>
            </w:pPr>
            <w:r>
              <w:rPr>
                <w:sz w:val="20"/>
                <w:szCs w:val="20"/>
              </w:rPr>
              <w:t>Medium</w:t>
            </w:r>
          </w:p>
        </w:tc>
      </w:tr>
      <w:tr w:rsidR="00B34A39" w:rsidRPr="00E91BE1" w14:paraId="752A5053" w14:textId="77777777" w:rsidTr="006F3213">
        <w:trPr>
          <w:trHeight w:val="334"/>
        </w:trPr>
        <w:tc>
          <w:tcPr>
            <w:tcW w:w="2873" w:type="dxa"/>
          </w:tcPr>
          <w:p w14:paraId="2CB9F435" w14:textId="77777777" w:rsidR="00B34A39" w:rsidRDefault="00B34A39" w:rsidP="006F3213">
            <w:pPr>
              <w:rPr>
                <w:sz w:val="20"/>
                <w:szCs w:val="20"/>
              </w:rPr>
            </w:pPr>
            <w:r>
              <w:rPr>
                <w:sz w:val="20"/>
                <w:szCs w:val="20"/>
              </w:rPr>
              <w:t>Bamboo</w:t>
            </w:r>
          </w:p>
        </w:tc>
        <w:tc>
          <w:tcPr>
            <w:tcW w:w="1620" w:type="dxa"/>
          </w:tcPr>
          <w:p w14:paraId="74DA7024" w14:textId="77777777" w:rsidR="00B34A39" w:rsidRPr="003D2054" w:rsidRDefault="00B34A39" w:rsidP="006F3213">
            <w:pPr>
              <w:jc w:val="center"/>
              <w:rPr>
                <w:sz w:val="20"/>
                <w:szCs w:val="20"/>
              </w:rPr>
            </w:pPr>
            <w:r>
              <w:rPr>
                <w:sz w:val="20"/>
                <w:szCs w:val="20"/>
              </w:rPr>
              <w:t>Medium</w:t>
            </w:r>
          </w:p>
        </w:tc>
        <w:tc>
          <w:tcPr>
            <w:tcW w:w="1619" w:type="dxa"/>
          </w:tcPr>
          <w:p w14:paraId="7B0CFB94" w14:textId="77777777" w:rsidR="00B34A39" w:rsidRPr="003D2054" w:rsidRDefault="00B34A39" w:rsidP="006F3213">
            <w:pPr>
              <w:jc w:val="center"/>
              <w:rPr>
                <w:sz w:val="20"/>
                <w:szCs w:val="20"/>
              </w:rPr>
            </w:pPr>
            <w:r>
              <w:rPr>
                <w:sz w:val="20"/>
                <w:szCs w:val="20"/>
              </w:rPr>
              <w:t>Relevant</w:t>
            </w:r>
          </w:p>
        </w:tc>
        <w:tc>
          <w:tcPr>
            <w:tcW w:w="1620" w:type="dxa"/>
          </w:tcPr>
          <w:p w14:paraId="3C1C4930" w14:textId="77777777" w:rsidR="00B34A39" w:rsidRPr="003D2054" w:rsidRDefault="00B34A39" w:rsidP="006F3213">
            <w:pPr>
              <w:jc w:val="center"/>
              <w:rPr>
                <w:sz w:val="20"/>
                <w:szCs w:val="20"/>
              </w:rPr>
            </w:pPr>
            <w:r>
              <w:rPr>
                <w:sz w:val="20"/>
                <w:szCs w:val="20"/>
              </w:rPr>
              <w:t>High</w:t>
            </w:r>
          </w:p>
        </w:tc>
        <w:tc>
          <w:tcPr>
            <w:tcW w:w="1618" w:type="dxa"/>
          </w:tcPr>
          <w:p w14:paraId="243089FC" w14:textId="77777777" w:rsidR="00B34A39" w:rsidRDefault="00B34A39" w:rsidP="006F3213">
            <w:pPr>
              <w:jc w:val="center"/>
              <w:rPr>
                <w:sz w:val="20"/>
                <w:szCs w:val="20"/>
              </w:rPr>
            </w:pPr>
            <w:r>
              <w:rPr>
                <w:sz w:val="20"/>
                <w:szCs w:val="20"/>
              </w:rPr>
              <w:t>Medium</w:t>
            </w:r>
          </w:p>
        </w:tc>
      </w:tr>
      <w:tr w:rsidR="00B34A39" w:rsidRPr="00E91BE1" w14:paraId="2E4CFEE4" w14:textId="77777777" w:rsidTr="006F3213">
        <w:trPr>
          <w:trHeight w:val="315"/>
        </w:trPr>
        <w:tc>
          <w:tcPr>
            <w:tcW w:w="2873" w:type="dxa"/>
          </w:tcPr>
          <w:p w14:paraId="3C8C1C56" w14:textId="77777777" w:rsidR="00B34A39" w:rsidRDefault="00B34A39" w:rsidP="006F3213">
            <w:pPr>
              <w:rPr>
                <w:sz w:val="20"/>
                <w:szCs w:val="20"/>
              </w:rPr>
            </w:pPr>
            <w:r>
              <w:rPr>
                <w:sz w:val="20"/>
                <w:szCs w:val="20"/>
              </w:rPr>
              <w:t>Forest Protection</w:t>
            </w:r>
          </w:p>
        </w:tc>
        <w:tc>
          <w:tcPr>
            <w:tcW w:w="1620" w:type="dxa"/>
          </w:tcPr>
          <w:p w14:paraId="6627DA78" w14:textId="77777777" w:rsidR="00B34A39" w:rsidRPr="003D2054" w:rsidRDefault="00B34A39" w:rsidP="006F3213">
            <w:pPr>
              <w:jc w:val="center"/>
              <w:rPr>
                <w:sz w:val="20"/>
                <w:szCs w:val="20"/>
              </w:rPr>
            </w:pPr>
            <w:r>
              <w:rPr>
                <w:sz w:val="20"/>
                <w:szCs w:val="20"/>
              </w:rPr>
              <w:t>High</w:t>
            </w:r>
          </w:p>
        </w:tc>
        <w:tc>
          <w:tcPr>
            <w:tcW w:w="1619" w:type="dxa"/>
          </w:tcPr>
          <w:p w14:paraId="21F51585" w14:textId="77777777" w:rsidR="00B34A39" w:rsidRPr="003D2054" w:rsidRDefault="00B34A39" w:rsidP="006F3213">
            <w:pPr>
              <w:jc w:val="center"/>
              <w:rPr>
                <w:sz w:val="20"/>
                <w:szCs w:val="20"/>
              </w:rPr>
            </w:pPr>
            <w:r>
              <w:rPr>
                <w:sz w:val="20"/>
                <w:szCs w:val="20"/>
              </w:rPr>
              <w:t>Relevant</w:t>
            </w:r>
          </w:p>
        </w:tc>
        <w:tc>
          <w:tcPr>
            <w:tcW w:w="1620" w:type="dxa"/>
          </w:tcPr>
          <w:p w14:paraId="524766AF" w14:textId="77777777" w:rsidR="00B34A39" w:rsidRPr="003D2054" w:rsidRDefault="00B34A39" w:rsidP="006F3213">
            <w:pPr>
              <w:jc w:val="center"/>
              <w:rPr>
                <w:sz w:val="20"/>
                <w:szCs w:val="20"/>
              </w:rPr>
            </w:pPr>
            <w:r>
              <w:rPr>
                <w:sz w:val="20"/>
                <w:szCs w:val="20"/>
              </w:rPr>
              <w:t>Very High</w:t>
            </w:r>
          </w:p>
        </w:tc>
        <w:tc>
          <w:tcPr>
            <w:tcW w:w="1618" w:type="dxa"/>
          </w:tcPr>
          <w:p w14:paraId="183B1979" w14:textId="77777777" w:rsidR="00B34A39" w:rsidRPr="003D2054" w:rsidRDefault="00B34A39" w:rsidP="006F3213">
            <w:pPr>
              <w:jc w:val="center"/>
              <w:rPr>
                <w:sz w:val="20"/>
                <w:szCs w:val="20"/>
              </w:rPr>
            </w:pPr>
            <w:r>
              <w:rPr>
                <w:sz w:val="20"/>
                <w:szCs w:val="20"/>
              </w:rPr>
              <w:t>Medium</w:t>
            </w:r>
          </w:p>
        </w:tc>
      </w:tr>
      <w:tr w:rsidR="00B34A39" w:rsidRPr="00E91BE1" w14:paraId="309C0741" w14:textId="77777777" w:rsidTr="006F3213">
        <w:trPr>
          <w:trHeight w:val="315"/>
        </w:trPr>
        <w:tc>
          <w:tcPr>
            <w:tcW w:w="2873" w:type="dxa"/>
          </w:tcPr>
          <w:p w14:paraId="5ADB32B0" w14:textId="77777777" w:rsidR="00B34A39" w:rsidRPr="003D2054" w:rsidRDefault="00B34A39" w:rsidP="006F3213">
            <w:pPr>
              <w:rPr>
                <w:sz w:val="20"/>
                <w:szCs w:val="20"/>
              </w:rPr>
            </w:pPr>
            <w:r>
              <w:rPr>
                <w:sz w:val="20"/>
                <w:szCs w:val="20"/>
              </w:rPr>
              <w:t>Indigenous People’s Forest Management</w:t>
            </w:r>
          </w:p>
        </w:tc>
        <w:tc>
          <w:tcPr>
            <w:tcW w:w="1620" w:type="dxa"/>
          </w:tcPr>
          <w:p w14:paraId="26347D2E" w14:textId="77777777" w:rsidR="00B34A39" w:rsidRDefault="00B34A39" w:rsidP="006F3213">
            <w:pPr>
              <w:jc w:val="center"/>
              <w:rPr>
                <w:sz w:val="20"/>
                <w:szCs w:val="20"/>
              </w:rPr>
            </w:pPr>
            <w:r>
              <w:rPr>
                <w:sz w:val="20"/>
                <w:szCs w:val="20"/>
              </w:rPr>
              <w:t>High</w:t>
            </w:r>
          </w:p>
        </w:tc>
        <w:tc>
          <w:tcPr>
            <w:tcW w:w="1619" w:type="dxa"/>
          </w:tcPr>
          <w:p w14:paraId="46B30F20" w14:textId="77777777" w:rsidR="00B34A39" w:rsidRPr="003D2054" w:rsidRDefault="00B34A39" w:rsidP="006F3213">
            <w:pPr>
              <w:jc w:val="center"/>
              <w:rPr>
                <w:sz w:val="20"/>
                <w:szCs w:val="20"/>
              </w:rPr>
            </w:pPr>
            <w:r>
              <w:rPr>
                <w:sz w:val="20"/>
                <w:szCs w:val="20"/>
              </w:rPr>
              <w:t>Targeted</w:t>
            </w:r>
          </w:p>
        </w:tc>
        <w:tc>
          <w:tcPr>
            <w:tcW w:w="1620" w:type="dxa"/>
          </w:tcPr>
          <w:p w14:paraId="5E58080E" w14:textId="77777777" w:rsidR="00B34A39" w:rsidRPr="003D2054" w:rsidRDefault="00B34A39" w:rsidP="006F3213">
            <w:pPr>
              <w:jc w:val="center"/>
              <w:rPr>
                <w:sz w:val="20"/>
                <w:szCs w:val="20"/>
              </w:rPr>
            </w:pPr>
            <w:r>
              <w:rPr>
                <w:sz w:val="20"/>
                <w:szCs w:val="20"/>
              </w:rPr>
              <w:t>Very High</w:t>
            </w:r>
          </w:p>
        </w:tc>
        <w:tc>
          <w:tcPr>
            <w:tcW w:w="1618" w:type="dxa"/>
          </w:tcPr>
          <w:p w14:paraId="7239DB39" w14:textId="77777777" w:rsidR="00B34A39" w:rsidRPr="003D2054" w:rsidRDefault="00B34A39" w:rsidP="006F3213">
            <w:pPr>
              <w:jc w:val="center"/>
              <w:rPr>
                <w:sz w:val="20"/>
                <w:szCs w:val="20"/>
              </w:rPr>
            </w:pPr>
            <w:r>
              <w:rPr>
                <w:sz w:val="20"/>
                <w:szCs w:val="20"/>
              </w:rPr>
              <w:t>Medium to High</w:t>
            </w:r>
          </w:p>
        </w:tc>
      </w:tr>
      <w:tr w:rsidR="00B34A39" w:rsidRPr="00E91BE1" w14:paraId="42621FC2" w14:textId="77777777" w:rsidTr="006F3213">
        <w:trPr>
          <w:trHeight w:val="352"/>
        </w:trPr>
        <w:tc>
          <w:tcPr>
            <w:tcW w:w="2873" w:type="dxa"/>
          </w:tcPr>
          <w:p w14:paraId="6CCF11AA" w14:textId="77777777" w:rsidR="00B34A39" w:rsidRPr="003D2054" w:rsidRDefault="00B34A39" w:rsidP="006F3213">
            <w:pPr>
              <w:rPr>
                <w:sz w:val="20"/>
                <w:szCs w:val="20"/>
              </w:rPr>
            </w:pPr>
            <w:r>
              <w:rPr>
                <w:sz w:val="20"/>
                <w:szCs w:val="20"/>
              </w:rPr>
              <w:t>Peatland Protection</w:t>
            </w:r>
          </w:p>
        </w:tc>
        <w:tc>
          <w:tcPr>
            <w:tcW w:w="1620" w:type="dxa"/>
          </w:tcPr>
          <w:p w14:paraId="5EE5AAC8" w14:textId="77777777" w:rsidR="00B34A39" w:rsidRPr="003D2054" w:rsidRDefault="00B34A39" w:rsidP="006F3213">
            <w:pPr>
              <w:jc w:val="center"/>
              <w:rPr>
                <w:sz w:val="20"/>
                <w:szCs w:val="20"/>
              </w:rPr>
            </w:pPr>
            <w:r>
              <w:rPr>
                <w:sz w:val="20"/>
                <w:szCs w:val="20"/>
              </w:rPr>
              <w:t>n/a</w:t>
            </w:r>
          </w:p>
        </w:tc>
        <w:tc>
          <w:tcPr>
            <w:tcW w:w="1619" w:type="dxa"/>
          </w:tcPr>
          <w:p w14:paraId="2BD59698" w14:textId="77777777" w:rsidR="00B34A39" w:rsidRPr="003D2054" w:rsidRDefault="00B34A39" w:rsidP="006F3213">
            <w:pPr>
              <w:jc w:val="center"/>
              <w:rPr>
                <w:sz w:val="20"/>
                <w:szCs w:val="20"/>
              </w:rPr>
            </w:pPr>
            <w:r>
              <w:rPr>
                <w:sz w:val="20"/>
                <w:szCs w:val="20"/>
              </w:rPr>
              <w:t>Relevant</w:t>
            </w:r>
          </w:p>
        </w:tc>
        <w:tc>
          <w:tcPr>
            <w:tcW w:w="1620" w:type="dxa"/>
          </w:tcPr>
          <w:p w14:paraId="3BFF1A30" w14:textId="77777777" w:rsidR="00B34A39" w:rsidRPr="003D2054" w:rsidRDefault="00B34A39" w:rsidP="006F3213">
            <w:pPr>
              <w:jc w:val="center"/>
              <w:rPr>
                <w:sz w:val="20"/>
                <w:szCs w:val="20"/>
              </w:rPr>
            </w:pPr>
            <w:r>
              <w:rPr>
                <w:sz w:val="20"/>
                <w:szCs w:val="20"/>
              </w:rPr>
              <w:t>Very High</w:t>
            </w:r>
          </w:p>
        </w:tc>
        <w:tc>
          <w:tcPr>
            <w:tcW w:w="1618" w:type="dxa"/>
          </w:tcPr>
          <w:p w14:paraId="449C7C87" w14:textId="77777777" w:rsidR="00B34A39" w:rsidRPr="003D2054" w:rsidRDefault="00B34A39" w:rsidP="006F3213">
            <w:pPr>
              <w:jc w:val="center"/>
              <w:rPr>
                <w:sz w:val="20"/>
                <w:szCs w:val="20"/>
              </w:rPr>
            </w:pPr>
            <w:r>
              <w:rPr>
                <w:sz w:val="20"/>
                <w:szCs w:val="20"/>
              </w:rPr>
              <w:t>High</w:t>
            </w:r>
          </w:p>
        </w:tc>
      </w:tr>
      <w:tr w:rsidR="00B34A39" w:rsidRPr="00E91BE1" w14:paraId="59529BFF" w14:textId="77777777" w:rsidTr="006F3213">
        <w:trPr>
          <w:trHeight w:val="352"/>
        </w:trPr>
        <w:tc>
          <w:tcPr>
            <w:tcW w:w="2873" w:type="dxa"/>
          </w:tcPr>
          <w:p w14:paraId="496931B7" w14:textId="77777777" w:rsidR="00B34A39" w:rsidRDefault="00B34A39" w:rsidP="006F3213">
            <w:pPr>
              <w:rPr>
                <w:sz w:val="20"/>
                <w:szCs w:val="20"/>
              </w:rPr>
            </w:pPr>
            <w:r>
              <w:rPr>
                <w:sz w:val="20"/>
                <w:szCs w:val="20"/>
              </w:rPr>
              <w:t>Perennial Biomass</w:t>
            </w:r>
          </w:p>
        </w:tc>
        <w:tc>
          <w:tcPr>
            <w:tcW w:w="1620" w:type="dxa"/>
          </w:tcPr>
          <w:p w14:paraId="63A503F5" w14:textId="77777777" w:rsidR="00B34A39" w:rsidRPr="003D2054" w:rsidRDefault="00B34A39" w:rsidP="006F3213">
            <w:pPr>
              <w:jc w:val="center"/>
              <w:rPr>
                <w:sz w:val="20"/>
                <w:szCs w:val="20"/>
              </w:rPr>
            </w:pPr>
            <w:r>
              <w:rPr>
                <w:sz w:val="20"/>
                <w:szCs w:val="20"/>
              </w:rPr>
              <w:t>n/a</w:t>
            </w:r>
          </w:p>
        </w:tc>
        <w:tc>
          <w:tcPr>
            <w:tcW w:w="1619" w:type="dxa"/>
          </w:tcPr>
          <w:p w14:paraId="4C95BCF9" w14:textId="77777777" w:rsidR="00B34A39" w:rsidRPr="003D2054" w:rsidRDefault="00B34A39" w:rsidP="006F3213">
            <w:pPr>
              <w:jc w:val="center"/>
              <w:rPr>
                <w:sz w:val="20"/>
                <w:szCs w:val="20"/>
              </w:rPr>
            </w:pPr>
            <w:r>
              <w:rPr>
                <w:sz w:val="20"/>
                <w:szCs w:val="20"/>
              </w:rPr>
              <w:t>Relevant</w:t>
            </w:r>
          </w:p>
        </w:tc>
        <w:tc>
          <w:tcPr>
            <w:tcW w:w="1620" w:type="dxa"/>
          </w:tcPr>
          <w:p w14:paraId="277F76AC" w14:textId="77777777" w:rsidR="00B34A39" w:rsidRPr="003D2054" w:rsidRDefault="00B34A39" w:rsidP="006F3213">
            <w:pPr>
              <w:jc w:val="center"/>
              <w:rPr>
                <w:sz w:val="20"/>
                <w:szCs w:val="20"/>
              </w:rPr>
            </w:pPr>
            <w:r>
              <w:rPr>
                <w:sz w:val="20"/>
                <w:szCs w:val="20"/>
              </w:rPr>
              <w:t>Low</w:t>
            </w:r>
          </w:p>
        </w:tc>
        <w:tc>
          <w:tcPr>
            <w:tcW w:w="1618" w:type="dxa"/>
          </w:tcPr>
          <w:p w14:paraId="5FF872A2" w14:textId="77777777" w:rsidR="00B34A39" w:rsidRDefault="00B34A39" w:rsidP="006F3213">
            <w:pPr>
              <w:jc w:val="center"/>
              <w:rPr>
                <w:sz w:val="20"/>
                <w:szCs w:val="20"/>
              </w:rPr>
            </w:pPr>
            <w:r>
              <w:rPr>
                <w:sz w:val="20"/>
                <w:szCs w:val="20"/>
              </w:rPr>
              <w:t>Medium</w:t>
            </w:r>
          </w:p>
        </w:tc>
      </w:tr>
      <w:tr w:rsidR="00B34A39" w:rsidRPr="00E91BE1" w14:paraId="1F40C736" w14:textId="77777777" w:rsidTr="006F3213">
        <w:trPr>
          <w:trHeight w:val="352"/>
        </w:trPr>
        <w:tc>
          <w:tcPr>
            <w:tcW w:w="2873" w:type="dxa"/>
          </w:tcPr>
          <w:p w14:paraId="51377C19" w14:textId="77777777" w:rsidR="00B34A39" w:rsidRPr="003D2054" w:rsidRDefault="00B34A39" w:rsidP="006F3213">
            <w:pPr>
              <w:rPr>
                <w:sz w:val="20"/>
                <w:szCs w:val="20"/>
              </w:rPr>
            </w:pPr>
            <w:r>
              <w:rPr>
                <w:sz w:val="20"/>
                <w:szCs w:val="20"/>
              </w:rPr>
              <w:t>Temperate Forest Restoration</w:t>
            </w:r>
          </w:p>
        </w:tc>
        <w:tc>
          <w:tcPr>
            <w:tcW w:w="1620" w:type="dxa"/>
          </w:tcPr>
          <w:p w14:paraId="58A0AB97" w14:textId="77777777" w:rsidR="00B34A39" w:rsidRPr="003D2054" w:rsidRDefault="00B34A39" w:rsidP="006F3213">
            <w:pPr>
              <w:jc w:val="center"/>
              <w:rPr>
                <w:sz w:val="20"/>
                <w:szCs w:val="20"/>
              </w:rPr>
            </w:pPr>
            <w:r>
              <w:rPr>
                <w:sz w:val="20"/>
                <w:szCs w:val="20"/>
              </w:rPr>
              <w:t>n/a</w:t>
            </w:r>
          </w:p>
        </w:tc>
        <w:tc>
          <w:tcPr>
            <w:tcW w:w="1619" w:type="dxa"/>
          </w:tcPr>
          <w:p w14:paraId="26E397E6" w14:textId="77777777" w:rsidR="00B34A39" w:rsidRPr="003D2054" w:rsidRDefault="00B34A39" w:rsidP="006F3213">
            <w:pPr>
              <w:jc w:val="center"/>
              <w:rPr>
                <w:sz w:val="20"/>
                <w:szCs w:val="20"/>
              </w:rPr>
            </w:pPr>
            <w:r>
              <w:rPr>
                <w:sz w:val="20"/>
                <w:szCs w:val="20"/>
              </w:rPr>
              <w:t>Relevant</w:t>
            </w:r>
          </w:p>
        </w:tc>
        <w:tc>
          <w:tcPr>
            <w:tcW w:w="1620" w:type="dxa"/>
          </w:tcPr>
          <w:p w14:paraId="04471672" w14:textId="77777777" w:rsidR="00B34A39" w:rsidRPr="003D2054" w:rsidRDefault="00B34A39" w:rsidP="006F3213">
            <w:pPr>
              <w:jc w:val="center"/>
              <w:rPr>
                <w:sz w:val="20"/>
                <w:szCs w:val="20"/>
              </w:rPr>
            </w:pPr>
            <w:r>
              <w:rPr>
                <w:sz w:val="20"/>
                <w:szCs w:val="20"/>
              </w:rPr>
              <w:t>Medium</w:t>
            </w:r>
          </w:p>
        </w:tc>
        <w:tc>
          <w:tcPr>
            <w:tcW w:w="1618" w:type="dxa"/>
          </w:tcPr>
          <w:p w14:paraId="3634B642" w14:textId="77777777" w:rsidR="00B34A39" w:rsidRPr="003D2054" w:rsidRDefault="00B34A39" w:rsidP="006F3213">
            <w:pPr>
              <w:jc w:val="center"/>
              <w:rPr>
                <w:sz w:val="20"/>
                <w:szCs w:val="20"/>
              </w:rPr>
            </w:pPr>
            <w:r>
              <w:rPr>
                <w:sz w:val="20"/>
                <w:szCs w:val="20"/>
              </w:rPr>
              <w:t>Low to Medium</w:t>
            </w:r>
          </w:p>
        </w:tc>
      </w:tr>
      <w:tr w:rsidR="00B34A39" w:rsidRPr="00E91BE1" w14:paraId="740CE52D" w14:textId="77777777" w:rsidTr="006F3213">
        <w:trPr>
          <w:trHeight w:val="352"/>
        </w:trPr>
        <w:tc>
          <w:tcPr>
            <w:tcW w:w="2873" w:type="dxa"/>
          </w:tcPr>
          <w:p w14:paraId="1327362A" w14:textId="77777777" w:rsidR="00B34A39" w:rsidRPr="003D2054" w:rsidRDefault="00B34A39" w:rsidP="006F3213">
            <w:pPr>
              <w:rPr>
                <w:sz w:val="20"/>
                <w:szCs w:val="20"/>
              </w:rPr>
            </w:pPr>
            <w:r>
              <w:rPr>
                <w:sz w:val="20"/>
                <w:szCs w:val="20"/>
              </w:rPr>
              <w:t>Tropical Forest Restoration</w:t>
            </w:r>
          </w:p>
        </w:tc>
        <w:tc>
          <w:tcPr>
            <w:tcW w:w="1620" w:type="dxa"/>
          </w:tcPr>
          <w:p w14:paraId="6255B10A" w14:textId="77777777" w:rsidR="00B34A39" w:rsidRPr="003D2054" w:rsidRDefault="00B34A39" w:rsidP="006F3213">
            <w:pPr>
              <w:jc w:val="center"/>
              <w:rPr>
                <w:sz w:val="20"/>
                <w:szCs w:val="20"/>
              </w:rPr>
            </w:pPr>
            <w:r>
              <w:rPr>
                <w:sz w:val="20"/>
                <w:szCs w:val="20"/>
              </w:rPr>
              <w:t>n/a</w:t>
            </w:r>
          </w:p>
        </w:tc>
        <w:tc>
          <w:tcPr>
            <w:tcW w:w="1619" w:type="dxa"/>
          </w:tcPr>
          <w:p w14:paraId="0C75A6ED" w14:textId="77777777" w:rsidR="00B34A39" w:rsidRPr="003D2054" w:rsidRDefault="00B34A39" w:rsidP="006F3213">
            <w:pPr>
              <w:jc w:val="center"/>
              <w:rPr>
                <w:sz w:val="20"/>
                <w:szCs w:val="20"/>
              </w:rPr>
            </w:pPr>
            <w:r>
              <w:rPr>
                <w:sz w:val="20"/>
                <w:szCs w:val="20"/>
              </w:rPr>
              <w:t>Relevant</w:t>
            </w:r>
          </w:p>
        </w:tc>
        <w:tc>
          <w:tcPr>
            <w:tcW w:w="1620" w:type="dxa"/>
          </w:tcPr>
          <w:p w14:paraId="189180DB" w14:textId="77777777" w:rsidR="00B34A39" w:rsidRPr="003D2054" w:rsidRDefault="00B34A39" w:rsidP="006F3213">
            <w:pPr>
              <w:jc w:val="center"/>
              <w:rPr>
                <w:sz w:val="20"/>
                <w:szCs w:val="20"/>
              </w:rPr>
            </w:pPr>
            <w:r>
              <w:rPr>
                <w:sz w:val="20"/>
                <w:szCs w:val="20"/>
              </w:rPr>
              <w:t>High</w:t>
            </w:r>
          </w:p>
        </w:tc>
        <w:tc>
          <w:tcPr>
            <w:tcW w:w="1618" w:type="dxa"/>
          </w:tcPr>
          <w:p w14:paraId="21091239" w14:textId="77777777" w:rsidR="00B34A39" w:rsidRPr="003D2054" w:rsidRDefault="00B34A39" w:rsidP="006F3213">
            <w:pPr>
              <w:jc w:val="center"/>
              <w:rPr>
                <w:sz w:val="20"/>
                <w:szCs w:val="20"/>
              </w:rPr>
            </w:pPr>
            <w:r>
              <w:rPr>
                <w:sz w:val="20"/>
                <w:szCs w:val="20"/>
              </w:rPr>
              <w:t>Medium</w:t>
            </w:r>
          </w:p>
        </w:tc>
      </w:tr>
    </w:tbl>
    <w:p w14:paraId="2DC0F2B3" w14:textId="77777777" w:rsidR="00B34A39" w:rsidRPr="00B34A39" w:rsidRDefault="00B34A39" w:rsidP="00172CCC">
      <w:pPr>
        <w:pStyle w:val="ListParagraph"/>
        <w:autoSpaceDE w:val="0"/>
        <w:spacing w:after="0"/>
        <w:ind w:left="480"/>
        <w:rPr>
          <w:rFonts w:asciiTheme="majorHAnsi" w:eastAsiaTheme="majorEastAsia" w:hAnsiTheme="majorHAnsi" w:cstheme="majorBidi"/>
          <w:b/>
          <w:bCs/>
          <w:smallCaps/>
          <w:color w:val="000000" w:themeColor="text1"/>
          <w:sz w:val="36"/>
          <w:szCs w:val="36"/>
        </w:rPr>
        <w:sectPr w:rsidR="00B34A39" w:rsidRPr="00B34A39" w:rsidSect="00C44058">
          <w:footerReference w:type="default" r:id="rId14"/>
          <w:pgSz w:w="12240" w:h="15840"/>
          <w:pgMar w:top="1440" w:right="1440" w:bottom="1440" w:left="1440" w:header="720" w:footer="720" w:gutter="0"/>
          <w:pgNumType w:start="1"/>
          <w:cols w:space="720"/>
        </w:sectPr>
      </w:pPr>
    </w:p>
    <w:p w14:paraId="756DEC01" w14:textId="2A9B7491" w:rsidR="00966563" w:rsidRDefault="551A77D0" w:rsidP="001D6F00">
      <w:pPr>
        <w:pStyle w:val="Heading1"/>
        <w:numPr>
          <w:ilvl w:val="0"/>
          <w:numId w:val="4"/>
        </w:numPr>
      </w:pPr>
      <w:bookmarkStart w:id="20" w:name="_Toc18443087"/>
      <w:r>
        <w:lastRenderedPageBreak/>
        <w:t>Methodology</w:t>
      </w:r>
      <w:bookmarkEnd w:id="20"/>
    </w:p>
    <w:p w14:paraId="567926D6" w14:textId="2E842B8D" w:rsidR="00BD136D" w:rsidRDefault="00686965" w:rsidP="001D6F00">
      <w:pPr>
        <w:pStyle w:val="Heading2"/>
        <w:numPr>
          <w:ilvl w:val="1"/>
          <w:numId w:val="5"/>
        </w:numPr>
      </w:pPr>
      <w:bookmarkStart w:id="21" w:name="_Toc18443088"/>
      <w:r>
        <w:t>Introduction</w:t>
      </w:r>
      <w:bookmarkEnd w:id="21"/>
    </w:p>
    <w:p w14:paraId="38283840" w14:textId="77777777" w:rsidR="002D744F" w:rsidRDefault="002D744F" w:rsidP="002D744F">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 which accounts for:</w:t>
      </w:r>
    </w:p>
    <w:p w14:paraId="7A02B801" w14:textId="77777777" w:rsidR="002D744F" w:rsidRDefault="002D744F" w:rsidP="002D744F">
      <w:pPr>
        <w:pStyle w:val="ListParagraph"/>
        <w:numPr>
          <w:ilvl w:val="0"/>
          <w:numId w:val="12"/>
        </w:numPr>
      </w:pPr>
      <w:r>
        <w:t xml:space="preserve">Sequestration of carbon dioxide from the atmosphere into plant biomass and soil; and </w:t>
      </w:r>
    </w:p>
    <w:p w14:paraId="5559E683" w14:textId="77777777" w:rsidR="002D744F" w:rsidRDefault="002D744F" w:rsidP="002D744F">
      <w:pPr>
        <w:pStyle w:val="ListParagraph"/>
        <w:numPr>
          <w:ilvl w:val="0"/>
          <w:numId w:val="12"/>
        </w:numPr>
      </w:pPr>
      <w:r>
        <w:t xml:space="preserve">Reduction of emissions for a solution relative to a conventional practice. </w:t>
      </w:r>
    </w:p>
    <w:p w14:paraId="74ED1C02" w14:textId="2CD40AAB" w:rsidR="002D744F" w:rsidRDefault="002D744F" w:rsidP="002D744F">
      <w:r>
        <w:t>These practices are assumed to use land of a specific type that may be shared across several solutions. Actual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2A01C7">
        <w:rPr>
          <w:vertAlign w:val="superscript"/>
        </w:rPr>
        <w:footnoteReference w:id="1"/>
      </w:r>
      <w:r>
        <w:t xml:space="preserve">) is what constituted the results. </w:t>
      </w:r>
    </w:p>
    <w:p w14:paraId="5DAA1C8C" w14:textId="0DAB4D41" w:rsidR="002D744F" w:rsidRDefault="002D744F" w:rsidP="002D744F">
      <w:r w:rsidRPr="00D57049">
        <w:t xml:space="preserve">Drawdown’s </w:t>
      </w:r>
      <w:r w:rsidR="00997F1E">
        <w:rPr>
          <w:i/>
        </w:rPr>
        <w:t>afforestation</w:t>
      </w:r>
      <w:r w:rsidRPr="00D57049">
        <w:t xml:space="preserve"> solution models</w:t>
      </w:r>
      <w:r>
        <w:t xml:space="preserve"> future</w:t>
      </w:r>
      <w:r w:rsidRPr="00D57049">
        <w:t xml:space="preserve"> adoption </w:t>
      </w:r>
      <w:r w:rsidR="00272A49" w:rsidRPr="00823702">
        <w:t>on marginal, degraded, or abandoned lands, in particular unproductive pasture or agricultural land under thermal-moisture regimes that could support trees</w:t>
      </w:r>
      <w:r w:rsidRPr="00D57049">
        <w:t xml:space="preserve">. </w:t>
      </w:r>
      <w:r w:rsidRPr="00E01AA3">
        <w:t xml:space="preserve">Current adoption is estimated at </w:t>
      </w:r>
      <w:r>
        <w:t>about</w:t>
      </w:r>
      <w:r>
        <w:rPr>
          <w:color w:val="000000"/>
        </w:rPr>
        <w:t xml:space="preserve"> </w:t>
      </w:r>
      <w:r w:rsidR="006F3213">
        <w:rPr>
          <w:color w:val="000000"/>
        </w:rPr>
        <w:t>290</w:t>
      </w:r>
      <w:r>
        <w:rPr>
          <w:color w:val="000000"/>
        </w:rPr>
        <w:t xml:space="preserve"> million hectares (FAO 2015). While </w:t>
      </w:r>
      <w:r w:rsidR="000B1629">
        <w:rPr>
          <w:color w:val="000000"/>
        </w:rPr>
        <w:t>forest plantations</w:t>
      </w:r>
      <w:r w:rsidR="00E85E1D">
        <w:rPr>
          <w:color w:val="000000"/>
        </w:rPr>
        <w:t xml:space="preserve"> systems</w:t>
      </w:r>
      <w:r>
        <w:rPr>
          <w:color w:val="000000"/>
        </w:rPr>
        <w:t xml:space="preserve"> are most prevalent in </w:t>
      </w:r>
      <w:r w:rsidR="00E85E1D">
        <w:rPr>
          <w:color w:val="000000"/>
        </w:rPr>
        <w:t xml:space="preserve">boreal or temperate regions, </w:t>
      </w:r>
      <w:r>
        <w:rPr>
          <w:color w:val="000000"/>
        </w:rPr>
        <w:t xml:space="preserve">they are also found in </w:t>
      </w:r>
      <w:r w:rsidR="00E85E1D">
        <w:rPr>
          <w:color w:val="000000"/>
        </w:rPr>
        <w:t>the tropics</w:t>
      </w:r>
      <w:r>
        <w:rPr>
          <w:color w:val="000000"/>
        </w:rPr>
        <w:t xml:space="preserve">. </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3EA72B7D" w:rsidR="00882559" w:rsidRPr="00D45F43" w:rsidRDefault="00882559" w:rsidP="00DB4CC8">
      <w:pPr>
        <w:rPr>
          <w:color w:val="000000" w:themeColor="text1"/>
        </w:rPr>
      </w:pPr>
      <w:r w:rsidRPr="00D57049">
        <w:rPr>
          <w:color w:val="000000" w:themeColor="text1"/>
        </w:rPr>
        <w:t xml:space="preserve">The </w:t>
      </w:r>
      <w:r w:rsidR="00540F4D">
        <w:rPr>
          <w:color w:val="000000" w:themeColor="text1"/>
        </w:rPr>
        <w:t>land manager</w:t>
      </w:r>
      <w:r w:rsidRPr="00D57049">
        <w:rPr>
          <w:color w:val="000000" w:themeColor="text1"/>
        </w:rPr>
        <w:t xml:space="preserve"> is selected as the agency level for this solution. Though certainly other agents can, do, and should play an important role in this solution, the decision-maker on the ground is the most critical player in implementation. </w:t>
      </w:r>
    </w:p>
    <w:p w14:paraId="298F46AB" w14:textId="7012C091" w:rsidR="00F52595" w:rsidRDefault="00686965" w:rsidP="001D6F00">
      <w:pPr>
        <w:pStyle w:val="Heading2"/>
        <w:numPr>
          <w:ilvl w:val="1"/>
          <w:numId w:val="4"/>
        </w:numPr>
      </w:pPr>
      <w:bookmarkStart w:id="22" w:name="_Toc18443089"/>
      <w:r>
        <w:t>Data Sources</w:t>
      </w:r>
      <w:bookmarkEnd w:id="22"/>
    </w:p>
    <w:p w14:paraId="7A23E165" w14:textId="248A6D6C" w:rsidR="00272A49" w:rsidRDefault="00272A49" w:rsidP="00272A49">
      <w:r w:rsidRPr="00C70984">
        <w:t xml:space="preserve">Data for the model was drawn from </w:t>
      </w:r>
      <w:r>
        <w:t xml:space="preserve">a review of </w:t>
      </w:r>
      <w:r w:rsidR="00931AD9">
        <w:t xml:space="preserve">45 </w:t>
      </w:r>
      <w:r>
        <w:t xml:space="preserve">peer-reviewed </w:t>
      </w:r>
      <w:r w:rsidR="00931AD9">
        <w:t>publication</w:t>
      </w:r>
      <w:r w:rsidR="00111C82">
        <w:t xml:space="preserve"> as well as from</w:t>
      </w:r>
      <w:r>
        <w:t xml:space="preserve"> grey literature (e.g government reports and university financial resources for farmers</w:t>
      </w:r>
      <w:r w:rsidR="00111C82">
        <w:t>) and</w:t>
      </w:r>
      <w:r>
        <w:t xml:space="preserve"> public sector sources </w:t>
      </w:r>
      <w:r w:rsidR="001F3124">
        <w:t xml:space="preserve">(e.g. </w:t>
      </w:r>
      <w:r>
        <w:t xml:space="preserve">FAO </w:t>
      </w:r>
      <w:r w:rsidR="001F3124">
        <w:t>&amp;</w:t>
      </w:r>
      <w:r>
        <w:t xml:space="preserve"> USDA publications</w:t>
      </w:r>
      <w:r w:rsidR="001F3124">
        <w:t>)</w:t>
      </w:r>
      <w:r>
        <w:t xml:space="preserve">. </w:t>
      </w:r>
    </w:p>
    <w:p w14:paraId="1A726839" w14:textId="273EE269" w:rsidR="00000685" w:rsidRPr="00000685" w:rsidRDefault="006D4142" w:rsidP="006D6A94">
      <w:r w:rsidRPr="00EF3180">
        <w:lastRenderedPageBreak/>
        <w:t xml:space="preserve">One of </w:t>
      </w:r>
      <w:r>
        <w:t>major</w:t>
      </w:r>
      <w:r w:rsidRPr="00EF3180">
        <w:t xml:space="preserve"> challenges with establishing global values for </w:t>
      </w:r>
      <w:r w:rsidR="000B1629">
        <w:t>forest plantations</w:t>
      </w:r>
      <w:r w:rsidRPr="00EF3180">
        <w:t xml:space="preserve"> </w:t>
      </w:r>
      <w:r>
        <w:t>is</w:t>
      </w:r>
      <w:r w:rsidRPr="00EF3180">
        <w:t xml:space="preserve"> the wide ranges of </w:t>
      </w:r>
      <w:r>
        <w:t xml:space="preserve">existing </w:t>
      </w:r>
      <w:r w:rsidRPr="00EF3180">
        <w:t>data values</w:t>
      </w:r>
      <w:r>
        <w:t>, methodologies used and variation in terms of reported numbers (e.g. for carbon sequestration, different studies reported above-ground biomass sequestration, total biomass sequestration, or biomass plus soil sequestration values)</w:t>
      </w:r>
      <w:r w:rsidRPr="00EF3180">
        <w:t>.</w:t>
      </w:r>
      <w:r>
        <w:t xml:space="preserve"> </w:t>
      </w:r>
      <w:r w:rsidR="00906DC3">
        <w:t>Another challenge is that forest plantations are often lumped together with other afforestation solutions (e.g. agroforestry, bamboo and/or biomass for biofuel plantations)</w:t>
      </w:r>
      <w:r w:rsidR="007306E5">
        <w:t xml:space="preserve">. </w:t>
      </w:r>
      <w:r w:rsidR="00631F1C">
        <w:t>Nevertheless, w</w:t>
      </w:r>
      <w:r w:rsidR="007306E5">
        <w:t>here</w:t>
      </w:r>
      <w:r w:rsidR="009564E3">
        <w:t>ver</w:t>
      </w:r>
      <w:r w:rsidR="007306E5">
        <w:t xml:space="preserve"> possible, data specific to forest plantations established through afforestation was used in the model.</w:t>
      </w:r>
    </w:p>
    <w:p w14:paraId="3F6B79A0" w14:textId="2B9AFD9B" w:rsidR="00DF4904" w:rsidRPr="00882559" w:rsidRDefault="00686965" w:rsidP="001D6F00">
      <w:pPr>
        <w:pStyle w:val="Heading2"/>
        <w:numPr>
          <w:ilvl w:val="1"/>
          <w:numId w:val="4"/>
        </w:numPr>
      </w:pPr>
      <w:bookmarkStart w:id="23" w:name="_Toc18443090"/>
      <w:r w:rsidRPr="00882559">
        <w:t xml:space="preserve">Total </w:t>
      </w:r>
      <w:r w:rsidR="00882559" w:rsidRPr="00882559">
        <w:t>Available Land</w:t>
      </w:r>
      <w:bookmarkEnd w:id="23"/>
    </w:p>
    <w:p w14:paraId="323A0B1D" w14:textId="77777777" w:rsidR="00E12CAB" w:rsidRDefault="00E12CAB" w:rsidP="00E12CAB">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77C929CE" w14:textId="77777777" w:rsidR="00E12CAB" w:rsidRDefault="00E12CAB" w:rsidP="00E12CAB">
      <w:pPr>
        <w:spacing w:after="0"/>
        <w:rPr>
          <w:rFonts w:eastAsia="Times New Roman" w:cstheme="minorHAnsi"/>
          <w:color w:val="000000" w:themeColor="text1"/>
          <w:lang w:eastAsia="zh-CN"/>
        </w:rPr>
      </w:pPr>
    </w:p>
    <w:p w14:paraId="7B55AE9B" w14:textId="77777777" w:rsidR="00E12CAB" w:rsidRPr="003970F9" w:rsidRDefault="00E12CAB" w:rsidP="00E12CAB">
      <w:pPr>
        <w:pStyle w:val="ListParagraph"/>
        <w:numPr>
          <w:ilvl w:val="0"/>
          <w:numId w:val="13"/>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ata on global land-use and availability is acquired from Global Agro-Ecological Zones database, developed by the Food and Agriculture Organization of the United Nations (FAO) and the International Institute for Applied Systems Analysis (IIASA).</w:t>
      </w:r>
    </w:p>
    <w:p w14:paraId="21186A5E" w14:textId="77777777" w:rsidR="00E12CAB" w:rsidRDefault="00E12CAB" w:rsidP="00E12CAB">
      <w:pPr>
        <w:pStyle w:val="ListParagraph"/>
        <w:numPr>
          <w:ilvl w:val="0"/>
          <w:numId w:val="13"/>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In the second stage, land is allocated using the Drawdown Agro-Ecological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40B56DF1" w14:textId="77777777" w:rsidR="00E12CAB" w:rsidRPr="00D86BE9" w:rsidRDefault="00E12CAB" w:rsidP="00E12CAB">
      <w:pPr>
        <w:spacing w:after="0"/>
        <w:contextualSpacing/>
        <w:rPr>
          <w:rFonts w:eastAsia="Times New Roman" w:cs="Times New Roman"/>
          <w:color w:val="000000" w:themeColor="text1"/>
          <w:lang w:eastAsia="zh-CN"/>
        </w:rPr>
      </w:pPr>
    </w:p>
    <w:p w14:paraId="06A4353B" w14:textId="16E7D63C" w:rsidR="00CE1213" w:rsidRDefault="00E12CAB" w:rsidP="00E12CAB">
      <w:pPr>
        <w:spacing w:after="0"/>
        <w:rPr>
          <w:rFonts w:eastAsia="Times New Roman" w:cstheme="minorHAnsi"/>
          <w:color w:val="000000" w:themeColor="text1"/>
          <w:lang w:eastAsia="zh-CN"/>
        </w:rPr>
      </w:pPr>
      <w:r w:rsidRPr="00D8218B">
        <w:rPr>
          <w:rFonts w:eastAsia="Times New Roman" w:cs="Times New Roman"/>
          <w:color w:val="000000" w:themeColor="text1"/>
          <w:lang w:eastAsia="zh-CN"/>
        </w:rPr>
        <w:t>The total land allocated for each solution is capped at the solution’s maximum adoption in the </w:t>
      </w:r>
      <w:r w:rsidRPr="00457A0E">
        <w:rPr>
          <w:rFonts w:eastAsia="Times New Roman" w:cs="Times New Roman"/>
          <w:i/>
          <w:iCs/>
          <w:color w:val="000000" w:themeColor="text1"/>
          <w:lang w:eastAsia="zh-CN"/>
        </w:rPr>
        <w:t>Optimum</w:t>
      </w:r>
      <w:r w:rsidRPr="00457A0E">
        <w:rPr>
          <w:rFonts w:eastAsia="Times New Roman" w:cs="Times New Roman"/>
          <w:color w:val="000000" w:themeColor="text1"/>
          <w:lang w:eastAsia="zh-CN"/>
        </w:rPr>
        <w:t xml:space="preserve"> Scenario. </w:t>
      </w:r>
      <w:r w:rsidRPr="003970F9">
        <w:rPr>
          <w:rFonts w:eastAsia="Times New Roman" w:cstheme="minorHAnsi"/>
          <w:color w:val="000000" w:themeColor="text1"/>
          <w:lang w:eastAsia="zh-CN"/>
        </w:rPr>
        <w:t>Thus, Drawdown estimates of total available land are very conservative as final allocation numbers are less than those determined purely through technical potential.</w:t>
      </w:r>
      <w:r w:rsidR="0081046D">
        <w:rPr>
          <w:rFonts w:eastAsia="Times New Roman" w:cstheme="minorHAnsi"/>
          <w:color w:val="000000" w:themeColor="text1"/>
          <w:lang w:eastAsia="zh-CN"/>
        </w:rPr>
        <w:t xml:space="preserve"> </w:t>
      </w:r>
      <w:r w:rsidR="0081046D">
        <w:rPr>
          <w:rFonts w:eastAsia="Times New Roman" w:cstheme="minorHAnsi"/>
          <w:color w:val="000000" w:themeColor="text1"/>
          <w:shd w:val="clear" w:color="auto" w:fill="FFFFFF"/>
          <w:lang w:eastAsia="zh-CN"/>
        </w:rPr>
        <w:t xml:space="preserve">Drawdown </w:t>
      </w:r>
      <w:r w:rsidR="0081046D" w:rsidRPr="00A750E2">
        <w:rPr>
          <w:rFonts w:eastAsia="Times New Roman" w:cstheme="minorHAnsi"/>
          <w:color w:val="000000" w:themeColor="text1"/>
          <w:shd w:val="clear" w:color="auto" w:fill="FFFFFF"/>
          <w:lang w:eastAsia="zh-CN"/>
        </w:rPr>
        <w:t>new adoption</w:t>
      </w:r>
      <w:r w:rsidR="0081046D">
        <w:rPr>
          <w:rFonts w:eastAsia="Times New Roman" w:cstheme="minorHAnsi"/>
          <w:color w:val="000000" w:themeColor="text1"/>
          <w:shd w:val="clear" w:color="auto" w:fill="FFFFFF"/>
          <w:lang w:eastAsia="zh-CN"/>
        </w:rPr>
        <w:t xml:space="preserve"> potential</w:t>
      </w:r>
      <w:r w:rsidR="0081046D" w:rsidRPr="00A750E2">
        <w:rPr>
          <w:rFonts w:eastAsia="Times New Roman" w:cstheme="minorHAnsi"/>
          <w:color w:val="000000" w:themeColor="text1"/>
          <w:shd w:val="clear" w:color="auto" w:fill="FFFFFF"/>
          <w:lang w:eastAsia="zh-CN"/>
        </w:rPr>
        <w:t xml:space="preserve"> </w:t>
      </w:r>
      <w:r w:rsidR="0081046D">
        <w:rPr>
          <w:rFonts w:eastAsia="Times New Roman" w:cstheme="minorHAnsi"/>
          <w:color w:val="000000" w:themeColor="text1"/>
          <w:shd w:val="clear" w:color="auto" w:fill="FFFFFF"/>
          <w:lang w:eastAsia="zh-CN"/>
        </w:rPr>
        <w:t xml:space="preserve">for </w:t>
      </w:r>
      <w:r w:rsidR="0081046D">
        <w:rPr>
          <w:rFonts w:eastAsia="Times New Roman" w:cstheme="minorHAnsi"/>
          <w:color w:val="000000" w:themeColor="text1"/>
          <w:lang w:eastAsia="zh-CN"/>
        </w:rPr>
        <w:t>silvopasture</w:t>
      </w:r>
      <w:r w:rsidR="0081046D" w:rsidRPr="00A750E2">
        <w:rPr>
          <w:rFonts w:eastAsia="Times New Roman" w:cstheme="minorHAnsi"/>
          <w:color w:val="000000" w:themeColor="text1"/>
          <w:shd w:val="clear" w:color="auto" w:fill="FFFFFF"/>
          <w:lang w:eastAsia="zh-CN"/>
        </w:rPr>
        <w:t xml:space="preserve"> is modeled </w:t>
      </w:r>
      <w:r w:rsidR="0081046D">
        <w:rPr>
          <w:rFonts w:eastAsia="Times New Roman" w:cstheme="minorHAnsi"/>
          <w:color w:val="000000" w:themeColor="text1"/>
          <w:shd w:val="clear" w:color="auto" w:fill="FFFFFF"/>
          <w:lang w:eastAsia="zh-CN"/>
        </w:rPr>
        <w:t xml:space="preserve">specifically </w:t>
      </w:r>
      <w:r w:rsidR="0081046D" w:rsidRPr="00A750E2">
        <w:rPr>
          <w:rFonts w:eastAsia="Times New Roman" w:cstheme="minorHAnsi"/>
          <w:color w:val="000000" w:themeColor="text1"/>
          <w:shd w:val="clear" w:color="auto" w:fill="FFFFFF"/>
          <w:lang w:eastAsia="zh-CN"/>
        </w:rPr>
        <w:t>on</w:t>
      </w:r>
      <w:r w:rsidR="0081046D">
        <w:rPr>
          <w:rFonts w:eastAsia="Times New Roman" w:cstheme="minorHAnsi"/>
          <w:color w:val="000000" w:themeColor="text1"/>
          <w:shd w:val="clear" w:color="auto" w:fill="FFFFFF"/>
          <w:lang w:eastAsia="zh-CN"/>
        </w:rPr>
        <w:t xml:space="preserve"> </w:t>
      </w:r>
      <w:r w:rsidR="0081046D" w:rsidRPr="00E12CAB">
        <w:rPr>
          <w:u w:val="single"/>
        </w:rPr>
        <w:t>degraded, abandoned, and marginal crop- and grassland</w:t>
      </w:r>
      <w:r w:rsidR="0081046D" w:rsidRPr="00B80A5B">
        <w:t xml:space="preserve"> globally </w:t>
      </w:r>
      <w:r w:rsidR="0081046D">
        <w:t xml:space="preserve">suitable for </w:t>
      </w:r>
      <w:r w:rsidR="000B1629">
        <w:t>forest plantations</w:t>
      </w:r>
      <w:r w:rsidR="0081046D">
        <w:t>.</w:t>
      </w:r>
    </w:p>
    <w:p w14:paraId="76702B5A" w14:textId="77777777" w:rsidR="00E12CAB" w:rsidRDefault="00E12CAB" w:rsidP="00E12CAB">
      <w:pPr>
        <w:spacing w:after="0"/>
        <w:rPr>
          <w:rFonts w:eastAsia="Times New Roman" w:cstheme="minorHAnsi"/>
          <w:color w:val="000000" w:themeColor="text1"/>
          <w:lang w:eastAsia="zh-CN"/>
        </w:rPr>
      </w:pPr>
    </w:p>
    <w:p w14:paraId="4EBAB79C" w14:textId="767BB0AD" w:rsidR="0081046D" w:rsidRPr="00CE1213" w:rsidRDefault="00855355" w:rsidP="0081046D">
      <w:r w:rsidRPr="0011542F">
        <w:t>In terms of future projections, global-level</w:t>
      </w:r>
      <w:r w:rsidR="0081046D" w:rsidRPr="0011542F">
        <w:t xml:space="preserve"> studies </w:t>
      </w:r>
      <w:r w:rsidR="00BD663E" w:rsidRPr="0011542F">
        <w:t>do not consistently</w:t>
      </w:r>
      <w:r w:rsidRPr="0011542F">
        <w:t xml:space="preserve"> differentiate between general</w:t>
      </w:r>
      <w:r w:rsidR="0081046D" w:rsidRPr="0011542F">
        <w:t xml:space="preserve"> </w:t>
      </w:r>
      <w:r w:rsidRPr="0011542F">
        <w:t>afforestation and forest plantations in their estimates. We therefore use existing estimates for afforestation expansion, which have been determined by different authors through use of varying m</w:t>
      </w:r>
      <w:r w:rsidR="0081046D" w:rsidRPr="0011542F">
        <w:t xml:space="preserve">ethods, models, and </w:t>
      </w:r>
      <w:r w:rsidR="0081046D" w:rsidRPr="0011542F">
        <w:lastRenderedPageBreak/>
        <w:t xml:space="preserve">carbon rental rate assumptions. </w:t>
      </w:r>
      <w:r w:rsidR="0011542F" w:rsidRPr="0011542F">
        <w:t xml:space="preserve"> </w:t>
      </w:r>
      <w:r w:rsidR="0011542F" w:rsidRPr="0011542F">
        <w:fldChar w:fldCharType="begin"/>
      </w:r>
      <w:r w:rsidR="0011542F" w:rsidRPr="0011542F">
        <w:instrText xml:space="preserve"> ADDIN ZOTERO_ITEM CSL_CITATION {"citationID":"mTlda08D","properties":{"formattedCitation":"(Zomer, Trabucco, Coe, &amp; Place, 2009)","plainCitation":"(Zomer, Trabucco, Coe, &amp; Place, 2009)","noteIndex":0},"citationItems":[{"id":547,"uris":["http://zotero.org/groups/2241939/items/3KP9ISZE"],"uri":["http://zotero.org/groups/2241939/items/3KP9ISZE"],"itemData":{"id":547,"type":"report","title":"Trees on Farm: Analysis of Global Extent and Geographic Patterns of Agroforestry","publisher":"World Agroforestry Centre","publisher-place":"Nairobi, Kenya","event-place":"Nairobi, Kenya","URL":"http://www.worldagroforestry.org/sites/default/files/WP89_text_only.pdf","number":"ICRAF Working Paper no. 89","author":[{"family":"Zomer","given":"R. J."},{"family":"Trabucco","given":"A."},{"family":"Coe","given":"R."},{"family":"Place","given":"F"}],"issued":{"date-parts":[["2009"]]}}}],"schema":"https://github.com/citation-style-language/schema/raw/master/csl-citation.json"} </w:instrText>
      </w:r>
      <w:r w:rsidR="0011542F" w:rsidRPr="0011542F">
        <w:fldChar w:fldCharType="separate"/>
      </w:r>
      <w:r w:rsidR="008B187E" w:rsidRPr="008B187E">
        <w:rPr>
          <w:rFonts w:cs="Times New Roman"/>
        </w:rPr>
        <w:t>(Zomer, Trabucco, Coe, &amp; Place, 2009)</w:t>
      </w:r>
      <w:r w:rsidR="0011542F" w:rsidRPr="0011542F">
        <w:fldChar w:fldCharType="end"/>
      </w:r>
      <w:r w:rsidR="0081046D" w:rsidRPr="0011542F">
        <w:t xml:space="preserve"> estimate 749 Mha available in the developing world, while </w:t>
      </w:r>
      <w:r w:rsidR="0011542F" w:rsidRPr="0011542F">
        <w:fldChar w:fldCharType="begin"/>
      </w:r>
      <w:r w:rsidR="0011542F" w:rsidRPr="0011542F">
        <w:instrText xml:space="preserve"> ADDIN ZOTERO_ITEM CSL_CITATION {"citationID":"KQp8xBag","properties":{"formattedCitation":"(van Minnen, Strengers, Eickhout, Swart, &amp; Leemans, 2008)","plainCitation":"(van Minnen, Strengers, Eickhout, Swart, &amp; Leemans, 2008)","noteIndex":0},"citationItems":[{"id":19,"uris":["http://zotero.org/groups/2241939/items/M8I4GEYZ"],"uri":["http://zotero.org/groups/2241939/items/M8I4GEYZ"],"itemData":{"id":19,"type":"article-journal","title":"Quantifying the effectiveness of climate change mitigation through forest plantations and carbon sequestration with an integrated land-use model","container-title":"Carbon Balance and Management","page":"1–20","volume":"3","issue":"3","source":"Google Scholar","author":[{"family":"Minnen","given":"Jelle G.","non-dropping-particle":"van"},{"family":"Strengers","given":"Bart J."},{"family":"Eickhout","given":"Bas"},{"family":"Swart","given":"Rob J."},{"family":"Leemans","given":"Rik"}],"issued":{"date-parts":[["2008"]]}}}],"schema":"https://github.com/citation-style-language/schema/raw/master/csl-citation.json"} </w:instrText>
      </w:r>
      <w:r w:rsidR="0011542F" w:rsidRPr="0011542F">
        <w:fldChar w:fldCharType="separate"/>
      </w:r>
      <w:r w:rsidR="008B187E" w:rsidRPr="008B187E">
        <w:rPr>
          <w:rFonts w:cs="Times New Roman"/>
        </w:rPr>
        <w:t>(van Minnen, Strengers, Eickhout, Swart, &amp; Leemans, 2008)</w:t>
      </w:r>
      <w:r w:rsidR="0011542F" w:rsidRPr="0011542F">
        <w:fldChar w:fldCharType="end"/>
      </w:r>
      <w:r w:rsidR="0011542F" w:rsidRPr="0011542F">
        <w:rPr>
          <w:rFonts w:cs="Times New Roman"/>
        </w:rPr>
        <w:t>(Sohngen &amp; Mendelsohn, 2003)</w:t>
      </w:r>
      <w:r w:rsidR="0081046D" w:rsidRPr="0011542F">
        <w:t>arrive at</w:t>
      </w:r>
      <w:r w:rsidR="0011542F" w:rsidRPr="0011542F">
        <w:t xml:space="preserve"> a</w:t>
      </w:r>
      <w:r w:rsidR="0081046D" w:rsidRPr="0011542F">
        <w:t xml:space="preserve"> total maximum potential of 2750 Mha. When examining economic feasibility, </w:t>
      </w:r>
      <w:r w:rsidR="0011542F" w:rsidRPr="0011542F">
        <w:fldChar w:fldCharType="begin"/>
      </w:r>
      <w:r w:rsidR="0011542F" w:rsidRPr="0011542F">
        <w:instrText xml:space="preserve"> ADDIN ZOTERO_ITEM CSL_CITATION {"citationID":"qWllnkWD","properties":{"formattedCitation":"(Sohngen &amp; Mendelsohn, 2003)","plainCitation":"(Sohngen &amp; Mendelsohn, 2003)","noteIndex":0},"citationItems":[{"id":20,"uris":["http://zotero.org/groups/2241939/items/HN6X5PZU"],"uri":["http://zotero.org/groups/2241939/items/HN6X5PZU"],"itemData":{"id":20,"type":"article-journal","title":"An optimal control model of forest carbon sequestration","container-title":"American Journal of Agricultural Economics","page":"448–457","volume":"85","issue":"2","source":"Google Scholar","author":[{"family":"Sohngen","given":"Brent"},{"family":"Mendelsohn","given":"Robert"}],"issued":{"date-parts":[["2003"]]}}}],"schema":"https://github.com/citation-style-language/schema/raw/master/csl-citation.json"} </w:instrText>
      </w:r>
      <w:r w:rsidR="0011542F" w:rsidRPr="0011542F">
        <w:fldChar w:fldCharType="separate"/>
      </w:r>
      <w:r w:rsidR="008B187E" w:rsidRPr="008B187E">
        <w:rPr>
          <w:rFonts w:cs="Times New Roman"/>
        </w:rPr>
        <w:t>(Sohngen &amp; Mendelsohn, 2003)</w:t>
      </w:r>
      <w:r w:rsidR="0011542F" w:rsidRPr="0011542F">
        <w:fldChar w:fldCharType="end"/>
      </w:r>
      <w:r w:rsidR="0011542F">
        <w:t xml:space="preserve"> </w:t>
      </w:r>
      <w:r w:rsidR="0081046D" w:rsidRPr="0011542F">
        <w:t xml:space="preserve">estimated 488 Mha of </w:t>
      </w:r>
      <w:r w:rsidRPr="0011542F">
        <w:t>afforestation</w:t>
      </w:r>
      <w:r w:rsidR="0081046D" w:rsidRPr="0011542F">
        <w:t xml:space="preserve"> potential, implying that additional policies may still be needed to incentivize</w:t>
      </w:r>
      <w:r w:rsidR="0081046D">
        <w:t xml:space="preserve"> </w:t>
      </w:r>
      <w:r>
        <w:t>afforestation</w:t>
      </w:r>
      <w:r w:rsidR="0081046D">
        <w:t xml:space="preserve"> to allow it to</w:t>
      </w:r>
      <w:r w:rsidR="0081046D" w:rsidRPr="00EF3180">
        <w:t xml:space="preserve"> reach </w:t>
      </w:r>
      <w:r w:rsidR="0081046D">
        <w:t>its</w:t>
      </w:r>
      <w:r w:rsidR="0081046D" w:rsidRPr="00EF3180">
        <w:t xml:space="preserve"> global </w:t>
      </w:r>
      <w:r w:rsidR="0081046D">
        <w:t>carbon</w:t>
      </w:r>
      <w:r w:rsidR="0081046D" w:rsidRPr="00EF3180">
        <w:t xml:space="preserve"> sequestration potential.</w:t>
      </w:r>
    </w:p>
    <w:p w14:paraId="5D6E68E7" w14:textId="6EA9169A" w:rsidR="0081046D" w:rsidRDefault="0081046D" w:rsidP="00CE1213">
      <w:pPr>
        <w:rPr>
          <w:color w:val="000000"/>
        </w:rPr>
      </w:pPr>
      <w:r>
        <w:rPr>
          <w:color w:val="000000" w:themeColor="text1"/>
        </w:rPr>
        <w:t xml:space="preserve">Drawdown’s </w:t>
      </w:r>
      <w:r w:rsidRPr="00A3451A">
        <w:rPr>
          <w:color w:val="000000" w:themeColor="text1"/>
        </w:rPr>
        <w:t>maximum area allocated to </w:t>
      </w:r>
      <w:r w:rsidR="00E51050">
        <w:rPr>
          <w:rStyle w:val="Emphasis"/>
          <w:color w:val="000000" w:themeColor="text1"/>
        </w:rPr>
        <w:t>afforestation</w:t>
      </w:r>
      <w:r w:rsidRPr="00A3451A">
        <w:rPr>
          <w:color w:val="000000" w:themeColor="text1"/>
        </w:rPr>
        <w:t> is</w:t>
      </w:r>
      <w:r>
        <w:rPr>
          <w:color w:val="000000" w:themeColor="text1"/>
        </w:rPr>
        <w:t xml:space="preserve"> </w:t>
      </w:r>
      <w:r w:rsidR="006F3213">
        <w:rPr>
          <w:u w:val="single"/>
        </w:rPr>
        <w:t>582</w:t>
      </w:r>
      <w:r w:rsidRPr="0011542F">
        <w:rPr>
          <w:u w:val="single"/>
        </w:rPr>
        <w:t xml:space="preserve"> </w:t>
      </w:r>
      <w:r w:rsidRPr="0081046D">
        <w:rPr>
          <w:u w:val="single"/>
        </w:rPr>
        <w:t>million hectares</w:t>
      </w:r>
      <w:r>
        <w:rPr>
          <w:color w:val="000000" w:themeColor="text1"/>
        </w:rPr>
        <w:t xml:space="preserve">. This value is lower than estimates given in the literature, as it is both based on this existing data regarding available and suitable marginal and degraded grassland area, as well as on land allocation as determined through </w:t>
      </w:r>
      <w:r w:rsidRPr="006559D4">
        <w:rPr>
          <w:rFonts w:eastAsia="Times New Roman" w:cstheme="minorHAnsi"/>
          <w:color w:val="000000" w:themeColor="text1"/>
          <w:lang w:eastAsia="zh-CN"/>
        </w:rPr>
        <w:t>the Drawdown Agro-Ecological Zone model</w:t>
      </w:r>
      <w:r>
        <w:rPr>
          <w:rFonts w:eastAsia="Times New Roman" w:cstheme="minorHAnsi"/>
          <w:color w:val="000000" w:themeColor="text1"/>
          <w:shd w:val="clear" w:color="auto" w:fill="FFFFFF"/>
          <w:lang w:eastAsia="zh-CN"/>
        </w:rPr>
        <w:t xml:space="preserve">. </w:t>
      </w:r>
      <w:r>
        <w:rPr>
          <w:color w:val="000000"/>
        </w:rPr>
        <w:t>This figure is used throughout the Drawdown model for this solution.</w:t>
      </w:r>
      <w:r w:rsidRPr="00A3451A">
        <w:rPr>
          <w:color w:val="000000"/>
        </w:rPr>
        <w:t> </w:t>
      </w:r>
    </w:p>
    <w:p w14:paraId="4303D5C0" w14:textId="73B6CC64" w:rsidR="00B144E5" w:rsidRPr="00172CCC" w:rsidRDefault="00686965" w:rsidP="001D6F00">
      <w:pPr>
        <w:pStyle w:val="Heading2"/>
        <w:numPr>
          <w:ilvl w:val="1"/>
          <w:numId w:val="4"/>
        </w:numPr>
      </w:pPr>
      <w:bookmarkStart w:id="24" w:name="_Toc18443091"/>
      <w:r w:rsidRPr="00172CCC">
        <w:t>Adoption Scenarios</w:t>
      </w:r>
      <w:bookmarkEnd w:id="24"/>
    </w:p>
    <w:p w14:paraId="713E2B14" w14:textId="77777777" w:rsidR="003C7139" w:rsidRDefault="003C7139" w:rsidP="00FB6771">
      <w:bookmarkStart w:id="25" w:name="_Hlk525033174"/>
      <w:r w:rsidRPr="00E2610A">
        <w:t>Two different types of adoption scenarios were developed: 1) a Reference (REF) Case which was considered the baseline, where not much changes in the world; and 2) a set of Project Drawdown Scenarios (PDS) with varying levels of ambitious adoption of the solution. Published results show the comparison of one PDS to the REF, and therefore focus on the change to the world relative to a baseline.</w:t>
      </w:r>
    </w:p>
    <w:p w14:paraId="1EBDEC21" w14:textId="0B78FC31" w:rsidR="009F49FC" w:rsidRDefault="00106690" w:rsidP="00A3451A">
      <w:r>
        <w:t xml:space="preserve">Drawdown’s future adoption for afforested forest plantations is based on both linear projections of current global data </w:t>
      </w:r>
      <w:r w:rsidR="0011542F">
        <w:fldChar w:fldCharType="begin"/>
      </w:r>
      <w:r w:rsidR="0011542F">
        <w:instrText xml:space="preserve"> ADDIN ZOTERO_ITEM CSL_CITATION {"citationID":"CLxcaZ0Q","properties":{"formattedCitation":"(FAO,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11542F">
        <w:fldChar w:fldCharType="separate"/>
      </w:r>
      <w:r w:rsidR="0011542F" w:rsidRPr="0011542F">
        <w:rPr>
          <w:rFonts w:cs="Times New Roman"/>
        </w:rPr>
        <w:t>(FAO, 2010)</w:t>
      </w:r>
      <w:r w:rsidR="0011542F">
        <w:fldChar w:fldCharType="end"/>
      </w:r>
      <w:r w:rsidR="00917E9F">
        <w:t xml:space="preserve"> for afforestation/planted forests,</w:t>
      </w:r>
      <w:r>
        <w:t xml:space="preserve"> and on </w:t>
      </w:r>
      <w:r w:rsidR="006235B0">
        <w:t>model projection from recent literature</w:t>
      </w:r>
      <w:r w:rsidR="0011542F">
        <w:t xml:space="preserve"> </w:t>
      </w:r>
      <w:r w:rsidR="0011542F">
        <w:fldChar w:fldCharType="begin"/>
      </w:r>
      <w:r w:rsidR="0011542F">
        <w:instrText xml:space="preserve"> ADDIN ZOTERO_ITEM CSL_CITATION {"citationID":"c0PEKFqe","properties":{"formattedCitation":"(Evans, 2009; Kreidenweis et al., 2016)","plainCitation":"(Evans, 2009; Kreidenweis et al., 2016)","noteIndex":0},"citationItems":[{"id":2861,"uris":["http://zotero.org/groups/2241939/items/87SIBWPU"],"uri":["http://zotero.org/groups/2241939/items/87SIBWPU"],"itemData":{"id":2861,"type":"book","title":"Planted forests: uses, impacts, and sustainability","publisher":"Published jointly by Food and Agriculture Organization of the United Nations and Cabi Pub","publisher-place":"Wallingford, UK ; Cambridge, MA","number-of-pages":"213","source":"Library of Congress ISBN","event-place":"Wallingford, UK ; Cambridge, MA","ISBN":"978-1-84593-564-1","call-number":"SD409 .P685 2009","note":"OCLC: ocn354817471","shortTitle":"Planted forests","language":"en","editor":[{"family":"Evans","given":"Julian"}],"issued":{"date-parts":[["2009"]]}}},{"id":2696,"uris":["http://zotero.org/groups/2241939/items/JREWLU4A"],"uri":["http://zotero.org/groups/2241939/items/JREWLU4A"],"itemData":{"id":2696,"type":"article-journal","title":"Afforestation to mitigate climate change: impacts on food prices under consideration of albedo effects","container-title":"Environmental Research Letters","page":"085001","volume":"11","issue":"8","source":"Crossref","DOI":"10.1088/1748-9326/11/8/085001","ISSN":"1748-9326","shortTitle":"Afforestation to mitigate climate change","language":"en","author":[{"family":"Kreidenweis","given":"Ulrich"},{"family":"Humpenöder","given":"Florian"},{"family":"Stevanović","given":"Miodrag"},{"family":"Bodirsky","given":"Benjamin Leon"},{"family":"Kriegler","given":"Elmar"},{"family":"Lotze-Campen","given":"Hermann"},{"family":"Popp","given":"Alexander"}],"issued":{"date-parts":[["2016",8,1]]}}}],"schema":"https://github.com/citation-style-language/schema/raw/master/csl-citation.json"} </w:instrText>
      </w:r>
      <w:r w:rsidR="0011542F">
        <w:fldChar w:fldCharType="separate"/>
      </w:r>
      <w:r w:rsidR="0011542F" w:rsidRPr="0011542F">
        <w:rPr>
          <w:rFonts w:cs="Times New Roman"/>
        </w:rPr>
        <w:t>(Evans, 2009; Kreidenweis et al., 2016)</w:t>
      </w:r>
      <w:r w:rsidR="0011542F">
        <w:fldChar w:fldCharType="end"/>
      </w:r>
      <w:r w:rsidR="006235B0">
        <w:t xml:space="preserve">. </w:t>
      </w:r>
      <w:r w:rsidR="00917E9F">
        <w:t xml:space="preserve">Project Drawdown’s model assumes that afforestation/planted forest growth rates are applicable to forest plantation expansion. </w:t>
      </w:r>
      <w:r w:rsidR="006235B0">
        <w:t>Details are given below:</w:t>
      </w:r>
    </w:p>
    <w:p w14:paraId="2093EF95" w14:textId="4156FA09" w:rsidR="006235B0" w:rsidRDefault="006235B0" w:rsidP="006235B0">
      <w:pPr>
        <w:pStyle w:val="ListParagraph"/>
        <w:numPr>
          <w:ilvl w:val="0"/>
          <w:numId w:val="17"/>
        </w:numPr>
        <w:rPr>
          <w:rFonts w:ascii="Times" w:eastAsia="Helvetica Neue" w:hAnsi="Times" w:cs="Helvetica Neue"/>
          <w:color w:val="000000" w:themeColor="text1"/>
        </w:rPr>
      </w:pPr>
      <w:r w:rsidRPr="00B632C7">
        <w:rPr>
          <w:rFonts w:ascii="Times" w:eastAsia="Helvetica Neue" w:hAnsi="Times" w:cs="Helvetica Neue"/>
          <w:b/>
          <w:i/>
          <w:color w:val="000000" w:themeColor="text1"/>
        </w:rPr>
        <w:t>Custom adoption scenario one</w:t>
      </w:r>
      <w:r w:rsidRPr="0011542F">
        <w:rPr>
          <w:rFonts w:ascii="Times" w:eastAsia="Helvetica Neue" w:hAnsi="Times" w:cs="Helvetica Neue"/>
          <w:b/>
          <w:i/>
          <w:color w:val="000000" w:themeColor="text1"/>
        </w:rPr>
        <w:t>:</w:t>
      </w:r>
      <w:r w:rsidRPr="00F253D1">
        <w:rPr>
          <w:rFonts w:ascii="Times" w:eastAsia="Helvetica Neue" w:hAnsi="Times" w:cs="Helvetica Neue"/>
          <w:color w:val="000000" w:themeColor="text1"/>
        </w:rPr>
        <w:t xml:space="preserve"> </w:t>
      </w:r>
      <w:r>
        <w:rPr>
          <w:rFonts w:ascii="Times" w:eastAsia="Helvetica Neue" w:hAnsi="Times" w:cs="Helvetica Neue"/>
          <w:color w:val="000000" w:themeColor="text1"/>
        </w:rPr>
        <w:t>In this scenario, future</w:t>
      </w:r>
      <w:r w:rsidRPr="006235B0">
        <w:rPr>
          <w:rFonts w:ascii="Times" w:eastAsia="Helvetica Neue" w:hAnsi="Times" w:cs="Helvetica Neue"/>
          <w:color w:val="000000" w:themeColor="text1"/>
        </w:rPr>
        <w:t xml:space="preserve"> </w:t>
      </w:r>
      <w:r w:rsidR="008F32E5">
        <w:rPr>
          <w:rFonts w:ascii="Times" w:eastAsia="Helvetica Neue" w:hAnsi="Times" w:cs="Helvetica Neue"/>
          <w:color w:val="000000" w:themeColor="text1"/>
        </w:rPr>
        <w:t xml:space="preserve">afforested </w:t>
      </w:r>
      <w:r w:rsidRPr="006235B0">
        <w:rPr>
          <w:rFonts w:ascii="Times" w:eastAsia="Helvetica Neue" w:hAnsi="Times" w:cs="Helvetica Neue"/>
          <w:color w:val="000000" w:themeColor="text1"/>
        </w:rPr>
        <w:t xml:space="preserve">forest plantation area is projected based on </w:t>
      </w:r>
      <w:r w:rsidR="00D43DC8">
        <w:rPr>
          <w:rFonts w:ascii="Times" w:eastAsia="Helvetica Neue" w:hAnsi="Times" w:cs="Helvetica Neue"/>
          <w:color w:val="000000" w:themeColor="text1"/>
        </w:rPr>
        <w:t xml:space="preserve">available </w:t>
      </w:r>
      <w:r w:rsidRPr="006235B0">
        <w:rPr>
          <w:rFonts w:ascii="Times" w:eastAsia="Helvetica Neue" w:hAnsi="Times" w:cs="Helvetica Neue"/>
          <w:color w:val="000000" w:themeColor="text1"/>
        </w:rPr>
        <w:t>count</w:t>
      </w:r>
      <w:r w:rsidR="00DB06A7">
        <w:rPr>
          <w:rFonts w:ascii="Times" w:eastAsia="Helvetica Neue" w:hAnsi="Times" w:cs="Helvetica Neue"/>
          <w:color w:val="000000" w:themeColor="text1"/>
        </w:rPr>
        <w:t>ry</w:t>
      </w:r>
      <w:r w:rsidR="00D43DC8">
        <w:rPr>
          <w:rFonts w:ascii="Times" w:eastAsia="Helvetica Neue" w:hAnsi="Times" w:cs="Helvetica Neue"/>
          <w:color w:val="000000" w:themeColor="text1"/>
        </w:rPr>
        <w:t>-</w:t>
      </w:r>
      <w:r w:rsidRPr="006235B0">
        <w:rPr>
          <w:rFonts w:ascii="Times" w:eastAsia="Helvetica Neue" w:hAnsi="Times" w:cs="Helvetica Neue"/>
          <w:color w:val="000000" w:themeColor="text1"/>
        </w:rPr>
        <w:t xml:space="preserve">level data </w:t>
      </w:r>
      <w:r w:rsidR="00917E9F">
        <w:rPr>
          <w:rFonts w:ascii="Times" w:eastAsia="Helvetica Neue" w:hAnsi="Times" w:cs="Helvetica Neue"/>
          <w:color w:val="000000" w:themeColor="text1"/>
        </w:rPr>
        <w:t xml:space="preserve">for afforestation/planted forest </w:t>
      </w:r>
      <w:r w:rsidRPr="006235B0">
        <w:rPr>
          <w:rFonts w:ascii="Times" w:eastAsia="Helvetica Neue" w:hAnsi="Times" w:cs="Helvetica Neue"/>
          <w:color w:val="000000" w:themeColor="text1"/>
        </w:rPr>
        <w:t>available for the year</w:t>
      </w:r>
      <w:r w:rsidR="00DB06A7">
        <w:rPr>
          <w:rFonts w:ascii="Times" w:eastAsia="Helvetica Neue" w:hAnsi="Times" w:cs="Helvetica Neue"/>
          <w:color w:val="000000" w:themeColor="text1"/>
        </w:rPr>
        <w:t>s</w:t>
      </w:r>
      <w:r w:rsidRPr="006235B0">
        <w:rPr>
          <w:rFonts w:ascii="Times" w:eastAsia="Helvetica Neue" w:hAnsi="Times" w:cs="Helvetica Neue"/>
          <w:color w:val="000000" w:themeColor="text1"/>
        </w:rPr>
        <w:t xml:space="preserve"> 1990, 2000, 2005, and 2010 from the FAO's Forest Resource Assessment </w:t>
      </w:r>
      <w:r w:rsidR="00DB06A7">
        <w:rPr>
          <w:rFonts w:ascii="Times" w:eastAsia="Helvetica Neue" w:hAnsi="Times" w:cs="Helvetica Neue"/>
          <w:color w:val="000000" w:themeColor="text1"/>
        </w:rPr>
        <w:t>2015 report</w:t>
      </w:r>
      <w:r w:rsidR="0011542F">
        <w:rPr>
          <w:rFonts w:ascii="Times" w:eastAsia="Helvetica Neue" w:hAnsi="Times" w:cs="Helvetica Neue"/>
          <w:color w:val="000000" w:themeColor="text1"/>
        </w:rPr>
        <w:t xml:space="preserve"> </w:t>
      </w:r>
      <w:r w:rsidR="0011542F">
        <w:rPr>
          <w:rFonts w:ascii="Times" w:eastAsia="Helvetica Neue" w:hAnsi="Times" w:cs="Helvetica Neue"/>
          <w:color w:val="000000" w:themeColor="text1"/>
        </w:rPr>
        <w:fldChar w:fldCharType="begin"/>
      </w:r>
      <w:r w:rsidR="0011542F">
        <w:rPr>
          <w:rFonts w:ascii="Times" w:eastAsia="Helvetica Neue" w:hAnsi="Times" w:cs="Helvetica Neue"/>
          <w:color w:val="000000" w:themeColor="text1"/>
        </w:rPr>
        <w:instrText xml:space="preserve"> ADDIN ZOTERO_ITEM CSL_CITATION {"citationID":"QjjtZMxC","properties":{"formattedCitation":"(FAO,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11542F">
        <w:rPr>
          <w:rFonts w:ascii="Times" w:eastAsia="Helvetica Neue" w:hAnsi="Times" w:cs="Helvetica Neue"/>
          <w:color w:val="000000" w:themeColor="text1"/>
        </w:rPr>
        <w:fldChar w:fldCharType="separate"/>
      </w:r>
      <w:r w:rsidR="0011542F" w:rsidRPr="0011542F">
        <w:rPr>
          <w:rFonts w:ascii="Times" w:hAnsi="Times" w:cs="Times"/>
        </w:rPr>
        <w:t>(FAO, 2010)</w:t>
      </w:r>
      <w:r w:rsidR="0011542F">
        <w:rPr>
          <w:rFonts w:ascii="Times" w:eastAsia="Helvetica Neue" w:hAnsi="Times" w:cs="Helvetica Neue"/>
          <w:color w:val="000000" w:themeColor="text1"/>
        </w:rPr>
        <w:fldChar w:fldCharType="end"/>
      </w:r>
      <w:r w:rsidR="0011542F">
        <w:rPr>
          <w:rFonts w:ascii="Times" w:eastAsia="Helvetica Neue" w:hAnsi="Times" w:cs="Helvetica Neue"/>
          <w:color w:val="000000" w:themeColor="text1"/>
        </w:rPr>
        <w:t xml:space="preserve">. </w:t>
      </w:r>
      <w:r w:rsidRPr="0011542F">
        <w:rPr>
          <w:rFonts w:ascii="Times" w:eastAsia="Helvetica Neue" w:hAnsi="Times" w:cs="Helvetica Neue"/>
          <w:color w:val="000000" w:themeColor="text1"/>
        </w:rPr>
        <w:t>Country</w:t>
      </w:r>
      <w:r w:rsidR="00DB06A7">
        <w:rPr>
          <w:rFonts w:ascii="Times" w:eastAsia="Helvetica Neue" w:hAnsi="Times" w:cs="Helvetica Neue"/>
          <w:color w:val="000000" w:themeColor="text1"/>
        </w:rPr>
        <w:t>-</w:t>
      </w:r>
      <w:r w:rsidRPr="0011542F">
        <w:rPr>
          <w:rFonts w:ascii="Times" w:eastAsia="Helvetica Neue" w:hAnsi="Times" w:cs="Helvetica Neue"/>
          <w:color w:val="000000" w:themeColor="text1"/>
        </w:rPr>
        <w:t xml:space="preserve">level data was aggregated </w:t>
      </w:r>
      <w:r w:rsidR="00DB06A7">
        <w:rPr>
          <w:rFonts w:ascii="Times" w:eastAsia="Helvetica Neue" w:hAnsi="Times" w:cs="Helvetica Neue"/>
          <w:color w:val="000000" w:themeColor="text1"/>
        </w:rPr>
        <w:t>for Drawdown regions</w:t>
      </w:r>
      <w:r w:rsidR="00D51DDB">
        <w:rPr>
          <w:rFonts w:ascii="Times" w:eastAsia="Helvetica Neue" w:hAnsi="Times" w:cs="Helvetica Neue"/>
          <w:color w:val="000000" w:themeColor="text1"/>
        </w:rPr>
        <w:t xml:space="preserve"> and interpolated to determine forest plantation area for 2014</w:t>
      </w:r>
      <w:r w:rsidR="004C7B75">
        <w:rPr>
          <w:rFonts w:ascii="Times" w:eastAsia="Helvetica Neue" w:hAnsi="Times" w:cs="Helvetica Neue"/>
          <w:color w:val="000000" w:themeColor="text1"/>
        </w:rPr>
        <w:t>. The resulting</w:t>
      </w:r>
      <w:r w:rsidR="00DB06A7">
        <w:rPr>
          <w:rFonts w:ascii="Times" w:eastAsia="Helvetica Neue" w:hAnsi="Times" w:cs="Helvetica Neue"/>
          <w:color w:val="000000" w:themeColor="text1"/>
        </w:rPr>
        <w:t xml:space="preserve"> </w:t>
      </w:r>
      <w:r w:rsidR="004C7B75">
        <w:rPr>
          <w:rFonts w:ascii="Times" w:eastAsia="Helvetica Neue" w:hAnsi="Times" w:cs="Helvetica Neue"/>
          <w:color w:val="000000" w:themeColor="text1"/>
        </w:rPr>
        <w:t>r</w:t>
      </w:r>
      <w:r w:rsidR="00DB06A7">
        <w:rPr>
          <w:rFonts w:ascii="Times" w:eastAsia="Helvetica Neue" w:hAnsi="Times" w:cs="Helvetica Neue"/>
          <w:color w:val="000000" w:themeColor="text1"/>
        </w:rPr>
        <w:t xml:space="preserve">egional </w:t>
      </w:r>
      <w:r w:rsidR="004C7B75">
        <w:rPr>
          <w:rFonts w:ascii="Times" w:eastAsia="Helvetica Neue" w:hAnsi="Times" w:cs="Helvetica Neue"/>
          <w:color w:val="000000" w:themeColor="text1"/>
        </w:rPr>
        <w:t>growth rates from 1990 – 201</w:t>
      </w:r>
      <w:r w:rsidR="00D51DDB">
        <w:rPr>
          <w:rFonts w:ascii="Times" w:eastAsia="Helvetica Neue" w:hAnsi="Times" w:cs="Helvetica Neue"/>
          <w:color w:val="000000" w:themeColor="text1"/>
        </w:rPr>
        <w:t xml:space="preserve">4 </w:t>
      </w:r>
      <w:r w:rsidR="00DB06A7">
        <w:rPr>
          <w:rFonts w:ascii="Times" w:eastAsia="Helvetica Neue" w:hAnsi="Times" w:cs="Helvetica Neue"/>
          <w:color w:val="000000" w:themeColor="text1"/>
        </w:rPr>
        <w:t>w</w:t>
      </w:r>
      <w:r w:rsidR="004C7B75">
        <w:rPr>
          <w:rFonts w:ascii="Times" w:eastAsia="Helvetica Neue" w:hAnsi="Times" w:cs="Helvetica Neue"/>
          <w:color w:val="000000" w:themeColor="text1"/>
        </w:rPr>
        <w:t>ere</w:t>
      </w:r>
      <w:r w:rsidRPr="0011542F">
        <w:rPr>
          <w:rFonts w:ascii="Times" w:eastAsia="Helvetica Neue" w:hAnsi="Times" w:cs="Helvetica Neue"/>
          <w:color w:val="000000" w:themeColor="text1"/>
        </w:rPr>
        <w:t xml:space="preserve"> used to project future adoption using a linear trend.</w:t>
      </w:r>
    </w:p>
    <w:p w14:paraId="15459D24" w14:textId="6089E90A" w:rsidR="004C7B75" w:rsidRPr="0011542F" w:rsidRDefault="004C7B75" w:rsidP="006235B0">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two:</w:t>
      </w:r>
      <w:r w:rsidR="002D5C7D">
        <w:rPr>
          <w:rFonts w:ascii="Times" w:eastAsia="Helvetica Neue" w:hAnsi="Times" w:cs="Helvetica Neue"/>
          <w:b/>
          <w:i/>
          <w:color w:val="000000" w:themeColor="text1"/>
        </w:rPr>
        <w:t xml:space="preserve"> </w:t>
      </w:r>
      <w:r w:rsidR="008A0C4E">
        <w:rPr>
          <w:rFonts w:ascii="Times" w:eastAsia="Helvetica Neue" w:hAnsi="Times" w:cs="Helvetica Neue"/>
          <w:color w:val="000000" w:themeColor="text1"/>
        </w:rPr>
        <w:t xml:space="preserve">The </w:t>
      </w:r>
      <w:r w:rsidR="008A0C4E" w:rsidRPr="00B632C7">
        <w:rPr>
          <w:rFonts w:ascii="Times" w:eastAsia="Helvetica Neue" w:hAnsi="Times" w:cs="Helvetica Neue"/>
          <w:color w:val="000000" w:themeColor="text1"/>
        </w:rPr>
        <w:t>maximum annual</w:t>
      </w:r>
      <w:r w:rsidR="008F32E5">
        <w:rPr>
          <w:rFonts w:ascii="Times" w:eastAsia="Helvetica Neue" w:hAnsi="Times" w:cs="Helvetica Neue"/>
          <w:color w:val="000000" w:themeColor="text1"/>
        </w:rPr>
        <w:t xml:space="preserve"> afforested </w:t>
      </w:r>
      <w:r w:rsidR="008A0C4E">
        <w:rPr>
          <w:rFonts w:ascii="Times" w:eastAsia="Helvetica Neue" w:hAnsi="Times" w:cs="Helvetica Neue"/>
          <w:color w:val="000000" w:themeColor="text1"/>
        </w:rPr>
        <w:t xml:space="preserve">planted forest </w:t>
      </w:r>
      <w:r w:rsidR="008A0C4E" w:rsidRPr="00B632C7">
        <w:rPr>
          <w:rFonts w:ascii="Times" w:eastAsia="Helvetica Neue" w:hAnsi="Times" w:cs="Helvetica Neue"/>
          <w:color w:val="000000" w:themeColor="text1"/>
        </w:rPr>
        <w:t>growth rate</w:t>
      </w:r>
      <w:r w:rsidR="00D51DDB">
        <w:rPr>
          <w:rFonts w:ascii="Times" w:eastAsia="Helvetica Neue" w:hAnsi="Times" w:cs="Helvetica Neue"/>
          <w:color w:val="000000" w:themeColor="text1"/>
        </w:rPr>
        <w:t>s</w:t>
      </w:r>
      <w:r w:rsidR="008A0C4E" w:rsidRPr="00B632C7">
        <w:rPr>
          <w:rFonts w:ascii="Times" w:eastAsia="Helvetica Neue" w:hAnsi="Times" w:cs="Helvetica Neue"/>
          <w:color w:val="000000" w:themeColor="text1"/>
        </w:rPr>
        <w:t xml:space="preserve"> </w:t>
      </w:r>
      <w:r w:rsidR="008A0C4E">
        <w:rPr>
          <w:rFonts w:ascii="Times" w:eastAsia="Helvetica Neue" w:hAnsi="Times" w:cs="Helvetica Neue"/>
          <w:color w:val="000000" w:themeColor="text1"/>
        </w:rPr>
        <w:t>between 1990</w:t>
      </w:r>
      <w:r w:rsidR="00D51DDB">
        <w:rPr>
          <w:rFonts w:ascii="Times" w:eastAsia="Helvetica Neue" w:hAnsi="Times" w:cs="Helvetica Neue"/>
          <w:color w:val="000000" w:themeColor="text1"/>
        </w:rPr>
        <w:t xml:space="preserve"> – 2000, 2000 – 2005, 2005 – 2010 and 2010</w:t>
      </w:r>
      <w:r w:rsidR="008A0C4E">
        <w:rPr>
          <w:rFonts w:ascii="Times" w:eastAsia="Helvetica Neue" w:hAnsi="Times" w:cs="Helvetica Neue"/>
          <w:color w:val="000000" w:themeColor="text1"/>
        </w:rPr>
        <w:t xml:space="preserve"> </w:t>
      </w:r>
      <w:r w:rsidR="00D51DDB">
        <w:rPr>
          <w:rFonts w:ascii="Times" w:eastAsia="Helvetica Neue" w:hAnsi="Times" w:cs="Helvetica Neue"/>
          <w:color w:val="000000" w:themeColor="text1"/>
        </w:rPr>
        <w:t>–</w:t>
      </w:r>
      <w:r w:rsidR="008A0C4E">
        <w:rPr>
          <w:rFonts w:ascii="Times" w:eastAsia="Helvetica Neue" w:hAnsi="Times" w:cs="Helvetica Neue"/>
          <w:color w:val="000000" w:themeColor="text1"/>
        </w:rPr>
        <w:t xml:space="preserve"> 201</w:t>
      </w:r>
      <w:r w:rsidR="00D51DDB">
        <w:rPr>
          <w:rFonts w:ascii="Times" w:eastAsia="Helvetica Neue" w:hAnsi="Times" w:cs="Helvetica Neue"/>
          <w:color w:val="000000" w:themeColor="text1"/>
        </w:rPr>
        <w:t xml:space="preserve">4 </w:t>
      </w:r>
      <w:r w:rsidR="008A0C4E">
        <w:rPr>
          <w:rFonts w:ascii="Times" w:eastAsia="Helvetica Neue" w:hAnsi="Times" w:cs="Helvetica Neue"/>
          <w:color w:val="000000" w:themeColor="text1"/>
        </w:rPr>
        <w:t>w</w:t>
      </w:r>
      <w:r w:rsidR="00D51DDB">
        <w:rPr>
          <w:rFonts w:ascii="Times" w:eastAsia="Helvetica Neue" w:hAnsi="Times" w:cs="Helvetica Neue"/>
          <w:color w:val="000000" w:themeColor="text1"/>
        </w:rPr>
        <w:t>ere</w:t>
      </w:r>
      <w:r w:rsidR="008A0C4E">
        <w:rPr>
          <w:rFonts w:ascii="Times" w:eastAsia="Helvetica Neue" w:hAnsi="Times" w:cs="Helvetica Neue"/>
          <w:color w:val="000000" w:themeColor="text1"/>
        </w:rPr>
        <w:t xml:space="preserve"> determined for </w:t>
      </w:r>
      <w:r w:rsidR="00D51DDB">
        <w:rPr>
          <w:rFonts w:ascii="Times" w:eastAsia="Helvetica Neue" w:hAnsi="Times" w:cs="Helvetica Neue"/>
          <w:color w:val="000000" w:themeColor="text1"/>
        </w:rPr>
        <w:t>each</w:t>
      </w:r>
      <w:r w:rsidR="008A0C4E">
        <w:rPr>
          <w:rFonts w:ascii="Times" w:eastAsia="Helvetica Neue" w:hAnsi="Times" w:cs="Helvetica Neue"/>
          <w:color w:val="000000" w:themeColor="text1"/>
        </w:rPr>
        <w:t xml:space="preserve"> Drawdown region</w:t>
      </w:r>
      <w:r w:rsidR="00D51DDB">
        <w:rPr>
          <w:rFonts w:ascii="Times" w:eastAsia="Helvetica Neue" w:hAnsi="Times" w:cs="Helvetica Neue"/>
          <w:color w:val="000000" w:themeColor="text1"/>
        </w:rPr>
        <w:t xml:space="preserve"> based on historical data from 1990 – 2010 </w:t>
      </w:r>
      <w:r w:rsidR="0011542F">
        <w:rPr>
          <w:rFonts w:ascii="Times" w:eastAsia="Helvetica Neue" w:hAnsi="Times" w:cs="Helvetica Neue"/>
          <w:color w:val="000000" w:themeColor="text1"/>
        </w:rPr>
        <w:fldChar w:fldCharType="begin"/>
      </w:r>
      <w:r w:rsidR="0011542F">
        <w:rPr>
          <w:rFonts w:ascii="Times" w:eastAsia="Helvetica Neue" w:hAnsi="Times" w:cs="Helvetica Neue"/>
          <w:color w:val="000000" w:themeColor="text1"/>
        </w:rPr>
        <w:instrText xml:space="preserve"> ADDIN ZOTERO_ITEM CSL_CITATION {"citationID":"vjqPuamL","properties":{"formattedCitation":"(FAO,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11542F">
        <w:rPr>
          <w:rFonts w:ascii="Times" w:eastAsia="Helvetica Neue" w:hAnsi="Times" w:cs="Helvetica Neue"/>
          <w:color w:val="000000" w:themeColor="text1"/>
        </w:rPr>
        <w:fldChar w:fldCharType="separate"/>
      </w:r>
      <w:r w:rsidR="0011542F" w:rsidRPr="0011542F">
        <w:rPr>
          <w:rFonts w:ascii="Times" w:hAnsi="Times" w:cs="Times"/>
        </w:rPr>
        <w:t>(FAO, 2010)</w:t>
      </w:r>
      <w:r w:rsidR="0011542F">
        <w:rPr>
          <w:rFonts w:ascii="Times" w:eastAsia="Helvetica Neue" w:hAnsi="Times" w:cs="Helvetica Neue"/>
          <w:color w:val="000000" w:themeColor="text1"/>
        </w:rPr>
        <w:fldChar w:fldCharType="end"/>
      </w:r>
      <w:r w:rsidR="002D31CB">
        <w:rPr>
          <w:rFonts w:ascii="Times" w:eastAsia="Helvetica Neue" w:hAnsi="Times" w:cs="Helvetica Neue"/>
          <w:color w:val="000000" w:themeColor="text1"/>
        </w:rPr>
        <w:t xml:space="preserve"> and interpolations for 2014</w:t>
      </w:r>
      <w:r w:rsidR="00D51DDB">
        <w:rPr>
          <w:rFonts w:ascii="Times" w:eastAsia="Helvetica Neue" w:hAnsi="Times" w:cs="Helvetica Neue"/>
          <w:color w:val="000000" w:themeColor="text1"/>
        </w:rPr>
        <w:t>. The global</w:t>
      </w:r>
      <w:r w:rsidR="008A0C4E">
        <w:rPr>
          <w:rFonts w:ascii="Times" w:eastAsia="Helvetica Neue" w:hAnsi="Times" w:cs="Helvetica Neue"/>
          <w:color w:val="000000" w:themeColor="text1"/>
        </w:rPr>
        <w:t xml:space="preserve"> maximum annual afforestation growth rate of 0.57 Mha/year reported for the Asia region. </w:t>
      </w:r>
      <w:r w:rsidR="002D31CB">
        <w:rPr>
          <w:rFonts w:ascii="Times" w:eastAsia="Helvetica Neue" w:hAnsi="Times" w:cs="Helvetica Neue"/>
          <w:color w:val="000000" w:themeColor="text1"/>
        </w:rPr>
        <w:t>In this scenario, this same growth-rate was used to project future adoption for</w:t>
      </w:r>
      <w:r w:rsidR="002D5C7D" w:rsidRPr="0011542F">
        <w:rPr>
          <w:rFonts w:ascii="Times" w:eastAsia="Helvetica Neue" w:hAnsi="Times" w:cs="Helvetica Neue"/>
          <w:color w:val="000000" w:themeColor="text1"/>
        </w:rPr>
        <w:t xml:space="preserve"> Asia</w:t>
      </w:r>
      <w:r w:rsidR="002D31CB">
        <w:rPr>
          <w:rFonts w:ascii="Times" w:eastAsia="Helvetica Neue" w:hAnsi="Times" w:cs="Helvetica Neue"/>
          <w:color w:val="000000" w:themeColor="text1"/>
        </w:rPr>
        <w:t xml:space="preserve"> using a linear trend; f</w:t>
      </w:r>
      <w:r w:rsidR="002D5C7D" w:rsidRPr="0011542F">
        <w:rPr>
          <w:rFonts w:ascii="Times" w:eastAsia="Helvetica Neue" w:hAnsi="Times" w:cs="Helvetica Neue"/>
          <w:color w:val="000000" w:themeColor="text1"/>
        </w:rPr>
        <w:t>or</w:t>
      </w:r>
      <w:r w:rsidR="002D31CB">
        <w:rPr>
          <w:rFonts w:ascii="Times" w:eastAsia="Helvetica Neue" w:hAnsi="Times" w:cs="Helvetica Neue"/>
          <w:color w:val="000000" w:themeColor="text1"/>
        </w:rPr>
        <w:t xml:space="preserve"> </w:t>
      </w:r>
      <w:r w:rsidR="002D5C7D" w:rsidRPr="0011542F">
        <w:rPr>
          <w:rFonts w:ascii="Times" w:eastAsia="Helvetica Neue" w:hAnsi="Times" w:cs="Helvetica Neue"/>
          <w:color w:val="000000" w:themeColor="text1"/>
        </w:rPr>
        <w:t>other regions</w:t>
      </w:r>
      <w:r w:rsidR="002D31CB">
        <w:rPr>
          <w:rFonts w:ascii="Times" w:eastAsia="Helvetica Neue" w:hAnsi="Times" w:cs="Helvetica Neue"/>
          <w:color w:val="000000" w:themeColor="text1"/>
        </w:rPr>
        <w:t xml:space="preserve"> half of this rate was applied</w:t>
      </w:r>
      <w:r w:rsidR="002D5C7D" w:rsidRPr="0011542F">
        <w:rPr>
          <w:rFonts w:ascii="Times" w:eastAsia="Helvetica Neue" w:hAnsi="Times" w:cs="Helvetica Neue"/>
          <w:color w:val="000000" w:themeColor="text1"/>
        </w:rPr>
        <w:t>.</w:t>
      </w:r>
    </w:p>
    <w:p w14:paraId="7AFFB12F" w14:textId="64F8BABD" w:rsidR="004C7B75" w:rsidRPr="00B632C7" w:rsidRDefault="004C7B75" w:rsidP="004C7B75">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i/>
          <w:color w:val="000000" w:themeColor="text1"/>
        </w:rPr>
        <w:lastRenderedPageBreak/>
        <w:t>Custom adoption scenario three:</w:t>
      </w:r>
      <w:r w:rsidR="003855B8">
        <w:rPr>
          <w:rFonts w:ascii="Times" w:eastAsia="Helvetica Neue" w:hAnsi="Times" w:cs="Helvetica Neue"/>
          <w:b/>
          <w:i/>
          <w:color w:val="000000" w:themeColor="text1"/>
        </w:rPr>
        <w:t xml:space="preserve"> </w:t>
      </w:r>
      <w:r w:rsidR="003855B8">
        <w:rPr>
          <w:rFonts w:ascii="Times" w:eastAsia="Helvetica Neue" w:hAnsi="Times" w:cs="Helvetica Neue"/>
          <w:color w:val="000000" w:themeColor="text1"/>
        </w:rPr>
        <w:t xml:space="preserve">The </w:t>
      </w:r>
      <w:r w:rsidR="003855B8" w:rsidRPr="00B632C7">
        <w:rPr>
          <w:rFonts w:ascii="Times" w:eastAsia="Helvetica Neue" w:hAnsi="Times" w:cs="Helvetica Neue"/>
          <w:color w:val="000000" w:themeColor="text1"/>
        </w:rPr>
        <w:t xml:space="preserve">maximum annual </w:t>
      </w:r>
      <w:r w:rsidR="008F32E5">
        <w:rPr>
          <w:rFonts w:ascii="Times" w:eastAsia="Helvetica Neue" w:hAnsi="Times" w:cs="Helvetica Neue"/>
          <w:color w:val="000000" w:themeColor="text1"/>
        </w:rPr>
        <w:t xml:space="preserve">afforested </w:t>
      </w:r>
      <w:r w:rsidR="003855B8">
        <w:rPr>
          <w:rFonts w:ascii="Times" w:eastAsia="Helvetica Neue" w:hAnsi="Times" w:cs="Helvetica Neue"/>
          <w:color w:val="000000" w:themeColor="text1"/>
        </w:rPr>
        <w:t xml:space="preserve">planted forest </w:t>
      </w:r>
      <w:r w:rsidR="003855B8" w:rsidRPr="00B632C7">
        <w:rPr>
          <w:rFonts w:ascii="Times" w:eastAsia="Helvetica Neue" w:hAnsi="Times" w:cs="Helvetica Neue"/>
          <w:color w:val="000000" w:themeColor="text1"/>
        </w:rPr>
        <w:t>growth rate</w:t>
      </w:r>
      <w:r w:rsidR="003855B8">
        <w:rPr>
          <w:rFonts w:ascii="Times" w:eastAsia="Helvetica Neue" w:hAnsi="Times" w:cs="Helvetica Neue"/>
          <w:color w:val="000000" w:themeColor="text1"/>
        </w:rPr>
        <w:t>s</w:t>
      </w:r>
      <w:r w:rsidR="003855B8" w:rsidRPr="00B632C7">
        <w:rPr>
          <w:rFonts w:ascii="Times" w:eastAsia="Helvetica Neue" w:hAnsi="Times" w:cs="Helvetica Neue"/>
          <w:color w:val="000000" w:themeColor="text1"/>
        </w:rPr>
        <w:t xml:space="preserve"> </w:t>
      </w:r>
      <w:r w:rsidR="003855B8">
        <w:rPr>
          <w:rFonts w:ascii="Times" w:eastAsia="Helvetica Neue" w:hAnsi="Times" w:cs="Helvetica Neue"/>
          <w:color w:val="000000" w:themeColor="text1"/>
        </w:rPr>
        <w:t xml:space="preserve">between 1990 – 2000, 2000 – 2005, 2005 – 2010 and 2010 – 2014 were determined for each Drawdown region based on historical data from 1990 – 2010 </w:t>
      </w:r>
      <w:r w:rsidR="0011542F">
        <w:rPr>
          <w:rFonts w:ascii="Times" w:eastAsia="Helvetica Neue" w:hAnsi="Times" w:cs="Helvetica Neue"/>
          <w:color w:val="000000" w:themeColor="text1"/>
        </w:rPr>
        <w:fldChar w:fldCharType="begin"/>
      </w:r>
      <w:r w:rsidR="0011542F">
        <w:rPr>
          <w:rFonts w:ascii="Times" w:eastAsia="Helvetica Neue" w:hAnsi="Times" w:cs="Helvetica Neue"/>
          <w:color w:val="000000" w:themeColor="text1"/>
        </w:rPr>
        <w:instrText xml:space="preserve"> ADDIN ZOTERO_ITEM CSL_CITATION {"citationID":"rCGx4Q9v","properties":{"formattedCitation":"(FAO,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11542F">
        <w:rPr>
          <w:rFonts w:ascii="Times" w:eastAsia="Helvetica Neue" w:hAnsi="Times" w:cs="Helvetica Neue"/>
          <w:color w:val="000000" w:themeColor="text1"/>
        </w:rPr>
        <w:fldChar w:fldCharType="separate"/>
      </w:r>
      <w:r w:rsidR="0011542F" w:rsidRPr="0011542F">
        <w:rPr>
          <w:rFonts w:ascii="Times" w:hAnsi="Times" w:cs="Times"/>
        </w:rPr>
        <w:t>(FAO, 2010)</w:t>
      </w:r>
      <w:r w:rsidR="0011542F">
        <w:rPr>
          <w:rFonts w:ascii="Times" w:eastAsia="Helvetica Neue" w:hAnsi="Times" w:cs="Helvetica Neue"/>
          <w:color w:val="000000" w:themeColor="text1"/>
        </w:rPr>
        <w:fldChar w:fldCharType="end"/>
      </w:r>
      <w:r w:rsidR="003855B8">
        <w:rPr>
          <w:rFonts w:ascii="Times" w:eastAsia="Helvetica Neue" w:hAnsi="Times" w:cs="Helvetica Neue"/>
          <w:color w:val="000000" w:themeColor="text1"/>
        </w:rPr>
        <w:t xml:space="preserve"> and interpolations for 2014. The global maximum annual afforestation growth rate of 0.57 Mha/year reported for the Asia region. In this scenario, this same growth-rate was used to project future adoption for</w:t>
      </w:r>
      <w:r w:rsidR="003855B8" w:rsidRPr="00B632C7">
        <w:rPr>
          <w:rFonts w:ascii="Times" w:eastAsia="Helvetica Neue" w:hAnsi="Times" w:cs="Helvetica Neue"/>
          <w:color w:val="000000" w:themeColor="text1"/>
        </w:rPr>
        <w:t xml:space="preserve"> </w:t>
      </w:r>
      <w:r w:rsidR="00D862AE">
        <w:rPr>
          <w:rFonts w:ascii="Times" w:eastAsia="Helvetica Neue" w:hAnsi="Times" w:cs="Helvetica Neue"/>
          <w:color w:val="000000" w:themeColor="text1"/>
        </w:rPr>
        <w:t>all regions</w:t>
      </w:r>
      <w:r w:rsidR="003855B8">
        <w:rPr>
          <w:rFonts w:ascii="Times" w:eastAsia="Helvetica Neue" w:hAnsi="Times" w:cs="Helvetica Neue"/>
          <w:color w:val="000000" w:themeColor="text1"/>
        </w:rPr>
        <w:t xml:space="preserve"> using a linear trend</w:t>
      </w:r>
      <w:r w:rsidR="00D862AE">
        <w:rPr>
          <w:rFonts w:ascii="Times" w:eastAsia="Helvetica Neue" w:hAnsi="Times" w:cs="Helvetica Neue"/>
          <w:color w:val="000000" w:themeColor="text1"/>
        </w:rPr>
        <w:t>.</w:t>
      </w:r>
    </w:p>
    <w:p w14:paraId="3E3D55BB" w14:textId="75AB6CB4" w:rsidR="004C7B75" w:rsidRPr="0011542F" w:rsidRDefault="004C7B75" w:rsidP="00090E57">
      <w:pPr>
        <w:pStyle w:val="ListParagraph"/>
        <w:numPr>
          <w:ilvl w:val="0"/>
          <w:numId w:val="17"/>
        </w:numPr>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four:</w:t>
      </w:r>
      <w:r w:rsidR="00917E9F">
        <w:rPr>
          <w:rFonts w:ascii="Times" w:eastAsia="Helvetica Neue" w:hAnsi="Times" w:cs="Helvetica Neue"/>
          <w:b/>
          <w:i/>
          <w:color w:val="000000" w:themeColor="text1"/>
        </w:rPr>
        <w:t xml:space="preserve"> </w:t>
      </w:r>
      <w:r w:rsidR="00917E9F" w:rsidRPr="0011542F">
        <w:rPr>
          <w:rFonts w:ascii="Times" w:eastAsia="Helvetica Neue" w:hAnsi="Times" w:cs="Helvetica Neue"/>
          <w:color w:val="000000" w:themeColor="text1"/>
        </w:rPr>
        <w:t xml:space="preserve">This projection of future adoption of </w:t>
      </w:r>
      <w:r w:rsidR="008F32E5">
        <w:rPr>
          <w:rFonts w:ascii="Times" w:eastAsia="Helvetica Neue" w:hAnsi="Times" w:cs="Helvetica Neue"/>
          <w:color w:val="000000" w:themeColor="text1"/>
        </w:rPr>
        <w:t xml:space="preserve">afforested </w:t>
      </w:r>
      <w:r w:rsidR="00917E9F" w:rsidRPr="0011542F">
        <w:rPr>
          <w:rFonts w:ascii="Times" w:eastAsia="Helvetica Neue" w:hAnsi="Times" w:cs="Helvetica Neue"/>
          <w:color w:val="000000" w:themeColor="text1"/>
        </w:rPr>
        <w:t xml:space="preserve">forest plantations is based on </w:t>
      </w:r>
      <w:r w:rsidR="0011542F">
        <w:rPr>
          <w:rFonts w:ascii="Times" w:eastAsia="Helvetica Neue" w:hAnsi="Times" w:cs="Helvetica Neue"/>
          <w:color w:val="000000" w:themeColor="text1"/>
        </w:rPr>
        <w:fldChar w:fldCharType="begin"/>
      </w:r>
      <w:r w:rsidR="0011542F">
        <w:rPr>
          <w:rFonts w:ascii="Times" w:eastAsia="Helvetica Neue" w:hAnsi="Times" w:cs="Helvetica Neue"/>
          <w:color w:val="000000" w:themeColor="text1"/>
        </w:rPr>
        <w:instrText xml:space="preserve"> ADDIN ZOTERO_ITEM CSL_CITATION {"citationID":"gVuXSeIZ","properties":{"formattedCitation":"(Kreidenweis et al., 2016)","plainCitation":"(Kreidenweis et al., 2016)","noteIndex":0},"citationItems":[{"id":2696,"uris":["http://zotero.org/groups/2241939/items/JREWLU4A"],"uri":["http://zotero.org/groups/2241939/items/JREWLU4A"],"itemData":{"id":2696,"type":"article-journal","title":"Afforestation to mitigate climate change: impacts on food prices under consideration of albedo effects","container-title":"Environmental Research Letters","page":"085001","volume":"11","issue":"8","source":"Crossref","DOI":"10.1088/1748-9326/11/8/085001","ISSN":"1748-9326","shortTitle":"Afforestation to mitigate climate change","language":"en","author":[{"family":"Kreidenweis","given":"Ulrich"},{"family":"Humpenöder","given":"Florian"},{"family":"Stevanović","given":"Miodrag"},{"family":"Bodirsky","given":"Benjamin Leon"},{"family":"Kriegler","given":"Elmar"},{"family":"Lotze-Campen","given":"Hermann"},{"family":"Popp","given":"Alexander"}],"issued":{"date-parts":[["2016",8,1]]}}}],"schema":"https://github.com/citation-style-language/schema/raw/master/csl-citation.json"} </w:instrText>
      </w:r>
      <w:r w:rsidR="0011542F">
        <w:rPr>
          <w:rFonts w:ascii="Times" w:eastAsia="Helvetica Neue" w:hAnsi="Times" w:cs="Helvetica Neue"/>
          <w:color w:val="000000" w:themeColor="text1"/>
        </w:rPr>
        <w:fldChar w:fldCharType="separate"/>
      </w:r>
      <w:r w:rsidR="008B187E" w:rsidRPr="008B187E">
        <w:rPr>
          <w:rFonts w:ascii="Times" w:hAnsi="Times" w:cs="Times"/>
        </w:rPr>
        <w:t>(Kreidenweis et al., 2016)</w:t>
      </w:r>
      <w:r w:rsidR="0011542F">
        <w:rPr>
          <w:rFonts w:ascii="Times" w:eastAsia="Helvetica Neue" w:hAnsi="Times" w:cs="Helvetica Neue"/>
          <w:color w:val="000000" w:themeColor="text1"/>
        </w:rPr>
        <w:fldChar w:fldCharType="end"/>
      </w:r>
      <w:r w:rsidR="00917E9F" w:rsidRPr="0011542F">
        <w:rPr>
          <w:rFonts w:ascii="Times" w:eastAsia="Helvetica Neue" w:hAnsi="Times" w:cs="Helvetica Neue"/>
          <w:color w:val="000000" w:themeColor="text1"/>
        </w:rPr>
        <w:t xml:space="preserve">'s "global afforestation" scenario, which assumes 1614 Mha total afforested area by 2050. We calculated the proportion of this projection based on current total </w:t>
      </w:r>
      <w:r w:rsidR="006F3213">
        <w:rPr>
          <w:rFonts w:ascii="Times" w:eastAsia="Helvetica Neue" w:hAnsi="Times" w:cs="Helvetica Neue"/>
          <w:color w:val="000000" w:themeColor="text1"/>
        </w:rPr>
        <w:t>land allocated to drawdown biomass crops</w:t>
      </w:r>
      <w:r w:rsidR="00917E9F" w:rsidRPr="0011542F">
        <w:rPr>
          <w:rFonts w:ascii="Times" w:eastAsia="Helvetica Neue" w:hAnsi="Times" w:cs="Helvetica Neue"/>
          <w:color w:val="000000" w:themeColor="text1"/>
        </w:rPr>
        <w:t xml:space="preserve"> </w:t>
      </w:r>
      <w:r w:rsidR="008F32E5">
        <w:rPr>
          <w:rFonts w:ascii="Times" w:eastAsia="Helvetica Neue" w:hAnsi="Times" w:cs="Helvetica Neue"/>
          <w:color w:val="000000" w:themeColor="text1"/>
        </w:rPr>
        <w:t>and the TLA set for afforested forest plantation</w:t>
      </w:r>
      <w:r w:rsidR="00917E9F">
        <w:rPr>
          <w:rFonts w:ascii="Times" w:eastAsia="Helvetica Neue" w:hAnsi="Times" w:cs="Helvetica Neue"/>
          <w:color w:val="000000" w:themeColor="text1"/>
        </w:rPr>
        <w:t>.</w:t>
      </w:r>
    </w:p>
    <w:p w14:paraId="69CAB44A" w14:textId="30D37BF3" w:rsidR="008F32E5" w:rsidRDefault="004C7B75" w:rsidP="002941B5">
      <w:pPr>
        <w:pStyle w:val="ListParagraph"/>
        <w:numPr>
          <w:ilvl w:val="0"/>
          <w:numId w:val="17"/>
        </w:numPr>
        <w:rPr>
          <w:rFonts w:ascii="Times" w:eastAsia="Helvetica Neue" w:hAnsi="Times" w:cs="Helvetica Neue"/>
          <w:color w:val="000000" w:themeColor="text1"/>
        </w:rPr>
      </w:pPr>
      <w:r w:rsidRPr="008F32E5">
        <w:rPr>
          <w:rFonts w:ascii="Times" w:eastAsia="Helvetica Neue" w:hAnsi="Times" w:cs="Helvetica Neue"/>
          <w:b/>
          <w:i/>
          <w:color w:val="000000" w:themeColor="text1"/>
        </w:rPr>
        <w:t>Custom adoption scenario five:</w:t>
      </w:r>
      <w:r w:rsidR="00CF66F5" w:rsidRPr="008F32E5">
        <w:rPr>
          <w:rFonts w:ascii="Times" w:eastAsia="Helvetica Neue" w:hAnsi="Times" w:cs="Helvetica Neue"/>
          <w:b/>
          <w:i/>
          <w:color w:val="000000" w:themeColor="text1"/>
        </w:rPr>
        <w:t xml:space="preserve"> </w:t>
      </w:r>
      <w:r w:rsidR="00CF66F5" w:rsidRPr="008F32E5">
        <w:rPr>
          <w:rFonts w:ascii="Times" w:eastAsia="Helvetica Neue" w:hAnsi="Times" w:cs="Helvetica Neue"/>
          <w:color w:val="000000" w:themeColor="text1"/>
        </w:rPr>
        <w:t xml:space="preserve">This projection of future adoption of </w:t>
      </w:r>
      <w:r w:rsidR="008F32E5">
        <w:rPr>
          <w:rFonts w:ascii="Times" w:eastAsia="Helvetica Neue" w:hAnsi="Times" w:cs="Helvetica Neue"/>
          <w:color w:val="000000" w:themeColor="text1"/>
        </w:rPr>
        <w:t xml:space="preserve">afforested </w:t>
      </w:r>
      <w:r w:rsidR="00CF66F5" w:rsidRPr="008F32E5">
        <w:rPr>
          <w:rFonts w:ascii="Times" w:eastAsia="Helvetica Neue" w:hAnsi="Times" w:cs="Helvetica Neue"/>
          <w:color w:val="000000" w:themeColor="text1"/>
        </w:rPr>
        <w:t xml:space="preserve">forest plantations is based on </w:t>
      </w:r>
      <w:r w:rsidR="0011542F" w:rsidRPr="008F32E5">
        <w:rPr>
          <w:rFonts w:ascii="Times" w:eastAsia="Helvetica Neue" w:hAnsi="Times" w:cs="Helvetica Neue"/>
          <w:color w:val="000000" w:themeColor="text1"/>
        </w:rPr>
        <w:fldChar w:fldCharType="begin"/>
      </w:r>
      <w:r w:rsidR="0011542F" w:rsidRPr="008F32E5">
        <w:rPr>
          <w:rFonts w:ascii="Times" w:eastAsia="Helvetica Neue" w:hAnsi="Times" w:cs="Helvetica Neue"/>
          <w:color w:val="000000" w:themeColor="text1"/>
        </w:rPr>
        <w:instrText xml:space="preserve"> ADDIN ZOTERO_ITEM CSL_CITATION {"citationID":"mroBBw8h","properties":{"formattedCitation":"(Kreidenweis et al., 2016)","plainCitation":"(Kreidenweis et al., 2016)","noteIndex":0},"citationItems":[{"id":2696,"uris":["http://zotero.org/groups/2241939/items/JREWLU4A"],"uri":["http://zotero.org/groups/2241939/items/JREWLU4A"],"itemData":{"id":2696,"type":"article-journal","title":"Afforestation to mitigate climate change: impacts on food prices under consideration of albedo effects","container-title":"Environmental Research Letters","page":"085001","volume":"11","issue":"8","source":"Crossref","DOI":"10.1088/1748-9326/11/8/085001","ISSN":"1748-9326","shortTitle":"Afforestation to mitigate climate change","language":"en","author":[{"family":"Kreidenweis","given":"Ulrich"},{"family":"Humpenöder","given":"Florian"},{"family":"Stevanović","given":"Miodrag"},{"family":"Bodirsky","given":"Benjamin Leon"},{"family":"Kriegler","given":"Elmar"},{"family":"Lotze-Campen","given":"Hermann"},{"family":"Popp","given":"Alexander"}],"issued":{"date-parts":[["2016",8,1]]}}}],"schema":"https://github.com/citation-style-language/schema/raw/master/csl-citation.json"} </w:instrText>
      </w:r>
      <w:r w:rsidR="0011542F" w:rsidRPr="008F32E5">
        <w:rPr>
          <w:rFonts w:ascii="Times" w:eastAsia="Helvetica Neue" w:hAnsi="Times" w:cs="Helvetica Neue"/>
          <w:color w:val="000000" w:themeColor="text1"/>
        </w:rPr>
        <w:fldChar w:fldCharType="separate"/>
      </w:r>
      <w:r w:rsidR="008B187E" w:rsidRPr="008F32E5">
        <w:rPr>
          <w:rFonts w:ascii="Times" w:hAnsi="Times" w:cs="Times"/>
        </w:rPr>
        <w:t>(Kreidenweis et al., 2016)</w:t>
      </w:r>
      <w:r w:rsidR="0011542F" w:rsidRPr="008F32E5">
        <w:rPr>
          <w:rFonts w:ascii="Times" w:eastAsia="Helvetica Neue" w:hAnsi="Times" w:cs="Helvetica Neue"/>
          <w:color w:val="000000" w:themeColor="text1"/>
        </w:rPr>
        <w:fldChar w:fldCharType="end"/>
      </w:r>
      <w:r w:rsidR="00CF66F5" w:rsidRPr="008F32E5">
        <w:rPr>
          <w:rFonts w:ascii="Times" w:eastAsia="Helvetica Neue" w:hAnsi="Times" w:cs="Helvetica Neue"/>
          <w:color w:val="000000" w:themeColor="text1"/>
        </w:rPr>
        <w:t xml:space="preserve">'s "no boreal afforestation" scenario, which assumes 1351 Mha total afforested area by 2050. </w:t>
      </w:r>
      <w:r w:rsidR="008F32E5" w:rsidRPr="0011542F">
        <w:rPr>
          <w:rFonts w:ascii="Times" w:eastAsia="Helvetica Neue" w:hAnsi="Times" w:cs="Helvetica Neue"/>
          <w:color w:val="000000" w:themeColor="text1"/>
        </w:rPr>
        <w:t xml:space="preserve">We calculated the proportion of this projection based on current total </w:t>
      </w:r>
      <w:r w:rsidR="008F32E5">
        <w:rPr>
          <w:rFonts w:ascii="Times" w:eastAsia="Helvetica Neue" w:hAnsi="Times" w:cs="Helvetica Neue"/>
          <w:color w:val="000000" w:themeColor="text1"/>
        </w:rPr>
        <w:t>land allocated to drawdown biomass crops</w:t>
      </w:r>
      <w:r w:rsidR="008F32E5" w:rsidRPr="0011542F">
        <w:rPr>
          <w:rFonts w:ascii="Times" w:eastAsia="Helvetica Neue" w:hAnsi="Times" w:cs="Helvetica Neue"/>
          <w:color w:val="000000" w:themeColor="text1"/>
        </w:rPr>
        <w:t xml:space="preserve"> </w:t>
      </w:r>
      <w:r w:rsidR="008F32E5">
        <w:rPr>
          <w:rFonts w:ascii="Times" w:eastAsia="Helvetica Neue" w:hAnsi="Times" w:cs="Helvetica Neue"/>
          <w:color w:val="000000" w:themeColor="text1"/>
        </w:rPr>
        <w:t>and the TLA set for afforested forest plantation.</w:t>
      </w:r>
    </w:p>
    <w:p w14:paraId="192FC89A" w14:textId="3520D56E" w:rsidR="006235B0" w:rsidRPr="008F32E5" w:rsidRDefault="004C7B75" w:rsidP="002941B5">
      <w:pPr>
        <w:pStyle w:val="ListParagraph"/>
        <w:numPr>
          <w:ilvl w:val="0"/>
          <w:numId w:val="17"/>
        </w:numPr>
        <w:rPr>
          <w:rFonts w:ascii="Times" w:eastAsia="Helvetica Neue" w:hAnsi="Times" w:cs="Helvetica Neue"/>
          <w:color w:val="000000" w:themeColor="text1"/>
        </w:rPr>
      </w:pPr>
      <w:r w:rsidRPr="008F32E5">
        <w:rPr>
          <w:rFonts w:ascii="Times" w:eastAsia="Helvetica Neue" w:hAnsi="Times" w:cs="Helvetica Neue"/>
          <w:b/>
          <w:i/>
          <w:color w:val="000000" w:themeColor="text1"/>
        </w:rPr>
        <w:t>Custom adoption scenario six:</w:t>
      </w:r>
      <w:r w:rsidR="00531D98" w:rsidRPr="008F32E5">
        <w:rPr>
          <w:rFonts w:ascii="Times" w:eastAsia="Helvetica Neue" w:hAnsi="Times" w:cs="Helvetica Neue"/>
          <w:b/>
          <w:i/>
          <w:color w:val="000000" w:themeColor="text1"/>
        </w:rPr>
        <w:t xml:space="preserve"> </w:t>
      </w:r>
      <w:r w:rsidR="00531D98" w:rsidRPr="008F32E5">
        <w:rPr>
          <w:rFonts w:ascii="Times" w:eastAsia="Helvetica Neue" w:hAnsi="Times" w:cs="Helvetica Neue"/>
          <w:color w:val="000000" w:themeColor="text1"/>
        </w:rPr>
        <w:t xml:space="preserve">Projections of future adoption of </w:t>
      </w:r>
      <w:r w:rsidR="008F32E5">
        <w:rPr>
          <w:rFonts w:ascii="Times" w:eastAsia="Helvetica Neue" w:hAnsi="Times" w:cs="Helvetica Neue"/>
          <w:color w:val="000000" w:themeColor="text1"/>
        </w:rPr>
        <w:t xml:space="preserve">afforested </w:t>
      </w:r>
      <w:r w:rsidR="00531D98" w:rsidRPr="008F32E5">
        <w:rPr>
          <w:rFonts w:ascii="Times" w:eastAsia="Helvetica Neue" w:hAnsi="Times" w:cs="Helvetica Neue"/>
          <w:color w:val="000000" w:themeColor="text1"/>
        </w:rPr>
        <w:t>forest plantations are based on the total predicted area of planted forest in 2030 (344.5 Mha), as reported by</w:t>
      </w:r>
      <w:r w:rsidR="0011542F" w:rsidRPr="008F32E5">
        <w:rPr>
          <w:rFonts w:ascii="Times" w:eastAsia="Helvetica Neue" w:hAnsi="Times" w:cs="Helvetica Neue"/>
          <w:color w:val="000000" w:themeColor="text1"/>
        </w:rPr>
        <w:t xml:space="preserve"> </w:t>
      </w:r>
      <w:r w:rsidR="0011542F" w:rsidRPr="008F32E5">
        <w:rPr>
          <w:rFonts w:ascii="Times" w:eastAsia="Helvetica Neue" w:hAnsi="Times" w:cs="Helvetica Neue"/>
          <w:color w:val="000000" w:themeColor="text1"/>
        </w:rPr>
        <w:fldChar w:fldCharType="begin"/>
      </w:r>
      <w:r w:rsidR="0011542F" w:rsidRPr="008F32E5">
        <w:rPr>
          <w:rFonts w:ascii="Times" w:eastAsia="Helvetica Neue" w:hAnsi="Times" w:cs="Helvetica Neue"/>
          <w:color w:val="000000" w:themeColor="text1"/>
        </w:rPr>
        <w:instrText xml:space="preserve"> ADDIN ZOTERO_ITEM CSL_CITATION {"citationID":"vK1k6w7N","properties":{"formattedCitation":"(Evans, 2009)","plainCitation":"(Evans, 2009)","noteIndex":0},"citationItems":[{"id":2861,"uris":["http://zotero.org/groups/2241939/items/87SIBWPU"],"uri":["http://zotero.org/groups/2241939/items/87SIBWPU"],"itemData":{"id":2861,"type":"book","title":"Planted forests: uses, impacts, and sustainability","publisher":"Published jointly by Food and Agriculture Organization of the United Nations and Cabi Pub","publisher-place":"Wallingford, UK ; Cambridge, MA","number-of-pages":"213","source":"Library of Congress ISBN","event-place":"Wallingford, UK ; Cambridge, MA","ISBN":"978-1-84593-564-1","call-number":"SD409 .P685 2009","note":"OCLC: ocn354817471","shortTitle":"Planted forests","language":"en","editor":[{"family":"Evans","given":"Julian"}],"issued":{"date-parts":[["2009"]]}}}],"schema":"https://github.com/citation-style-language/schema/raw/master/csl-citation.json"} </w:instrText>
      </w:r>
      <w:r w:rsidR="0011542F" w:rsidRPr="008F32E5">
        <w:rPr>
          <w:rFonts w:ascii="Times" w:eastAsia="Helvetica Neue" w:hAnsi="Times" w:cs="Helvetica Neue"/>
          <w:color w:val="000000" w:themeColor="text1"/>
        </w:rPr>
        <w:fldChar w:fldCharType="separate"/>
      </w:r>
      <w:r w:rsidR="008B187E" w:rsidRPr="008F32E5">
        <w:rPr>
          <w:rFonts w:ascii="Times" w:hAnsi="Times" w:cs="Times"/>
        </w:rPr>
        <w:t>(Evans, 2009)</w:t>
      </w:r>
      <w:r w:rsidR="0011542F" w:rsidRPr="008F32E5">
        <w:rPr>
          <w:rFonts w:ascii="Times" w:eastAsia="Helvetica Neue" w:hAnsi="Times" w:cs="Helvetica Neue"/>
          <w:color w:val="000000" w:themeColor="text1"/>
        </w:rPr>
        <w:fldChar w:fldCharType="end"/>
      </w:r>
      <w:r w:rsidR="00531D98" w:rsidRPr="008F32E5">
        <w:rPr>
          <w:rFonts w:ascii="Times" w:eastAsia="Helvetica Neue" w:hAnsi="Times" w:cs="Helvetica Neue"/>
          <w:color w:val="000000" w:themeColor="text1"/>
        </w:rPr>
        <w:t>. The predictions are made according to two scenarios (Scenario 2: "Business as Usual" and Scenario 3: "Higher Productivity") described in Table 5.2 of the publication.</w:t>
      </w:r>
    </w:p>
    <w:p w14:paraId="5BB095A5" w14:textId="6C41754B" w:rsidR="000875B5" w:rsidRDefault="000875B5" w:rsidP="00DB4CC8">
      <w:pPr>
        <w:pStyle w:val="Heading3"/>
      </w:pPr>
      <w:bookmarkStart w:id="26" w:name="_Toc18443092"/>
      <w:bookmarkEnd w:id="25"/>
      <w:r>
        <w:t>Reference Case / Current Adoption</w:t>
      </w:r>
      <w:bookmarkEnd w:id="26"/>
    </w:p>
    <w:p w14:paraId="263DA02E" w14:textId="06F8872E" w:rsidR="00F253D1" w:rsidRPr="00F253D1" w:rsidRDefault="00F253D1" w:rsidP="00F253D1">
      <w:pPr>
        <w:rPr>
          <w:rFonts w:ascii="Times" w:hAnsi="Times"/>
          <w:color w:val="000000" w:themeColor="text1"/>
        </w:rPr>
      </w:pPr>
      <w:r w:rsidRPr="00F253D1">
        <w:rPr>
          <w:rFonts w:ascii="Times" w:eastAsia="Helvetica Neue" w:hAnsi="Times" w:cs="Helvetica Neue"/>
          <w:color w:val="000000" w:themeColor="text1"/>
          <w:highlight w:val="white"/>
        </w:rPr>
        <w:t>Current adoption </w:t>
      </w:r>
      <w:r w:rsidR="00AA402A">
        <w:t>of</w:t>
      </w:r>
      <w:r w:rsidRPr="00F253D1">
        <w:rPr>
          <w:rFonts w:ascii="Times" w:eastAsia="Helvetica Neue" w:hAnsi="Times" w:cs="Helvetica Neue"/>
          <w:color w:val="000000" w:themeColor="text1"/>
          <w:highlight w:val="white"/>
        </w:rPr>
        <w:t> </w:t>
      </w:r>
      <w:r w:rsidR="00B667C4">
        <w:rPr>
          <w:rFonts w:ascii="Times" w:eastAsia="Helvetica Neue" w:hAnsi="Times" w:cs="Helvetica Neue"/>
          <w:i/>
          <w:color w:val="000000" w:themeColor="text1"/>
          <w:highlight w:val="white"/>
        </w:rPr>
        <w:t>afforestation</w:t>
      </w:r>
      <w:r w:rsidRPr="00F253D1">
        <w:rPr>
          <w:rFonts w:ascii="Times" w:eastAsia="Helvetica Neue" w:hAnsi="Times" w:cs="Helvetica Neue"/>
          <w:color w:val="000000" w:themeColor="text1"/>
          <w:highlight w:val="white"/>
        </w:rPr>
        <w:t xml:space="preserve"> is estimated at </w:t>
      </w:r>
      <w:r w:rsidR="00C81588">
        <w:rPr>
          <w:rFonts w:ascii="Times" w:eastAsia="Helvetica Neue" w:hAnsi="Times" w:cs="Helvetica Neue"/>
          <w:color w:val="000000" w:themeColor="text1"/>
          <w:highlight w:val="white"/>
        </w:rPr>
        <w:t>29</w:t>
      </w:r>
      <w:r w:rsidR="00F93576">
        <w:rPr>
          <w:rFonts w:ascii="Times" w:eastAsia="Helvetica Neue" w:hAnsi="Times" w:cs="Helvetica Neue"/>
          <w:color w:val="000000" w:themeColor="text1"/>
          <w:highlight w:val="white"/>
        </w:rPr>
        <w:t>0</w:t>
      </w:r>
      <w:r w:rsidRPr="00F253D1">
        <w:rPr>
          <w:rFonts w:ascii="Times" w:eastAsia="Helvetica Neue" w:hAnsi="Times" w:cs="Helvetica Neue"/>
          <w:color w:val="000000" w:themeColor="text1"/>
          <w:highlight w:val="white"/>
        </w:rPr>
        <w:t xml:space="preserve"> million hectares</w:t>
      </w:r>
      <w:r w:rsidR="00C81588">
        <w:rPr>
          <w:rFonts w:ascii="Times" w:eastAsia="Helvetica Neue" w:hAnsi="Times" w:cs="Helvetica Neue"/>
          <w:color w:val="000000" w:themeColor="text1"/>
          <w:highlight w:val="white"/>
        </w:rPr>
        <w:t xml:space="preserve"> based on FAO’s most recent </w:t>
      </w:r>
      <w:r w:rsidR="008D2F41" w:rsidRPr="008D2F41">
        <w:rPr>
          <w:rFonts w:ascii="Times" w:eastAsia="Helvetica Neue" w:hAnsi="Times" w:cs="Helvetica Neue"/>
          <w:color w:val="000000" w:themeColor="text1"/>
        </w:rPr>
        <w:t xml:space="preserve">Global </w:t>
      </w:r>
      <w:r w:rsidR="008D2F41">
        <w:rPr>
          <w:rFonts w:ascii="Times" w:eastAsia="Helvetica Neue" w:hAnsi="Times" w:cs="Helvetica Neue"/>
          <w:color w:val="000000" w:themeColor="text1"/>
        </w:rPr>
        <w:t>F</w:t>
      </w:r>
      <w:r w:rsidR="008D2F41" w:rsidRPr="008D2F41">
        <w:rPr>
          <w:rFonts w:ascii="Times" w:eastAsia="Helvetica Neue" w:hAnsi="Times" w:cs="Helvetica Neue"/>
          <w:color w:val="000000" w:themeColor="text1"/>
        </w:rPr>
        <w:t xml:space="preserve">orest </w:t>
      </w:r>
      <w:r w:rsidR="008D2F41">
        <w:rPr>
          <w:rFonts w:ascii="Times" w:eastAsia="Helvetica Neue" w:hAnsi="Times" w:cs="Helvetica Neue"/>
          <w:color w:val="000000" w:themeColor="text1"/>
        </w:rPr>
        <w:t>R</w:t>
      </w:r>
      <w:r w:rsidR="008D2F41" w:rsidRPr="008D2F41">
        <w:rPr>
          <w:rFonts w:ascii="Times" w:eastAsia="Helvetica Neue" w:hAnsi="Times" w:cs="Helvetica Neue"/>
          <w:color w:val="000000" w:themeColor="text1"/>
        </w:rPr>
        <w:t xml:space="preserve">esources </w:t>
      </w:r>
      <w:r w:rsidR="008D2F41">
        <w:rPr>
          <w:rFonts w:ascii="Times" w:eastAsia="Helvetica Neue" w:hAnsi="Times" w:cs="Helvetica Neue"/>
          <w:color w:val="000000" w:themeColor="text1"/>
        </w:rPr>
        <w:t>A</w:t>
      </w:r>
      <w:r w:rsidR="008D2F41" w:rsidRPr="008D2F41">
        <w:rPr>
          <w:rFonts w:ascii="Times" w:eastAsia="Helvetica Neue" w:hAnsi="Times" w:cs="Helvetica Neue"/>
          <w:color w:val="000000" w:themeColor="text1"/>
        </w:rPr>
        <w:t>ssessment</w:t>
      </w:r>
      <w:r w:rsidR="008D2F41" w:rsidRPr="008D2F41">
        <w:rPr>
          <w:rFonts w:ascii="Times" w:eastAsia="Helvetica Neue" w:hAnsi="Times" w:cs="Helvetica Neue"/>
          <w:color w:val="000000" w:themeColor="text1"/>
          <w:highlight w:val="white"/>
        </w:rPr>
        <w:t xml:space="preserve"> </w:t>
      </w:r>
      <w:r w:rsidRPr="00F253D1">
        <w:rPr>
          <w:rFonts w:ascii="Times" w:eastAsia="Helvetica Neue" w:hAnsi="Times" w:cs="Helvetica Neue"/>
          <w:color w:val="000000" w:themeColor="text1"/>
          <w:highlight w:val="white"/>
        </w:rPr>
        <w:t>(</w:t>
      </w:r>
      <w:r w:rsidR="00C81588">
        <w:rPr>
          <w:rFonts w:ascii="Times" w:eastAsia="Helvetica Neue" w:hAnsi="Times" w:cs="Helvetica Neue"/>
          <w:color w:val="000000" w:themeColor="text1"/>
          <w:highlight w:val="white"/>
        </w:rPr>
        <w:t>FAO</w:t>
      </w:r>
      <w:r w:rsidRPr="00F253D1">
        <w:rPr>
          <w:rFonts w:ascii="Times" w:eastAsia="Helvetica Neue" w:hAnsi="Times" w:cs="Helvetica Neue"/>
          <w:color w:val="000000" w:themeColor="text1"/>
          <w:highlight w:val="white"/>
        </w:rPr>
        <w:t xml:space="preserve"> 201</w:t>
      </w:r>
      <w:r w:rsidR="00931C71">
        <w:rPr>
          <w:rFonts w:ascii="Times" w:eastAsia="Helvetica Neue" w:hAnsi="Times" w:cs="Helvetica Neue"/>
          <w:color w:val="000000" w:themeColor="text1"/>
          <w:highlight w:val="white"/>
        </w:rPr>
        <w:t>5</w:t>
      </w:r>
      <w:r w:rsidRPr="00F253D1">
        <w:rPr>
          <w:rFonts w:ascii="Times" w:eastAsia="Helvetica Neue" w:hAnsi="Times" w:cs="Helvetica Neue"/>
          <w:color w:val="000000" w:themeColor="text1"/>
          <w:highlight w:val="white"/>
        </w:rPr>
        <w:t>)</w:t>
      </w:r>
      <w:r w:rsidR="00931C71">
        <w:rPr>
          <w:rFonts w:ascii="Times" w:eastAsia="Helvetica Neue" w:hAnsi="Times" w:cs="Helvetica Neue"/>
          <w:color w:val="000000" w:themeColor="text1"/>
        </w:rPr>
        <w:t>.</w:t>
      </w:r>
    </w:p>
    <w:p w14:paraId="2FE0BC9D" w14:textId="730D5F1F" w:rsidR="000875B5" w:rsidRPr="00D2050B" w:rsidRDefault="00D2050B" w:rsidP="00A45217">
      <w:pPr>
        <w:pStyle w:val="Heading3"/>
        <w:numPr>
          <w:ilvl w:val="0"/>
          <w:numId w:val="0"/>
        </w:numPr>
      </w:pPr>
      <w:bookmarkStart w:id="27" w:name="_Toc18443093"/>
      <w:r w:rsidRPr="00025E1E">
        <w:t>Project Drawdown</w:t>
      </w:r>
      <w:r w:rsidR="000875B5" w:rsidRPr="00025E1E">
        <w:t xml:space="preserve"> Scenarios</w:t>
      </w:r>
      <w:bookmarkEnd w:id="27"/>
    </w:p>
    <w:p w14:paraId="2D0D37BE" w14:textId="4E269765" w:rsidR="00FB2C53" w:rsidRDefault="000875B5" w:rsidP="007219F0">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p>
    <w:p w14:paraId="07D866B7" w14:textId="6B446AE9" w:rsidR="00A3451A" w:rsidRPr="00040956" w:rsidRDefault="00AC493E" w:rsidP="00D45F43">
      <w:pPr>
        <w:pStyle w:val="Heading4"/>
        <w:ind w:left="0" w:firstLine="0"/>
      </w:pPr>
      <w:bookmarkStart w:id="28" w:name="_Toc507486009"/>
      <w:r w:rsidRPr="00040956">
        <w:lastRenderedPageBreak/>
        <w:t>Plausible Scenario</w:t>
      </w:r>
      <w:bookmarkEnd w:id="28"/>
      <w:r w:rsidR="00FB2C53" w:rsidRPr="00040956">
        <w:t xml:space="preserve"> </w:t>
      </w:r>
      <w:r w:rsidR="004276A3" w:rsidRPr="00040956">
        <w:t xml:space="preserve">– </w:t>
      </w:r>
      <w:r w:rsidR="006F3213" w:rsidRPr="006F3213">
        <w:rPr>
          <w:rFonts w:ascii="Times New Roman" w:eastAsia="Helvetica Neue" w:hAnsi="Times New Roman" w:cs="Times New Roman"/>
          <w:b w:val="0"/>
          <w:i w:val="0"/>
          <w:color w:val="000000"/>
        </w:rPr>
        <w:t>A conservative approach is adopted for the plausible scenario, and future growth of the solution is estimated based on the “average of all” custom adoption scenarios as listed above</w:t>
      </w:r>
      <w:r w:rsidR="004276A3" w:rsidRPr="00040956">
        <w:rPr>
          <w:rFonts w:ascii="Times New Roman" w:eastAsia="Helvetica Neue" w:hAnsi="Times New Roman" w:cs="Times New Roman"/>
          <w:b w:val="0"/>
          <w:i w:val="0"/>
          <w:color w:val="000000"/>
        </w:rPr>
        <w:t>.</w:t>
      </w:r>
    </w:p>
    <w:p w14:paraId="63A69AC2" w14:textId="26AF21E6" w:rsidR="00A3451A" w:rsidRPr="00040956" w:rsidRDefault="00AC493E">
      <w:pPr>
        <w:pStyle w:val="Heading4"/>
        <w:rPr>
          <w:rFonts w:ascii="Times New Roman" w:eastAsiaTheme="minorEastAsia" w:hAnsi="Times New Roman" w:cstheme="minorBidi"/>
          <w:b w:val="0"/>
          <w:bCs w:val="0"/>
          <w:i w:val="0"/>
          <w:iCs w:val="0"/>
          <w:color w:val="auto"/>
        </w:rPr>
      </w:pPr>
      <w:bookmarkStart w:id="29" w:name="_Toc507486010"/>
      <w:r w:rsidRPr="00040956">
        <w:t>Drawdown Scenario</w:t>
      </w:r>
      <w:bookmarkEnd w:id="29"/>
      <w:r w:rsidR="00FB2C53" w:rsidRPr="00040956">
        <w:t xml:space="preserve"> </w:t>
      </w:r>
      <w:r w:rsidR="00A3451A" w:rsidRPr="00040956">
        <w:t>–</w:t>
      </w:r>
      <w:r w:rsidR="00FB2C53" w:rsidRPr="00040956">
        <w:t xml:space="preserve"> </w:t>
      </w:r>
      <w:r w:rsidR="006F3213" w:rsidRPr="006F3213">
        <w:rPr>
          <w:rFonts w:ascii="Times New Roman" w:eastAsia="Helvetica Neue" w:hAnsi="Times New Roman" w:cs="Times New Roman"/>
          <w:b w:val="0"/>
          <w:i w:val="0"/>
          <w:color w:val="000000"/>
        </w:rPr>
        <w:t>For the drawdown scenario, an ambitious approach is adopted, and future growth of the solution is estimated based on the “high of all” custom adoption scenarios as listed above</w:t>
      </w:r>
      <w:r w:rsidR="004276A3" w:rsidRPr="00040956">
        <w:rPr>
          <w:rFonts w:ascii="Times New Roman" w:eastAsia="Helvetica Neue" w:hAnsi="Times New Roman" w:cs="Times New Roman"/>
          <w:b w:val="0"/>
          <w:i w:val="0"/>
          <w:color w:val="auto"/>
        </w:rPr>
        <w:t>.</w:t>
      </w:r>
    </w:p>
    <w:p w14:paraId="0291C3B2" w14:textId="3B5E2C31" w:rsidR="00FB2C53" w:rsidRPr="00FB2C53" w:rsidRDefault="00AC493E">
      <w:pPr>
        <w:pStyle w:val="Heading4"/>
      </w:pPr>
      <w:bookmarkStart w:id="30" w:name="_Toc507486011"/>
      <w:r w:rsidRPr="00040956">
        <w:t>Optimum Scenario</w:t>
      </w:r>
      <w:bookmarkEnd w:id="30"/>
      <w:r w:rsidR="00FB2C53" w:rsidRPr="00040956">
        <w:t xml:space="preserve"> </w:t>
      </w:r>
      <w:r w:rsidR="0047128C" w:rsidRPr="00040956">
        <w:t>–</w:t>
      </w:r>
      <w:r w:rsidR="00FB2C53" w:rsidRPr="00040956">
        <w:rPr>
          <w:color w:val="000000" w:themeColor="text1"/>
        </w:rPr>
        <w:t xml:space="preserve"> </w:t>
      </w:r>
      <w:r w:rsidR="008F32E5" w:rsidRPr="008F32E5">
        <w:rPr>
          <w:rFonts w:ascii="Times New Roman" w:eastAsia="Helvetica Neue" w:hAnsi="Times New Roman" w:cs="Times New Roman"/>
          <w:b w:val="0"/>
          <w:i w:val="0"/>
          <w:color w:val="000000"/>
        </w:rPr>
        <w:t xml:space="preserve">For the optimum scenario, custom adoption scenario that is giving maximum growth based on the existing prognostication is considered, which is represented by the “custom scenario </w:t>
      </w:r>
      <w:r w:rsidR="008F32E5">
        <w:rPr>
          <w:rFonts w:ascii="Times New Roman" w:eastAsia="Helvetica Neue" w:hAnsi="Times New Roman" w:cs="Times New Roman"/>
          <w:b w:val="0"/>
          <w:i w:val="0"/>
          <w:color w:val="000000"/>
        </w:rPr>
        <w:t>five</w:t>
      </w:r>
      <w:r w:rsidR="008F32E5" w:rsidRPr="008F32E5">
        <w:rPr>
          <w:rFonts w:ascii="Times New Roman" w:eastAsia="Helvetica Neue" w:hAnsi="Times New Roman" w:cs="Times New Roman"/>
          <w:b w:val="0"/>
          <w:i w:val="0"/>
          <w:color w:val="000000"/>
        </w:rPr>
        <w:t>” where future adoption is projected based on the</w:t>
      </w:r>
      <w:r w:rsidR="008F32E5">
        <w:rPr>
          <w:rFonts w:ascii="Times New Roman" w:eastAsia="Helvetica Neue" w:hAnsi="Times New Roman" w:cs="Times New Roman"/>
          <w:b w:val="0"/>
          <w:i w:val="0"/>
          <w:color w:val="000000"/>
        </w:rPr>
        <w:t xml:space="preserve"> high estimates of</w:t>
      </w:r>
      <w:r w:rsidR="008F32E5" w:rsidRPr="008F32E5">
        <w:rPr>
          <w:rFonts w:ascii="Times New Roman" w:eastAsia="Helvetica Neue" w:hAnsi="Times New Roman" w:cs="Times New Roman"/>
          <w:b w:val="0"/>
          <w:i w:val="0"/>
          <w:color w:val="000000"/>
        </w:rPr>
        <w:t xml:space="preserve"> (Kreidenweis et al., 2016</w:t>
      </w:r>
      <w:r w:rsidR="008F32E5">
        <w:rPr>
          <w:rFonts w:ascii="Times New Roman" w:eastAsia="Helvetica Neue" w:hAnsi="Times New Roman" w:cs="Times New Roman"/>
          <w:b w:val="0"/>
          <w:i w:val="0"/>
          <w:color w:val="000000"/>
        </w:rPr>
        <w:t>)</w:t>
      </w:r>
      <w:r w:rsidR="004276A3" w:rsidRPr="00040956">
        <w:rPr>
          <w:rFonts w:ascii="Times" w:hAnsi="Times"/>
          <w:b w:val="0"/>
          <w:i w:val="0"/>
          <w:color w:val="000000" w:themeColor="text1"/>
        </w:rPr>
        <w:t>.</w:t>
      </w:r>
      <w:r w:rsidR="004276A3" w:rsidRPr="00F253D1">
        <w:rPr>
          <w:color w:val="000000" w:themeColor="text1"/>
        </w:rPr>
        <w:t xml:space="preserve"> </w:t>
      </w:r>
    </w:p>
    <w:p w14:paraId="5B61B0F2" w14:textId="6885410F" w:rsidR="00FB2C53" w:rsidRPr="00FB2C53" w:rsidRDefault="00686965" w:rsidP="00025E1E">
      <w:pPr>
        <w:pStyle w:val="Heading2"/>
        <w:numPr>
          <w:ilvl w:val="1"/>
          <w:numId w:val="4"/>
        </w:numPr>
      </w:pPr>
      <w:bookmarkStart w:id="31" w:name="_Toc18443094"/>
      <w:r>
        <w:t>Inputs</w:t>
      </w:r>
      <w:bookmarkEnd w:id="31"/>
    </w:p>
    <w:p w14:paraId="3EBCEF57" w14:textId="728BDF7E" w:rsidR="00FB3AB3" w:rsidRPr="00BE5134" w:rsidRDefault="00686965" w:rsidP="00DB4CC8">
      <w:pPr>
        <w:pStyle w:val="Heading3"/>
      </w:pPr>
      <w:bookmarkStart w:id="32" w:name="_Toc18443095"/>
      <w:r w:rsidRPr="00BE5134">
        <w:t>Climate Inputs</w:t>
      </w:r>
      <w:bookmarkEnd w:id="32"/>
    </w:p>
    <w:p w14:paraId="6CACC3B5" w14:textId="2771E805" w:rsidR="00652209" w:rsidRPr="001B202A" w:rsidRDefault="00652209" w:rsidP="00652209">
      <w:pPr>
        <w:spacing w:after="0"/>
        <w:rPr>
          <w:rFonts w:ascii="Times" w:eastAsia="Helvetica Neue" w:hAnsi="Times" w:cs="Helvetica Neue"/>
          <w:color w:val="000000" w:themeColor="text1"/>
          <w:highlight w:val="white"/>
        </w:rPr>
      </w:pPr>
      <w:r w:rsidRPr="001B202A">
        <w:rPr>
          <w:rFonts w:ascii="Times" w:eastAsia="Helvetica Neue" w:hAnsi="Times" w:cs="Helvetica Neue"/>
          <w:color w:val="000000" w:themeColor="text1"/>
          <w:highlight w:val="white"/>
        </w:rPr>
        <w:t>Sequestration rates of</w:t>
      </w:r>
      <w:r w:rsidR="00BE7265">
        <w:rPr>
          <w:rFonts w:ascii="Times" w:eastAsia="Helvetica Neue" w:hAnsi="Times" w:cs="Helvetica Neue"/>
          <w:color w:val="000000" w:themeColor="text1"/>
          <w:highlight w:val="white"/>
        </w:rPr>
        <w:t xml:space="preserve"> </w:t>
      </w:r>
      <w:r w:rsidR="00C1412D">
        <w:rPr>
          <w:rFonts w:ascii="Times" w:eastAsia="Helvetica Neue" w:hAnsi="Times" w:cs="Helvetica Neue"/>
          <w:i/>
          <w:color w:val="000000" w:themeColor="text1"/>
          <w:highlight w:val="white"/>
        </w:rPr>
        <w:t>Afforestation</w:t>
      </w:r>
      <w:r w:rsidRPr="001B202A">
        <w:rPr>
          <w:rFonts w:ascii="Times" w:eastAsia="Helvetica Neue" w:hAnsi="Times" w:cs="Helvetica Neue"/>
          <w:i/>
          <w:color w:val="000000" w:themeColor="text1"/>
          <w:highlight w:val="white"/>
        </w:rPr>
        <w:t> </w:t>
      </w:r>
      <w:r w:rsidRPr="001B202A">
        <w:rPr>
          <w:rFonts w:ascii="Times" w:eastAsia="Helvetica Neue" w:hAnsi="Times" w:cs="Helvetica Neue"/>
          <w:color w:val="000000" w:themeColor="text1"/>
          <w:highlight w:val="white"/>
        </w:rPr>
        <w:t xml:space="preserve">are set at </w:t>
      </w:r>
      <w:r w:rsidR="000C4098">
        <w:rPr>
          <w:rFonts w:ascii="Times" w:eastAsia="Helvetica Neue" w:hAnsi="Times" w:cs="Helvetica Neue"/>
          <w:color w:val="000000" w:themeColor="text1"/>
          <w:highlight w:val="white"/>
        </w:rPr>
        <w:t>3.3</w:t>
      </w:r>
      <w:r w:rsidRPr="001B202A">
        <w:rPr>
          <w:rFonts w:ascii="Times" w:eastAsia="Helvetica Neue" w:hAnsi="Times" w:cs="Helvetica Neue"/>
          <w:color w:val="000000" w:themeColor="text1"/>
          <w:highlight w:val="white"/>
        </w:rPr>
        <w:t xml:space="preserve"> tons of carbon per hectare per year. This is the result of meta-analysis of </w:t>
      </w:r>
      <w:r w:rsidR="00A46495">
        <w:rPr>
          <w:rFonts w:ascii="Times" w:eastAsia="Helvetica Neue" w:hAnsi="Times" w:cs="Helvetica Neue"/>
          <w:color w:val="000000" w:themeColor="text1"/>
          <w:highlight w:val="white"/>
        </w:rPr>
        <w:t>29</w:t>
      </w:r>
      <w:r w:rsidRPr="001B202A">
        <w:rPr>
          <w:rFonts w:ascii="Times" w:eastAsia="Helvetica Neue" w:hAnsi="Times" w:cs="Helvetica Neue"/>
          <w:color w:val="000000" w:themeColor="text1"/>
          <w:highlight w:val="white"/>
        </w:rPr>
        <w:t xml:space="preserve"> data points from </w:t>
      </w:r>
      <w:r w:rsidR="002F3A87">
        <w:rPr>
          <w:rFonts w:ascii="Times" w:eastAsia="Helvetica Neue" w:hAnsi="Times" w:cs="Helvetica Neue"/>
          <w:color w:val="000000" w:themeColor="text1"/>
          <w:highlight w:val="white"/>
        </w:rPr>
        <w:t>10</w:t>
      </w:r>
      <w:r w:rsidRPr="001B202A">
        <w:rPr>
          <w:rFonts w:ascii="Times" w:eastAsia="Helvetica Neue" w:hAnsi="Times" w:cs="Helvetica Neue"/>
          <w:color w:val="000000" w:themeColor="text1"/>
          <w:highlight w:val="white"/>
        </w:rPr>
        <w:t xml:space="preserve"> sources. </w:t>
      </w:r>
    </w:p>
    <w:p w14:paraId="7B09C906" w14:textId="77777777" w:rsidR="004D1553" w:rsidRPr="004D1553" w:rsidRDefault="004D1553" w:rsidP="004D1553"/>
    <w:p w14:paraId="67ED68E5" w14:textId="64CCC2C9" w:rsidR="0021082B" w:rsidRPr="00D45F43" w:rsidRDefault="004F5425" w:rsidP="00D45F43">
      <w:pPr>
        <w:shd w:val="clear" w:color="auto" w:fill="FFFFFF"/>
        <w:spacing w:after="180" w:line="240" w:lineRule="auto"/>
        <w:rPr>
          <w:b/>
          <w:i/>
          <w:sz w:val="20"/>
        </w:rPr>
      </w:pPr>
      <w:bookmarkStart w:id="33" w:name="_Toc18443156"/>
      <w:r w:rsidRPr="00D45F4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2</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1</w:t>
      </w:r>
      <w:r w:rsidR="00172CCC">
        <w:rPr>
          <w:b/>
          <w:i/>
          <w:sz w:val="20"/>
        </w:rPr>
        <w:fldChar w:fldCharType="end"/>
      </w:r>
      <w:r w:rsidRPr="00D45F43">
        <w:rPr>
          <w:b/>
          <w:i/>
          <w:sz w:val="20"/>
        </w:rPr>
        <w:t xml:space="preserve"> Climate Inputs</w:t>
      </w:r>
      <w:bookmarkEnd w:id="33"/>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69E5974D" w:rsidR="003922A1" w:rsidRPr="00FA5114" w:rsidRDefault="00316546" w:rsidP="00DB4CC8">
            <w:pPr>
              <w:spacing w:after="180"/>
              <w:jc w:val="center"/>
              <w:rPr>
                <w:rFonts w:eastAsia="Helvetica,Times New Roman" w:cstheme="minorHAnsi"/>
                <w:color w:val="000000" w:themeColor="text1"/>
                <w:sz w:val="20"/>
                <w:szCs w:val="20"/>
              </w:rPr>
            </w:pPr>
            <w:r>
              <w:t>C s</w:t>
            </w:r>
            <w:r w:rsidR="00A85F6D">
              <w:t>equestration</w:t>
            </w:r>
          </w:p>
        </w:tc>
        <w:tc>
          <w:tcPr>
            <w:tcW w:w="1427"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486" w:type="dxa"/>
            <w:vAlign w:val="center"/>
          </w:tcPr>
          <w:p w14:paraId="21F5B106" w14:textId="6F4300EA" w:rsidR="003922A1" w:rsidRPr="00FA5114" w:rsidRDefault="00576AE8"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r w:rsidR="003F71ED">
              <w:rPr>
                <w:rFonts w:eastAsia="Helvetica,Times New Roman" w:cstheme="minorHAnsi"/>
                <w:color w:val="000000" w:themeColor="text1"/>
                <w:sz w:val="20"/>
                <w:szCs w:val="20"/>
              </w:rPr>
              <w:t xml:space="preserve"> – 5.5</w:t>
            </w:r>
          </w:p>
        </w:tc>
        <w:tc>
          <w:tcPr>
            <w:tcW w:w="1467" w:type="dxa"/>
            <w:vAlign w:val="center"/>
          </w:tcPr>
          <w:p w14:paraId="11E87B1E" w14:textId="62F5F92B" w:rsidR="003922A1" w:rsidRPr="00FA5114" w:rsidRDefault="00D67F8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3.3</w:t>
            </w:r>
          </w:p>
        </w:tc>
        <w:tc>
          <w:tcPr>
            <w:tcW w:w="1366" w:type="dxa"/>
            <w:vAlign w:val="center"/>
          </w:tcPr>
          <w:p w14:paraId="1EC7EFEA" w14:textId="7DE56185" w:rsidR="003922A1" w:rsidRPr="00FA5114" w:rsidRDefault="003F71ED"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29</w:t>
            </w:r>
          </w:p>
        </w:tc>
        <w:tc>
          <w:tcPr>
            <w:tcW w:w="1528" w:type="dxa"/>
            <w:vAlign w:val="center"/>
          </w:tcPr>
          <w:p w14:paraId="774B9874" w14:textId="51BD005C" w:rsidR="003922A1" w:rsidRPr="00FB649C" w:rsidRDefault="00D67F83"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r>
    </w:tbl>
    <w:p w14:paraId="44CA1A82" w14:textId="321FC07E" w:rsidR="005C6EC2" w:rsidRPr="00113D12" w:rsidRDefault="003922A1" w:rsidP="00113D12">
      <w:pPr>
        <w:spacing w:line="240" w:lineRule="auto"/>
        <w:rPr>
          <w:sz w:val="20"/>
        </w:rPr>
      </w:pPr>
      <w:r w:rsidRPr="00113D12">
        <w:rPr>
          <w:sz w:val="20"/>
        </w:rPr>
        <w:t xml:space="preserve">Note: </w:t>
      </w:r>
      <w:r w:rsidR="00D25FC7" w:rsidRPr="00113D12">
        <w:rPr>
          <w:sz w:val="20"/>
        </w:rPr>
        <w:t>Project Drawdown data</w:t>
      </w:r>
      <w:r w:rsidRPr="00113D12">
        <w:rPr>
          <w:sz w:val="20"/>
        </w:rPr>
        <w:t xml:space="preserve"> set range </w:t>
      </w:r>
      <w:r w:rsidR="005C6EC2" w:rsidRPr="00113D12">
        <w:rPr>
          <w:sz w:val="20"/>
        </w:rPr>
        <w:t xml:space="preserve">is </w:t>
      </w:r>
      <w:r w:rsidR="0069014F" w:rsidRPr="00113D12">
        <w:rPr>
          <w:sz w:val="20"/>
        </w:rPr>
        <w:t xml:space="preserve">defined by </w:t>
      </w:r>
      <w:r w:rsidR="00AB783D" w:rsidRPr="00113D12">
        <w:rPr>
          <w:sz w:val="20"/>
        </w:rPr>
        <w:t xml:space="preserve">the low and high boundaries which are respectively 1 standard deviation below and above the mean of the </w:t>
      </w:r>
      <w:r w:rsidR="004C2EA3" w:rsidRPr="00113D12">
        <w:rPr>
          <w:sz w:val="20"/>
        </w:rPr>
        <w:t>collected data</w:t>
      </w:r>
      <w:r w:rsidR="00AB783D" w:rsidRPr="00113D12">
        <w:rPr>
          <w:sz w:val="20"/>
        </w:rPr>
        <w:t xml:space="preserve"> points</w:t>
      </w:r>
      <w:r w:rsidR="0069014F" w:rsidRPr="00113D12">
        <w:rPr>
          <w:rStyle w:val="FootnoteReference"/>
          <w:sz w:val="20"/>
        </w:rPr>
        <w:footnoteReference w:id="2"/>
      </w:r>
      <w:r w:rsidR="00AB783D" w:rsidRPr="00113D12">
        <w:rPr>
          <w:sz w:val="20"/>
        </w:rPr>
        <w:t>.</w:t>
      </w:r>
    </w:p>
    <w:p w14:paraId="716BC78D" w14:textId="77777777" w:rsidR="00113D12" w:rsidRDefault="00113D12" w:rsidP="00F44C6D">
      <w:pPr>
        <w:shd w:val="clear" w:color="auto" w:fill="FFFFFF"/>
        <w:spacing w:after="135"/>
        <w:rPr>
          <w:rFonts w:eastAsia="Times New Roman" w:cs="Times New Roman"/>
          <w:i/>
          <w:iCs/>
          <w:color w:val="000000" w:themeColor="text1"/>
          <w:lang w:eastAsia="zh-CN"/>
        </w:rPr>
      </w:pPr>
    </w:p>
    <w:p w14:paraId="336F11FF" w14:textId="75524D48"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w:t>
      </w:r>
      <w:r w:rsidRPr="00F44C6D">
        <w:rPr>
          <w:rFonts w:eastAsia="Times New Roman" w:cs="Times New Roman"/>
          <w:color w:val="000000" w:themeColor="text1"/>
          <w:lang w:eastAsia="zh-CN"/>
        </w:rPr>
        <w:lastRenderedPageBreak/>
        <w:t>anywhere between 10-50 years in agricultural cases, and sometimes somewhat longer in the case of ecosystems like forests. Data about saturation time is very limited.</w:t>
      </w:r>
    </w:p>
    <w:p w14:paraId="2276DB5D" w14:textId="320073FD"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The Drawdown land model takes the conservative approach that all land units currently adopted for agricultural solutions (including multistrata agroforestry) have already achieved saturation and will not be contributing additional sequestration. New adopted land is assumed to sequester for at least 30 years before achieving saturation.</w:t>
      </w:r>
    </w:p>
    <w:p w14:paraId="44CA4B36" w14:textId="0ADF3899" w:rsid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w:t>
      </w:r>
      <w:r w:rsidR="000B1629">
        <w:rPr>
          <w:rFonts w:eastAsia="Times New Roman" w:cs="Times New Roman"/>
          <w:color w:val="000000" w:themeColor="text1"/>
          <w:lang w:eastAsia="zh-CN"/>
        </w:rPr>
        <w:t>forest plantations</w:t>
      </w:r>
      <w:r w:rsidRPr="00F44C6D">
        <w:rPr>
          <w:rFonts w:eastAsia="Times New Roman" w:cs="Times New Roman"/>
          <w:color w:val="000000" w:themeColor="text1"/>
          <w:lang w:eastAsia="zh-CN"/>
        </w:rPr>
        <w:t xml:space="preserve"> in long-term products like buildings.</w:t>
      </w:r>
    </w:p>
    <w:p w14:paraId="14DE8CD7" w14:textId="77777777" w:rsidR="00B77691" w:rsidRPr="00F44C6D" w:rsidRDefault="00B77691" w:rsidP="00B77691">
      <w:pPr>
        <w:rPr>
          <w:rFonts w:cs="Times New Roman"/>
          <w:i/>
        </w:rPr>
      </w:pPr>
      <w:r w:rsidRPr="00F44C6D">
        <w:rPr>
          <w:rFonts w:cs="Times New Roman"/>
          <w:i/>
        </w:rPr>
        <w:t>End of Life Emissions for Perennial Cropping Systems</w:t>
      </w:r>
    </w:p>
    <w:p w14:paraId="38CDD991" w14:textId="539C96A6" w:rsidR="00B77691" w:rsidRDefault="00B77691" w:rsidP="00B77691">
      <w:r w:rsidRPr="00250071">
        <w:t>Carbon is sequestered annually in plants of perennial crops, including biomass and timber crops. Much or all of this carbon is lost at the end of life of these crops. It is assumed that remaining biomass is burned and soil is greatly disturbed at the end of the productive life of these crops. The</w:t>
      </w:r>
      <w:r>
        <w:t xml:space="preserve"> Drawdown model assumes that all soil carbon gains are lost at this time, and that 90% of aboveground carbon biomass is lost due to burning, with 10% of aboveground biomass retained as residue which becomes soil carbon upon decomposition </w:t>
      </w:r>
      <w:r>
        <w:fldChar w:fldCharType="begin"/>
      </w:r>
      <w:r>
        <w:instrText xml:space="preserve"> ADDIN ZOTERO_ITEM CSL_CITATION {"citationID":"pHrR3LT0","properties":{"formattedCitation":"(Marvinney, Kendall, &amp; Brodt, 2014)","plainCitation":"(Marvinney, Kendall, &amp; Brodt, 2014)","noteIndex":0},"citationItems":[{"id":3115,"uris":["http://zotero.org/groups/2241939/items/GF8KWAKA"],"uri":["http://zotero.org/groups/2241939/items/GF8KWAKA"],"itemData":{"id":3115,"type":"article-journal","title":"A comparative assessment of greenhouse gas emissions in California al- mond, pistachio, and walnut production","page":"11","source":"Zotero","abstract":"A process-based life cycle assessment (LCA) model was constructed for almond, pistachio, and walnut production in California. Agrochemical inputs, mechanized operations, soil processes, geospatial variation, and biomass accumulation were explicitly modeled based on technical reports, economic cost-and-return studies, field data collection, and grower interviews. Mean annual greenhouse gas (GHG) footprints for a typical hectare of orchard, from nursery to hulling/shelling facility gate, were calculated at 4260 kg CO2e ha-1 yr-1 for almond, 3480 kg CO2e ha-1 yr-1 for pistachio, and 4050 CO2e ha-1 yr-1 kg for walnut. These results can be expressed by orchard product (nut kernel) as 1.76 CO2e kg-1 for almond, 0.95 CO2e kg-1 for walnut, and 3.83 CO2e kg-1 for pistachio. Variations in biomass accumulation, yield and orchard lifespan between these crops result in different total life cycle emissions and potential management options for net GHG reduction and credit opportunities under California GHG cap-and-trade legislation.","language":"en","author":[{"family":"Marvinney","given":"Elias"},{"family":"Kendall","given":"Alissa"},{"family":"Brodt","given":"Sonja"}],"issued":{"date-parts":[["2014"]]}}}],"schema":"https://github.com/citation-style-language/schema/raw/master/csl-citation.json"} </w:instrText>
      </w:r>
      <w:r>
        <w:fldChar w:fldCharType="separate"/>
      </w:r>
      <w:r w:rsidRPr="008558EA">
        <w:rPr>
          <w:rFonts w:cs="Times New Roman"/>
        </w:rPr>
        <w:t>(Marvinney, Kendall, &amp; Brodt, 2014)</w:t>
      </w:r>
      <w:r>
        <w:fldChar w:fldCharType="end"/>
      </w:r>
      <w:r>
        <w:t>. However, for afforestation it</w:t>
      </w:r>
      <w:r w:rsidRPr="00B77691">
        <w:t xml:space="preserve"> is assumed that the carbon stored in the form of biomass will not be burnt after the timber harvest, so, in the calculation of emission at the time of harvest, amount of carbon stored in the biomass</w:t>
      </w:r>
      <w:r>
        <w:t xml:space="preserve"> is subtracted</w:t>
      </w:r>
      <w:r w:rsidRPr="00B77691">
        <w:t xml:space="preserve"> from the total amount of carbon sequestered in the entire life span of the timber plant. </w:t>
      </w:r>
    </w:p>
    <w:p w14:paraId="24C491B8" w14:textId="272625E6" w:rsidR="00F52595" w:rsidRDefault="00686965" w:rsidP="00DB4CC8">
      <w:pPr>
        <w:pStyle w:val="Heading3"/>
      </w:pPr>
      <w:bookmarkStart w:id="34" w:name="_Toc18443096"/>
      <w:r>
        <w:t>Financial Inputs</w:t>
      </w:r>
      <w:bookmarkEnd w:id="34"/>
    </w:p>
    <w:p w14:paraId="50CC2BAD" w14:textId="0CDB5B89" w:rsidR="009B0D2B" w:rsidRPr="00576AE8" w:rsidRDefault="00D7602A" w:rsidP="00576AE8">
      <w:pPr>
        <w:rPr>
          <w:rFonts w:ascii="Times" w:eastAsia="Helvetica Neue" w:hAnsi="Times" w:cs="Helvetica Neue"/>
          <w:color w:val="000000" w:themeColor="text1"/>
        </w:rPr>
      </w:pPr>
      <w:r w:rsidRPr="007F49A0">
        <w:t>The present solution</w:t>
      </w:r>
      <w:r w:rsidRPr="00D7602A">
        <w:rPr>
          <w:i/>
        </w:rPr>
        <w:t>,</w:t>
      </w:r>
      <w:r w:rsidRPr="007F49A0">
        <w:t xml:space="preserve"> </w:t>
      </w:r>
      <w:r w:rsidR="009D5B1C">
        <w:rPr>
          <w:i/>
        </w:rPr>
        <w:t>afforestation</w:t>
      </w:r>
      <w:r w:rsidRPr="00D7602A">
        <w:rPr>
          <w:i/>
        </w:rPr>
        <w:t xml:space="preserve">, </w:t>
      </w:r>
      <w:r w:rsidRPr="007F49A0">
        <w:t xml:space="preserve">is allocated on degraded land area (forest, grassland, and cropland). Project Drawdown’s </w:t>
      </w:r>
      <w:r w:rsidR="009D5B1C">
        <w:rPr>
          <w:i/>
        </w:rPr>
        <w:t>afforestation</w:t>
      </w:r>
      <w:r w:rsidRPr="007F49A0">
        <w:t xml:space="preserve"> model assumes marginal conventional use of this degraded land areas, principally for grazing. In the absence of sufficient financial data sources documenting the implementation of grazing practices on degraded land, Drawdown’s </w:t>
      </w:r>
      <w:r w:rsidR="00287F21">
        <w:rPr>
          <w:i/>
        </w:rPr>
        <w:t>afforestation</w:t>
      </w:r>
      <w:r w:rsidRPr="007F49A0">
        <w:rPr>
          <w:i/>
        </w:rPr>
        <w:t xml:space="preserve"> </w:t>
      </w:r>
      <w:r w:rsidRPr="007F49A0">
        <w:t xml:space="preserve">model uses conventional grazing data as a basis for comparison. </w:t>
      </w:r>
      <w:r w:rsidR="00576AE8" w:rsidRPr="007F49A0">
        <w:rPr>
          <w:rFonts w:ascii="Times" w:eastAsia="Helvetica Neue" w:hAnsi="Times" w:cs="Helvetica Neue"/>
          <w:color w:val="000000" w:themeColor="text1"/>
        </w:rPr>
        <w:t>However, in order to model decreased productivity on degraded land, financial variables for conventional grazing are weighted value based on the proportion of total global grassland area (3514 Mha) that is already degraded (</w:t>
      </w:r>
      <w:r w:rsidR="00576AE8">
        <w:rPr>
          <w:rFonts w:ascii="Times" w:eastAsia="Helvetica Neue" w:hAnsi="Times" w:cs="Helvetica Neue"/>
          <w:color w:val="000000" w:themeColor="text1"/>
        </w:rPr>
        <w:t>772</w:t>
      </w:r>
      <w:r w:rsidR="00576AE8" w:rsidRPr="007F49A0">
        <w:rPr>
          <w:rFonts w:ascii="Times" w:eastAsia="Helvetica Neue" w:hAnsi="Times" w:cs="Helvetica Neue"/>
          <w:color w:val="000000" w:themeColor="text1"/>
        </w:rPr>
        <w:t xml:space="preserve"> Mha), i.e. </w:t>
      </w:r>
      <w:r w:rsidR="00576AE8">
        <w:rPr>
          <w:rFonts w:ascii="Times" w:eastAsia="Helvetica Neue" w:hAnsi="Times" w:cs="Helvetica Neue"/>
          <w:color w:val="000000" w:themeColor="text1"/>
        </w:rPr>
        <w:t>21.97</w:t>
      </w:r>
      <w:r w:rsidR="00576AE8" w:rsidRPr="007F49A0">
        <w:rPr>
          <w:rFonts w:ascii="Times" w:eastAsia="Helvetica Neue" w:hAnsi="Times" w:cs="Helvetica Neue"/>
          <w:color w:val="000000" w:themeColor="text1"/>
        </w:rPr>
        <w:t>%. This calculation is based on Project Drawdown's AEZ values.</w:t>
      </w:r>
      <w:r w:rsidR="00576AE8">
        <w:rPr>
          <w:rFonts w:ascii="Times" w:eastAsia="Helvetica Neue" w:hAnsi="Times" w:cs="Helvetica Neue"/>
          <w:color w:val="000000" w:themeColor="text1"/>
        </w:rPr>
        <w:t xml:space="preserve"> </w:t>
      </w:r>
      <w:r w:rsidR="009B0D2B" w:rsidRPr="009B0D2B">
        <w:rPr>
          <w:rFonts w:ascii="Times" w:eastAsia="Helvetica Neue" w:hAnsi="Times" w:cs="Helvetica Neue"/>
          <w:color w:val="000000" w:themeColor="text1"/>
        </w:rPr>
        <w:t>This calculation is based on Project Drawdown's AEZ values.</w:t>
      </w:r>
    </w:p>
    <w:p w14:paraId="7E13702C" w14:textId="6AB8C44C" w:rsidR="00D25FC7" w:rsidRDefault="00282C09" w:rsidP="00DB4CC8">
      <w:pPr>
        <w:rPr>
          <w:rFonts w:ascii="Times" w:eastAsia="Helvetica Neue" w:hAnsi="Times" w:cs="Helvetica Neue"/>
          <w:color w:val="000000" w:themeColor="text1"/>
          <w:highlight w:val="white"/>
        </w:rPr>
      </w:pPr>
      <w:r>
        <w:rPr>
          <w:rFonts w:ascii="Times" w:eastAsia="Helvetica Neue" w:hAnsi="Times" w:cs="Helvetica Neue"/>
          <w:color w:val="000000" w:themeColor="text1"/>
          <w:highlight w:val="white"/>
        </w:rPr>
        <w:lastRenderedPageBreak/>
        <w:t xml:space="preserve">For </w:t>
      </w:r>
      <w:r w:rsidR="00476B7B">
        <w:rPr>
          <w:rFonts w:ascii="Times" w:eastAsia="Helvetica Neue" w:hAnsi="Times" w:cs="Helvetica Neue"/>
          <w:i/>
          <w:color w:val="000000" w:themeColor="text1"/>
          <w:highlight w:val="white"/>
        </w:rPr>
        <w:t>afforestation</w:t>
      </w:r>
      <w:r>
        <w:rPr>
          <w:rFonts w:ascii="Times" w:eastAsia="Helvetica Neue" w:hAnsi="Times" w:cs="Helvetica Neue"/>
          <w:i/>
          <w:color w:val="000000" w:themeColor="text1"/>
          <w:highlight w:val="white"/>
        </w:rPr>
        <w:t xml:space="preserve"> </w:t>
      </w:r>
      <w:r>
        <w:rPr>
          <w:rFonts w:ascii="Times" w:eastAsia="Helvetica Neue" w:hAnsi="Times" w:cs="Helvetica Neue"/>
          <w:color w:val="000000" w:themeColor="text1"/>
          <w:highlight w:val="white"/>
        </w:rPr>
        <w:t>activities, first c</w:t>
      </w:r>
      <w:r w:rsidR="00F501EA" w:rsidRPr="00F501EA">
        <w:rPr>
          <w:rFonts w:ascii="Times" w:eastAsia="Helvetica Neue" w:hAnsi="Times" w:cs="Helvetica Neue"/>
          <w:color w:val="000000" w:themeColor="text1"/>
          <w:highlight w:val="white"/>
        </w:rPr>
        <w:t>osts are estimated at US$</w:t>
      </w:r>
      <w:r>
        <w:rPr>
          <w:rFonts w:ascii="Times" w:eastAsia="Helvetica Neue" w:hAnsi="Times" w:cs="Helvetica Neue"/>
          <w:color w:val="000000" w:themeColor="text1"/>
          <w:highlight w:val="white"/>
        </w:rPr>
        <w:t>668.57</w:t>
      </w:r>
      <w:r w:rsidR="00F501EA" w:rsidRPr="00F501EA">
        <w:rPr>
          <w:rFonts w:ascii="Times" w:eastAsia="Helvetica Neue" w:hAnsi="Times" w:cs="Helvetica Neue"/>
          <w:color w:val="000000" w:themeColor="text1"/>
          <w:highlight w:val="white"/>
        </w:rPr>
        <w:t xml:space="preserve"> per hectare. </w:t>
      </w:r>
      <w:r>
        <w:rPr>
          <w:rFonts w:ascii="Times" w:eastAsia="Helvetica Neue" w:hAnsi="Times" w:cs="Helvetica Neue"/>
          <w:color w:val="000000" w:themeColor="text1"/>
          <w:highlight w:val="white"/>
        </w:rPr>
        <w:t xml:space="preserve"> </w:t>
      </w:r>
      <w:r w:rsidR="00F501EA" w:rsidRPr="00F501EA">
        <w:rPr>
          <w:rFonts w:ascii="Times" w:eastAsia="Helvetica Neue" w:hAnsi="Times" w:cs="Helvetica Neue"/>
          <w:color w:val="000000" w:themeColor="text1"/>
          <w:highlight w:val="white"/>
        </w:rPr>
        <w:t xml:space="preserve">Results are based on meta-analysis of </w:t>
      </w:r>
      <w:r w:rsidR="00AB0540">
        <w:rPr>
          <w:rFonts w:ascii="Times" w:eastAsia="Helvetica Neue" w:hAnsi="Times" w:cs="Helvetica Neue"/>
          <w:color w:val="000000" w:themeColor="text1"/>
          <w:highlight w:val="white"/>
        </w:rPr>
        <w:t>27</w:t>
      </w:r>
      <w:r w:rsidR="00F501EA" w:rsidRPr="00F501EA">
        <w:rPr>
          <w:rFonts w:ascii="Times" w:eastAsia="Helvetica Neue" w:hAnsi="Times" w:cs="Helvetica Neue"/>
          <w:color w:val="000000" w:themeColor="text1"/>
          <w:highlight w:val="white"/>
        </w:rPr>
        <w:t xml:space="preserve"> data points from </w:t>
      </w:r>
      <w:r w:rsidR="00AB0540">
        <w:rPr>
          <w:rFonts w:ascii="Times" w:eastAsia="Helvetica Neue" w:hAnsi="Times" w:cs="Helvetica Neue"/>
          <w:color w:val="000000" w:themeColor="text1"/>
          <w:highlight w:val="white"/>
        </w:rPr>
        <w:t>6</w:t>
      </w:r>
      <w:r w:rsidR="00F501EA" w:rsidRPr="00F501EA">
        <w:rPr>
          <w:rFonts w:ascii="Times" w:eastAsia="Helvetica Neue" w:hAnsi="Times" w:cs="Helvetica Neue"/>
          <w:color w:val="000000" w:themeColor="text1"/>
          <w:highlight w:val="white"/>
        </w:rPr>
        <w:t xml:space="preserve"> sources. Net profit per hectare is US$460.22 per year (13 data points from 5 sources), compared to US$143.54 per year for the conventional practice (10 data points from 8 sources).</w:t>
      </w:r>
    </w:p>
    <w:p w14:paraId="7F651C13" w14:textId="4790A74C" w:rsidR="00A16C94" w:rsidRPr="00DA29D3" w:rsidRDefault="00A16C94" w:rsidP="00A16C94">
      <w:pPr>
        <w:shd w:val="clear" w:color="auto" w:fill="FFFFFF"/>
        <w:spacing w:after="180" w:line="240" w:lineRule="auto"/>
        <w:rPr>
          <w:b/>
          <w:i/>
          <w:sz w:val="20"/>
        </w:rPr>
      </w:pPr>
      <w:bookmarkStart w:id="35" w:name="_Toc526981326"/>
      <w:bookmarkStart w:id="36" w:name="_Toc18443157"/>
      <w:r w:rsidRPr="00DA29D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2</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2</w:t>
      </w:r>
      <w:r w:rsidR="00172CCC">
        <w:rPr>
          <w:b/>
          <w:i/>
          <w:sz w:val="20"/>
        </w:rPr>
        <w:fldChar w:fldCharType="end"/>
      </w:r>
      <w:r w:rsidRPr="00DA29D3">
        <w:rPr>
          <w:b/>
          <w:i/>
          <w:sz w:val="20"/>
        </w:rPr>
        <w:t xml:space="preserve"> Financial Inputs for Conventional </w:t>
      </w:r>
      <w:bookmarkEnd w:id="35"/>
      <w:r>
        <w:rPr>
          <w:b/>
          <w:i/>
          <w:sz w:val="20"/>
        </w:rPr>
        <w:t>Practice (Grazing on Degraded Lands)</w:t>
      </w:r>
      <w:bookmarkEnd w:id="36"/>
    </w:p>
    <w:tbl>
      <w:tblPr>
        <w:tblStyle w:val="TableGrid"/>
        <w:tblW w:w="5043" w:type="pct"/>
        <w:jc w:val="center"/>
        <w:tblLook w:val="04A0" w:firstRow="1" w:lastRow="0" w:firstColumn="1" w:lastColumn="0" w:noHBand="0" w:noVBand="1"/>
      </w:tblPr>
      <w:tblGrid>
        <w:gridCol w:w="2694"/>
        <w:gridCol w:w="1232"/>
        <w:gridCol w:w="1624"/>
        <w:gridCol w:w="1624"/>
        <w:gridCol w:w="1164"/>
        <w:gridCol w:w="1092"/>
      </w:tblGrid>
      <w:tr w:rsidR="00A16C94" w:rsidRPr="00057050" w14:paraId="3E0CC06D" w14:textId="77777777" w:rsidTr="00576AE8">
        <w:trPr>
          <w:cantSplit/>
          <w:trHeight w:val="1154"/>
          <w:tblHeader/>
          <w:jc w:val="center"/>
        </w:trPr>
        <w:tc>
          <w:tcPr>
            <w:tcW w:w="1428" w:type="pct"/>
            <w:shd w:val="clear" w:color="auto" w:fill="4F81BD" w:themeFill="accent1"/>
            <w:vAlign w:val="center"/>
          </w:tcPr>
          <w:p w14:paraId="64F307CD" w14:textId="77777777" w:rsidR="00A16C94" w:rsidRPr="00057050" w:rsidRDefault="00A16C94" w:rsidP="0073597C">
            <w:pPr>
              <w:spacing w:after="180"/>
              <w:jc w:val="center"/>
              <w:rPr>
                <w:rFonts w:eastAsia="Helvetica,Times New Roman" w:cstheme="minorHAnsi"/>
                <w:b/>
                <w:color w:val="000000" w:themeColor="text1"/>
                <w:sz w:val="20"/>
                <w:szCs w:val="20"/>
              </w:rPr>
            </w:pPr>
          </w:p>
        </w:tc>
        <w:tc>
          <w:tcPr>
            <w:tcW w:w="653" w:type="pct"/>
            <w:shd w:val="clear" w:color="auto" w:fill="4F81BD" w:themeFill="accent1"/>
            <w:vAlign w:val="center"/>
          </w:tcPr>
          <w:p w14:paraId="5A7F29E6" w14:textId="77777777" w:rsidR="00A16C94" w:rsidRPr="00D25FC7" w:rsidRDefault="00A16C94" w:rsidP="0073597C">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5B774202" w14:textId="77777777" w:rsidR="00A16C94" w:rsidRPr="005C6EC2" w:rsidRDefault="00A16C94" w:rsidP="0073597C">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092C1E52" w14:textId="77777777" w:rsidR="00A16C94" w:rsidRPr="005C6EC2" w:rsidRDefault="00A16C94" w:rsidP="0073597C">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C93F039" w14:textId="77777777" w:rsidR="00A16C94" w:rsidRPr="005C6EC2" w:rsidRDefault="00A16C94" w:rsidP="0073597C">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5273C300" w14:textId="77777777" w:rsidR="00A16C94" w:rsidRPr="005C6EC2" w:rsidRDefault="00A16C94" w:rsidP="0073597C">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576AE8" w:rsidRPr="00057050" w14:paraId="2112D1D0" w14:textId="77777777" w:rsidTr="00576AE8">
        <w:trPr>
          <w:trHeight w:val="260"/>
          <w:jc w:val="center"/>
        </w:trPr>
        <w:tc>
          <w:tcPr>
            <w:tcW w:w="1428" w:type="pct"/>
            <w:vAlign w:val="bottom"/>
          </w:tcPr>
          <w:p w14:paraId="0A3EDEE2" w14:textId="77777777" w:rsidR="00576AE8" w:rsidRPr="00057050" w:rsidRDefault="00576AE8" w:rsidP="00576AE8">
            <w:pPr>
              <w:spacing w:after="180"/>
              <w:jc w:val="center"/>
              <w:rPr>
                <w:color w:val="000000" w:themeColor="text1"/>
                <w:sz w:val="20"/>
                <w:szCs w:val="20"/>
              </w:rPr>
            </w:pPr>
            <w:r w:rsidRPr="00057050">
              <w:rPr>
                <w:color w:val="000000" w:themeColor="text1"/>
                <w:sz w:val="20"/>
                <w:szCs w:val="20"/>
              </w:rPr>
              <w:t>First costs (Conventional)</w:t>
            </w:r>
          </w:p>
        </w:tc>
        <w:tc>
          <w:tcPr>
            <w:tcW w:w="653" w:type="pct"/>
            <w:vAlign w:val="bottom"/>
          </w:tcPr>
          <w:p w14:paraId="28F929F1" w14:textId="77777777" w:rsidR="00576AE8" w:rsidRPr="0027708C" w:rsidRDefault="00576AE8" w:rsidP="00576AE8">
            <w:pPr>
              <w:spacing w:after="180"/>
              <w:jc w:val="center"/>
              <w:rPr>
                <w:color w:val="000000" w:themeColor="text1"/>
                <w:sz w:val="20"/>
                <w:szCs w:val="20"/>
              </w:rPr>
            </w:pPr>
            <w:r w:rsidRPr="0027708C">
              <w:rPr>
                <w:color w:val="000000" w:themeColor="text1"/>
                <w:sz w:val="20"/>
                <w:szCs w:val="20"/>
              </w:rPr>
              <w:t>US$2014/ha</w:t>
            </w:r>
          </w:p>
        </w:tc>
        <w:tc>
          <w:tcPr>
            <w:tcW w:w="861" w:type="pct"/>
            <w:vAlign w:val="center"/>
          </w:tcPr>
          <w:p w14:paraId="79CAD1F9" w14:textId="45E80116"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74E62BF9" w14:textId="3E433003"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3D31ECAA" w14:textId="33E59A80"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F50FD51" w14:textId="5A895F74"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n/a</w:t>
            </w:r>
          </w:p>
        </w:tc>
      </w:tr>
      <w:tr w:rsidR="00576AE8" w:rsidRPr="00057050" w14:paraId="5FD784EC" w14:textId="77777777" w:rsidTr="00576AE8">
        <w:trPr>
          <w:trHeight w:val="341"/>
          <w:jc w:val="center"/>
        </w:trPr>
        <w:tc>
          <w:tcPr>
            <w:tcW w:w="1428" w:type="pct"/>
            <w:vAlign w:val="bottom"/>
          </w:tcPr>
          <w:p w14:paraId="6A07D3AE" w14:textId="77777777" w:rsidR="00576AE8" w:rsidRPr="00057050" w:rsidRDefault="00576AE8" w:rsidP="00576AE8">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653" w:type="pct"/>
            <w:vAlign w:val="bottom"/>
          </w:tcPr>
          <w:p w14:paraId="4950A01D" w14:textId="77777777" w:rsidR="00576AE8" w:rsidRPr="0027708C" w:rsidRDefault="00576AE8" w:rsidP="00576AE8">
            <w:pPr>
              <w:spacing w:after="180"/>
              <w:jc w:val="center"/>
              <w:rPr>
                <w:color w:val="000000" w:themeColor="text1"/>
                <w:sz w:val="20"/>
                <w:szCs w:val="20"/>
              </w:rPr>
            </w:pPr>
            <w:r w:rsidRPr="0027708C">
              <w:rPr>
                <w:color w:val="000000" w:themeColor="text1"/>
                <w:sz w:val="20"/>
                <w:szCs w:val="20"/>
              </w:rPr>
              <w:t>US$2014/ha</w:t>
            </w:r>
          </w:p>
        </w:tc>
        <w:tc>
          <w:tcPr>
            <w:tcW w:w="861" w:type="pct"/>
            <w:vAlign w:val="center"/>
          </w:tcPr>
          <w:p w14:paraId="351B5393" w14:textId="57C588A0"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$69.49-$323.38</w:t>
            </w:r>
          </w:p>
        </w:tc>
        <w:tc>
          <w:tcPr>
            <w:tcW w:w="861" w:type="pct"/>
            <w:vAlign w:val="center"/>
          </w:tcPr>
          <w:p w14:paraId="7461FC7A" w14:textId="27D433DA"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$154.12</w:t>
            </w:r>
          </w:p>
        </w:tc>
        <w:tc>
          <w:tcPr>
            <w:tcW w:w="617" w:type="pct"/>
            <w:vAlign w:val="center"/>
          </w:tcPr>
          <w:p w14:paraId="6E1FB87F" w14:textId="34377961"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18</w:t>
            </w:r>
          </w:p>
        </w:tc>
        <w:tc>
          <w:tcPr>
            <w:tcW w:w="579" w:type="pct"/>
            <w:vAlign w:val="center"/>
          </w:tcPr>
          <w:p w14:paraId="51F5DACB" w14:textId="3EEB50B3"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16</w:t>
            </w:r>
          </w:p>
        </w:tc>
      </w:tr>
      <w:tr w:rsidR="00576AE8" w:rsidRPr="00057050" w14:paraId="2B4C6D31" w14:textId="77777777" w:rsidTr="00576AE8">
        <w:trPr>
          <w:trHeight w:val="350"/>
          <w:jc w:val="center"/>
        </w:trPr>
        <w:tc>
          <w:tcPr>
            <w:tcW w:w="1428" w:type="pct"/>
            <w:vAlign w:val="bottom"/>
          </w:tcPr>
          <w:p w14:paraId="6A133024" w14:textId="77777777" w:rsidR="00576AE8" w:rsidRPr="00910DE0" w:rsidRDefault="00576AE8" w:rsidP="00576AE8">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653" w:type="pct"/>
            <w:vAlign w:val="bottom"/>
          </w:tcPr>
          <w:p w14:paraId="7D2AD02F" w14:textId="77777777" w:rsidR="00576AE8" w:rsidRPr="0027708C" w:rsidRDefault="00576AE8" w:rsidP="00576AE8">
            <w:pPr>
              <w:spacing w:after="180"/>
              <w:jc w:val="center"/>
              <w:rPr>
                <w:color w:val="000000" w:themeColor="text1"/>
                <w:sz w:val="20"/>
                <w:szCs w:val="20"/>
              </w:rPr>
            </w:pPr>
            <w:r w:rsidRPr="0027708C">
              <w:rPr>
                <w:color w:val="000000" w:themeColor="text1"/>
                <w:sz w:val="20"/>
                <w:szCs w:val="20"/>
              </w:rPr>
              <w:t>US$2014/ha</w:t>
            </w:r>
          </w:p>
        </w:tc>
        <w:tc>
          <w:tcPr>
            <w:tcW w:w="861" w:type="pct"/>
            <w:vAlign w:val="center"/>
          </w:tcPr>
          <w:p w14:paraId="6E81859F" w14:textId="29AFC7D4"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$28.06-$684.58</w:t>
            </w:r>
          </w:p>
        </w:tc>
        <w:tc>
          <w:tcPr>
            <w:tcW w:w="861" w:type="pct"/>
            <w:vAlign w:val="center"/>
          </w:tcPr>
          <w:p w14:paraId="79F009FD" w14:textId="0ED48123"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$328.42</w:t>
            </w:r>
          </w:p>
        </w:tc>
        <w:tc>
          <w:tcPr>
            <w:tcW w:w="617" w:type="pct"/>
            <w:vAlign w:val="center"/>
          </w:tcPr>
          <w:p w14:paraId="08BC180A" w14:textId="63110BA9"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32F2E51E" w14:textId="354549EB" w:rsidR="00576AE8" w:rsidRPr="0027708C" w:rsidRDefault="00576AE8" w:rsidP="00576AE8">
            <w:pPr>
              <w:spacing w:after="180"/>
              <w:jc w:val="center"/>
              <w:rPr>
                <w:color w:val="000000" w:themeColor="text1"/>
                <w:sz w:val="20"/>
                <w:szCs w:val="20"/>
              </w:rPr>
            </w:pPr>
            <w:r>
              <w:rPr>
                <w:rFonts w:eastAsia="Helvetica,Times New Roman" w:cstheme="minorHAnsi"/>
                <w:color w:val="000000" w:themeColor="text1"/>
                <w:sz w:val="20"/>
                <w:szCs w:val="20"/>
              </w:rPr>
              <w:t>8</w:t>
            </w:r>
          </w:p>
        </w:tc>
      </w:tr>
    </w:tbl>
    <w:p w14:paraId="7FDA93CD" w14:textId="77777777" w:rsidR="00A16C94" w:rsidRPr="00F85048" w:rsidRDefault="00A16C94" w:rsidP="00DB4CC8">
      <w:pPr>
        <w:rPr>
          <w:rFonts w:ascii="Times" w:eastAsia="Helvetica Neue" w:hAnsi="Times" w:cs="Helvetica Neue"/>
          <w:color w:val="000000" w:themeColor="text1"/>
          <w:highlight w:val="white"/>
        </w:rPr>
      </w:pPr>
    </w:p>
    <w:p w14:paraId="2A309D69" w14:textId="23FD843D" w:rsidR="0021082B" w:rsidRPr="00D45F43" w:rsidRDefault="00274B56" w:rsidP="00D45F43">
      <w:pPr>
        <w:shd w:val="clear" w:color="auto" w:fill="FFFFFF"/>
        <w:spacing w:after="180" w:line="240" w:lineRule="auto"/>
        <w:rPr>
          <w:b/>
          <w:i/>
          <w:sz w:val="20"/>
        </w:rPr>
      </w:pPr>
      <w:r w:rsidRPr="00D45F43">
        <w:rPr>
          <w:b/>
          <w:i/>
          <w:sz w:val="20"/>
        </w:rPr>
        <w:t xml:space="preserve">Table </w:t>
      </w:r>
      <w:r w:rsidR="00E81F8C" w:rsidRPr="00D45F43">
        <w:rPr>
          <w:b/>
          <w:i/>
          <w:sz w:val="20"/>
        </w:rPr>
        <w:fldChar w:fldCharType="begin"/>
      </w:r>
      <w:r w:rsidR="00E81F8C" w:rsidRPr="00D45F43">
        <w:rPr>
          <w:b/>
          <w:i/>
          <w:sz w:val="20"/>
        </w:rPr>
        <w:instrText xml:space="preserve"> STYLEREF 1 \s </w:instrText>
      </w:r>
      <w:r w:rsidR="00E81F8C" w:rsidRPr="00D45F43">
        <w:rPr>
          <w:b/>
          <w:i/>
          <w:sz w:val="20"/>
        </w:rPr>
        <w:fldChar w:fldCharType="separate"/>
      </w:r>
      <w:r w:rsidR="00636BAC">
        <w:rPr>
          <w:b/>
          <w:i/>
          <w:noProof/>
          <w:sz w:val="20"/>
        </w:rPr>
        <w:t>2</w:t>
      </w:r>
      <w:r w:rsidR="00E81F8C" w:rsidRPr="00D45F43">
        <w:rPr>
          <w:b/>
          <w:i/>
          <w:sz w:val="20"/>
        </w:rPr>
        <w:fldChar w:fldCharType="end"/>
      </w:r>
      <w:r w:rsidR="003D2054" w:rsidRPr="00D45F43">
        <w:rPr>
          <w:b/>
          <w:i/>
          <w:sz w:val="20"/>
        </w:rPr>
        <w:t>.</w:t>
      </w:r>
      <w:r w:rsidR="00A16C94">
        <w:rPr>
          <w:b/>
          <w:i/>
          <w:sz w:val="20"/>
        </w:rPr>
        <w:t>3</w:t>
      </w:r>
      <w:r w:rsidRPr="00D45F43">
        <w:rPr>
          <w:b/>
          <w:i/>
          <w:sz w:val="20"/>
        </w:rPr>
        <w:t xml:space="preserve"> Financial Inputs</w:t>
      </w:r>
      <w:r w:rsidR="00D25FC7" w:rsidRPr="00D45F43">
        <w:rPr>
          <w:b/>
          <w:i/>
          <w:sz w:val="20"/>
        </w:rPr>
        <w:t xml:space="preserve"> </w:t>
      </w:r>
      <w:r w:rsidR="009C0F77" w:rsidRPr="00D45F43">
        <w:rPr>
          <w:b/>
          <w:i/>
          <w:sz w:val="20"/>
        </w:rPr>
        <w:t xml:space="preserve">for </w:t>
      </w:r>
      <w:r w:rsidR="00D25FC7" w:rsidRPr="00D45F43">
        <w:rPr>
          <w:b/>
          <w:i/>
          <w:sz w:val="20"/>
        </w:rPr>
        <w:t>Solution</w:t>
      </w:r>
      <w:r w:rsidR="00A16C94">
        <w:rPr>
          <w:b/>
          <w:i/>
          <w:sz w:val="20"/>
        </w:rPr>
        <w:t xml:space="preserve"> (</w:t>
      </w:r>
      <w:r w:rsidR="00AC5EAC">
        <w:rPr>
          <w:b/>
          <w:i/>
          <w:sz w:val="20"/>
        </w:rPr>
        <w:t>Afforestation</w:t>
      </w:r>
      <w:r w:rsidR="00A16C94">
        <w:rPr>
          <w:b/>
          <w:i/>
          <w:sz w:val="20"/>
        </w:rPr>
        <w:t>)</w:t>
      </w:r>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057050" w14:paraId="7E18B658" w14:textId="77777777" w:rsidTr="00DA57F1">
        <w:trPr>
          <w:cantSplit/>
          <w:trHeight w:val="1163"/>
          <w:tblHeader/>
          <w:jc w:val="center"/>
        </w:trPr>
        <w:tc>
          <w:tcPr>
            <w:tcW w:w="1220"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85"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8"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3E7C7A">
        <w:trPr>
          <w:trHeight w:val="392"/>
          <w:jc w:val="center"/>
        </w:trPr>
        <w:tc>
          <w:tcPr>
            <w:tcW w:w="1220"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62"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0AA3AF19" w14:textId="0F52216E" w:rsidR="00486CBB" w:rsidRPr="00057050" w:rsidRDefault="00F7193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$410.54 - $926.60</w:t>
            </w:r>
          </w:p>
        </w:tc>
        <w:tc>
          <w:tcPr>
            <w:tcW w:w="738" w:type="pct"/>
            <w:vAlign w:val="center"/>
          </w:tcPr>
          <w:p w14:paraId="448110A6" w14:textId="7A4E5BDA" w:rsidR="00486CBB" w:rsidRPr="00AC39B5" w:rsidRDefault="00F501EA" w:rsidP="00486CBB">
            <w:pPr>
              <w:spacing w:after="180"/>
              <w:jc w:val="center"/>
              <w:rPr>
                <w:rFonts w:eastAsia="Helvetica,Times New Roman" w:cstheme="minorHAnsi"/>
                <w:color w:val="000000" w:themeColor="text1"/>
                <w:sz w:val="20"/>
                <w:szCs w:val="20"/>
              </w:rPr>
            </w:pPr>
            <w:r w:rsidRPr="00AC39B5">
              <w:rPr>
                <w:rFonts w:ascii="Times" w:eastAsia="Helvetica Neue" w:hAnsi="Times" w:cs="Helvetica Neue"/>
                <w:color w:val="000000" w:themeColor="text1"/>
                <w:sz w:val="20"/>
                <w:highlight w:val="white"/>
              </w:rPr>
              <w:t>$</w:t>
            </w:r>
            <w:r w:rsidR="00F85048" w:rsidRPr="00AC39B5">
              <w:rPr>
                <w:rFonts w:ascii="Times" w:eastAsia="Helvetica Neue" w:hAnsi="Times" w:cs="Helvetica Neue"/>
                <w:color w:val="000000" w:themeColor="text1"/>
                <w:sz w:val="20"/>
                <w:highlight w:val="white"/>
              </w:rPr>
              <w:t>668.57</w:t>
            </w:r>
          </w:p>
        </w:tc>
        <w:tc>
          <w:tcPr>
            <w:tcW w:w="617" w:type="pct"/>
            <w:vAlign w:val="center"/>
          </w:tcPr>
          <w:p w14:paraId="26687D7C" w14:textId="6FFC95C5" w:rsidR="00486CBB" w:rsidRPr="00057050" w:rsidRDefault="00F85048" w:rsidP="00F501EA">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w:t>
            </w:r>
          </w:p>
        </w:tc>
        <w:tc>
          <w:tcPr>
            <w:tcW w:w="578" w:type="pct"/>
            <w:vAlign w:val="center"/>
          </w:tcPr>
          <w:p w14:paraId="11A2B4F9" w14:textId="48A38487" w:rsidR="00486CBB" w:rsidRPr="00057050" w:rsidRDefault="00F85048"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7FBD7FC3" w14:textId="77777777" w:rsidTr="003E7C7A">
        <w:trPr>
          <w:trHeight w:val="906"/>
          <w:jc w:val="center"/>
        </w:trPr>
        <w:tc>
          <w:tcPr>
            <w:tcW w:w="1220"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62"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85" w:type="pct"/>
            <w:vAlign w:val="center"/>
          </w:tcPr>
          <w:p w14:paraId="4F470140" w14:textId="6C1C9859" w:rsidR="00486CBB" w:rsidRPr="00057050" w:rsidRDefault="00F7193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$2.18 - $248.18</w:t>
            </w:r>
          </w:p>
        </w:tc>
        <w:tc>
          <w:tcPr>
            <w:tcW w:w="738" w:type="pct"/>
            <w:vAlign w:val="center"/>
          </w:tcPr>
          <w:p w14:paraId="7207DC06" w14:textId="2B26A21F" w:rsidR="00486CBB" w:rsidRPr="00057050" w:rsidRDefault="00F501EA" w:rsidP="00486CBB">
            <w:pPr>
              <w:spacing w:after="180"/>
              <w:jc w:val="center"/>
              <w:rPr>
                <w:rFonts w:eastAsia="Helvetica,Times New Roman" w:cstheme="minorHAnsi"/>
                <w:color w:val="000000" w:themeColor="text1"/>
                <w:sz w:val="20"/>
                <w:szCs w:val="20"/>
              </w:rPr>
            </w:pPr>
            <w:r w:rsidRPr="00F501EA">
              <w:rPr>
                <w:rFonts w:ascii="Times" w:eastAsia="Helvetica Neue" w:hAnsi="Times" w:cs="Helvetica Neue"/>
                <w:color w:val="000000" w:themeColor="text1"/>
                <w:sz w:val="22"/>
                <w:highlight w:val="white"/>
              </w:rPr>
              <w:t>$</w:t>
            </w:r>
            <w:r w:rsidR="00F71936">
              <w:rPr>
                <w:rFonts w:ascii="Times" w:eastAsia="Helvetica Neue" w:hAnsi="Times" w:cs="Helvetica Neue"/>
                <w:color w:val="000000" w:themeColor="text1"/>
                <w:sz w:val="22"/>
                <w:highlight w:val="white"/>
              </w:rPr>
              <w:t>123.37</w:t>
            </w:r>
          </w:p>
        </w:tc>
        <w:tc>
          <w:tcPr>
            <w:tcW w:w="617" w:type="pct"/>
            <w:vAlign w:val="center"/>
          </w:tcPr>
          <w:p w14:paraId="3290C1F9" w14:textId="343A5812" w:rsidR="00486CBB" w:rsidRPr="00057050" w:rsidRDefault="00BC7AF3"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578" w:type="pct"/>
            <w:vAlign w:val="center"/>
          </w:tcPr>
          <w:p w14:paraId="766E4798" w14:textId="79E61F34" w:rsidR="00486CBB" w:rsidRPr="00057050" w:rsidRDefault="00BC7AF3"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56960ECE" w14:textId="77777777" w:rsidTr="003E7C7A">
        <w:trPr>
          <w:trHeight w:val="634"/>
          <w:jc w:val="center"/>
        </w:trPr>
        <w:tc>
          <w:tcPr>
            <w:tcW w:w="1220" w:type="pct"/>
            <w:vAlign w:val="center"/>
          </w:tcPr>
          <w:p w14:paraId="7C1C0BA0" w14:textId="6F4EF374" w:rsidR="00486CBB" w:rsidRPr="00910DE0" w:rsidRDefault="00486CBB" w:rsidP="00486CBB">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62" w:type="pct"/>
          </w:tcPr>
          <w:p w14:paraId="18D7B6C5" w14:textId="21F86875" w:rsidR="00486CBB" w:rsidRPr="00910DE0" w:rsidRDefault="00486CBB" w:rsidP="00486CBB">
            <w:pPr>
              <w:spacing w:after="180"/>
              <w:jc w:val="center"/>
              <w:rPr>
                <w:rStyle w:val="CommentReference"/>
                <w:sz w:val="20"/>
                <w:szCs w:val="20"/>
              </w:rPr>
            </w:pPr>
            <w:r w:rsidRPr="0074754D">
              <w:rPr>
                <w:bCs/>
                <w:i/>
                <w:sz w:val="20"/>
                <w:szCs w:val="20"/>
              </w:rPr>
              <w:t xml:space="preserve"> US$2014/ha</w:t>
            </w:r>
          </w:p>
        </w:tc>
        <w:tc>
          <w:tcPr>
            <w:tcW w:w="985" w:type="pct"/>
            <w:shd w:val="clear" w:color="auto" w:fill="auto"/>
            <w:vAlign w:val="center"/>
          </w:tcPr>
          <w:p w14:paraId="503DB7E2" w14:textId="572DB42E" w:rsidR="00486CBB" w:rsidRPr="00910DE0" w:rsidRDefault="00F7193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$86.15 - $1,101.77</w:t>
            </w:r>
          </w:p>
        </w:tc>
        <w:tc>
          <w:tcPr>
            <w:tcW w:w="738" w:type="pct"/>
            <w:shd w:val="clear" w:color="auto" w:fill="auto"/>
            <w:vAlign w:val="center"/>
          </w:tcPr>
          <w:p w14:paraId="6AC44958" w14:textId="6BD72B7F" w:rsidR="00486CBB" w:rsidRPr="00910DE0" w:rsidRDefault="00F71936" w:rsidP="00486CBB">
            <w:pPr>
              <w:jc w:val="center"/>
              <w:rPr>
                <w:bCs/>
                <w:sz w:val="20"/>
                <w:szCs w:val="20"/>
              </w:rPr>
            </w:pPr>
            <w:r>
              <w:rPr>
                <w:bCs/>
                <w:sz w:val="20"/>
                <w:szCs w:val="20"/>
              </w:rPr>
              <w:t>$594.96</w:t>
            </w:r>
          </w:p>
        </w:tc>
        <w:tc>
          <w:tcPr>
            <w:tcW w:w="617" w:type="pct"/>
            <w:vAlign w:val="center"/>
          </w:tcPr>
          <w:p w14:paraId="073E928F" w14:textId="433CF0D3" w:rsidR="00486CBB" w:rsidRPr="00057050" w:rsidRDefault="00F7193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578" w:type="pct"/>
            <w:vAlign w:val="center"/>
          </w:tcPr>
          <w:p w14:paraId="0689267C" w14:textId="13EFB622" w:rsidR="00486CBB" w:rsidRPr="00057050" w:rsidRDefault="00F7193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bl>
    <w:p w14:paraId="4E32D218" w14:textId="12B11079" w:rsidR="00B144E5" w:rsidRDefault="00686965" w:rsidP="001D6F00">
      <w:pPr>
        <w:pStyle w:val="Heading2"/>
        <w:numPr>
          <w:ilvl w:val="1"/>
          <w:numId w:val="4"/>
        </w:numPr>
      </w:pPr>
      <w:bookmarkStart w:id="37" w:name="_Toc18443097"/>
      <w:r>
        <w:t>Assumptions</w:t>
      </w:r>
      <w:bookmarkEnd w:id="37"/>
    </w:p>
    <w:p w14:paraId="1C71D5EB" w14:textId="5DFCDC28" w:rsidR="00E33621" w:rsidRDefault="00E33621" w:rsidP="00DB4CC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5" w:history="1">
        <w:r w:rsidRPr="005C77F5">
          <w:rPr>
            <w:rStyle w:val="Hyperlink"/>
          </w:rPr>
          <w:t>www.drawdown.org</w:t>
        </w:r>
      </w:hyperlink>
      <w:r w:rsidRPr="005C77F5">
        <w:t>. Beyond these core assumptions, there are other important assumptions made for the modeling of this specific solution. These are detailed below.</w:t>
      </w:r>
    </w:p>
    <w:p w14:paraId="276E6594" w14:textId="77777777" w:rsidR="00BD7079" w:rsidRPr="00DC3559" w:rsidRDefault="00BD7079" w:rsidP="00BD7079">
      <w:pPr>
        <w:spacing w:after="240" w:line="480" w:lineRule="auto"/>
      </w:pPr>
      <w:r>
        <w:lastRenderedPageBreak/>
        <w:t>Beyond these core assumptions, there are other important assumptions made for the modeling of this specific solution. These are detailed below.</w:t>
      </w:r>
    </w:p>
    <w:p w14:paraId="2F330167" w14:textId="5BE0D6D7" w:rsidR="0077310E" w:rsidRPr="00025E1E" w:rsidRDefault="0077310E" w:rsidP="00025E1E">
      <w:pPr>
        <w:spacing w:after="240"/>
        <w:rPr>
          <w:b/>
          <w:bCs/>
          <w:u w:val="single"/>
        </w:rPr>
      </w:pPr>
      <w:r>
        <w:rPr>
          <w:b/>
          <w:bCs/>
          <w:u w:val="single"/>
        </w:rPr>
        <w:t>Assumption 1:</w:t>
      </w:r>
      <w:r w:rsidRPr="00025E1E">
        <w:rPr>
          <w:bCs/>
        </w:rPr>
        <w:t xml:space="preserve"> </w:t>
      </w:r>
      <w:r w:rsidR="008E075E">
        <w:rPr>
          <w:bCs/>
        </w:rPr>
        <w:t>E</w:t>
      </w:r>
      <w:r w:rsidR="00B945E7" w:rsidRPr="00090E57">
        <w:rPr>
          <w:bCs/>
        </w:rPr>
        <w:t>missions from</w:t>
      </w:r>
      <w:r w:rsidR="008E075E">
        <w:rPr>
          <w:bCs/>
        </w:rPr>
        <w:t xml:space="preserve"> </w:t>
      </w:r>
      <w:r w:rsidR="000B1629" w:rsidRPr="00090E57">
        <w:rPr>
          <w:bCs/>
        </w:rPr>
        <w:t>forest plantations</w:t>
      </w:r>
      <w:r w:rsidR="00B945E7" w:rsidRPr="00655B1D">
        <w:rPr>
          <w:bCs/>
        </w:rPr>
        <w:t xml:space="preserve"> </w:t>
      </w:r>
      <w:r w:rsidR="003A0E98">
        <w:rPr>
          <w:bCs/>
        </w:rPr>
        <w:t xml:space="preserve">established through afforestation </w:t>
      </w:r>
      <w:r w:rsidR="00B945E7" w:rsidRPr="00090E57">
        <w:rPr>
          <w:bCs/>
        </w:rPr>
        <w:t>are equ</w:t>
      </w:r>
      <w:r w:rsidR="008E075E">
        <w:rPr>
          <w:bCs/>
        </w:rPr>
        <w:t>ivalent</w:t>
      </w:r>
      <w:r w:rsidR="00B945E7" w:rsidRPr="00090E57">
        <w:rPr>
          <w:bCs/>
        </w:rPr>
        <w:t xml:space="preserve"> to</w:t>
      </w:r>
      <w:r w:rsidR="00B945E7" w:rsidRPr="00655B1D">
        <w:rPr>
          <w:bCs/>
        </w:rPr>
        <w:t xml:space="preserve"> </w:t>
      </w:r>
      <w:r w:rsidR="008E075E">
        <w:rPr>
          <w:bCs/>
        </w:rPr>
        <w:t>emissions from</w:t>
      </w:r>
      <w:r w:rsidR="00B945E7" w:rsidRPr="00090E57">
        <w:rPr>
          <w:bCs/>
        </w:rPr>
        <w:t xml:space="preserve"> the pre</w:t>
      </w:r>
      <w:r w:rsidRPr="00090E57">
        <w:rPr>
          <w:bCs/>
        </w:rPr>
        <w:t>-</w:t>
      </w:r>
      <w:r w:rsidR="00B945E7" w:rsidRPr="00655B1D">
        <w:rPr>
          <w:bCs/>
        </w:rPr>
        <w:t>existing land use.</w:t>
      </w:r>
    </w:p>
    <w:p w14:paraId="6D4C6067" w14:textId="79C6E41D" w:rsidR="00B945E7" w:rsidRPr="0077310E" w:rsidRDefault="0077310E" w:rsidP="00025E1E">
      <w:pPr>
        <w:spacing w:after="240"/>
        <w:rPr>
          <w:bCs/>
        </w:rPr>
      </w:pPr>
      <w:r>
        <w:rPr>
          <w:b/>
          <w:bCs/>
          <w:u w:val="single"/>
        </w:rPr>
        <w:t>Assumption 2:</w:t>
      </w:r>
      <w:r w:rsidRPr="00025E1E">
        <w:rPr>
          <w:bCs/>
        </w:rPr>
        <w:t xml:space="preserve"> </w:t>
      </w:r>
      <w:r w:rsidR="003A0E98">
        <w:rPr>
          <w:bCs/>
        </w:rPr>
        <w:t>Forest plantations</w:t>
      </w:r>
      <w:r w:rsidR="00B945E7" w:rsidRPr="00090E57">
        <w:rPr>
          <w:bCs/>
        </w:rPr>
        <w:t xml:space="preserve"> will not reach carbon saturation by 2050</w:t>
      </w:r>
      <w:r w:rsidR="00EE281D" w:rsidRPr="00090E57">
        <w:rPr>
          <w:bCs/>
        </w:rPr>
        <w:t>.</w:t>
      </w:r>
    </w:p>
    <w:p w14:paraId="261B52D8" w14:textId="5E2A210C" w:rsidR="00B945E7" w:rsidRDefault="00B945E7" w:rsidP="00DB4CC8">
      <w:pPr>
        <w:spacing w:after="240"/>
        <w:rPr>
          <w:bCs/>
        </w:rPr>
      </w:pPr>
      <w:r w:rsidRPr="00025E1E">
        <w:rPr>
          <w:b/>
          <w:bCs/>
          <w:u w:val="single"/>
        </w:rPr>
        <w:t>Assumption 3:</w:t>
      </w:r>
      <w:r w:rsidR="00B65BF1">
        <w:rPr>
          <w:b/>
          <w:bCs/>
        </w:rPr>
        <w:t xml:space="preserve"> </w:t>
      </w:r>
      <w:r w:rsidR="003A0E98">
        <w:rPr>
          <w:bCs/>
        </w:rPr>
        <w:t>Forest plantations</w:t>
      </w:r>
      <w:r w:rsidR="003A0E98" w:rsidRPr="00B632C7">
        <w:rPr>
          <w:bCs/>
        </w:rPr>
        <w:t xml:space="preserve"> </w:t>
      </w:r>
      <w:r w:rsidRPr="00B80A5B">
        <w:rPr>
          <w:bCs/>
        </w:rPr>
        <w:t>will not be harvested before 20</w:t>
      </w:r>
      <w:r w:rsidR="0065045A">
        <w:rPr>
          <w:bCs/>
        </w:rPr>
        <w:t>50</w:t>
      </w:r>
      <w:r w:rsidRPr="00B80A5B">
        <w:rPr>
          <w:bCs/>
        </w:rPr>
        <w:t>.</w:t>
      </w:r>
    </w:p>
    <w:p w14:paraId="7B9B4610" w14:textId="1142B496" w:rsidR="008E25C5" w:rsidRDefault="0065045A" w:rsidP="008E25C5">
      <w:pPr>
        <w:rPr>
          <w:bCs/>
        </w:rPr>
      </w:pPr>
      <w:r w:rsidRPr="00025E1E">
        <w:rPr>
          <w:b/>
          <w:bCs/>
          <w:u w:val="single"/>
        </w:rPr>
        <w:t>Assumption 4:</w:t>
      </w:r>
      <w:r>
        <w:rPr>
          <w:b/>
          <w:bCs/>
        </w:rPr>
        <w:t xml:space="preserve"> </w:t>
      </w:r>
      <w:r w:rsidR="000B1629">
        <w:rPr>
          <w:bCs/>
        </w:rPr>
        <w:t>Forest plantations</w:t>
      </w:r>
      <w:r>
        <w:rPr>
          <w:bCs/>
        </w:rPr>
        <w:t xml:space="preserve"> areas are managed according to sustainable </w:t>
      </w:r>
      <w:r w:rsidRPr="0093139E">
        <w:rPr>
          <w:bCs/>
        </w:rPr>
        <w:t>forest management practices</w:t>
      </w:r>
      <w:r>
        <w:rPr>
          <w:bCs/>
        </w:rPr>
        <w:t>.</w:t>
      </w:r>
    </w:p>
    <w:p w14:paraId="137DF8AD" w14:textId="77777777" w:rsidR="00103D8E" w:rsidRDefault="008E25C5">
      <w:pPr>
        <w:rPr>
          <w:bCs/>
        </w:rPr>
      </w:pPr>
      <w:r w:rsidRPr="00025E1E">
        <w:rPr>
          <w:b/>
          <w:bCs/>
          <w:u w:val="single"/>
        </w:rPr>
        <w:t>Assumption 5:</w:t>
      </w:r>
      <w:r>
        <w:rPr>
          <w:b/>
          <w:bCs/>
        </w:rPr>
        <w:t xml:space="preserve"> </w:t>
      </w:r>
      <w:r w:rsidR="00705041">
        <w:rPr>
          <w:bCs/>
        </w:rPr>
        <w:t>Project Drawdown models assume</w:t>
      </w:r>
      <w:r w:rsidRPr="00025E1E">
        <w:rPr>
          <w:bCs/>
        </w:rPr>
        <w:t xml:space="preserve"> that</w:t>
      </w:r>
      <w:r w:rsidR="00705041">
        <w:rPr>
          <w:bCs/>
        </w:rPr>
        <w:t xml:space="preserve"> the</w:t>
      </w:r>
      <w:r w:rsidRPr="00025E1E">
        <w:rPr>
          <w:bCs/>
        </w:rPr>
        <w:t xml:space="preserve"> "planted forest area" </w:t>
      </w:r>
      <w:r w:rsidR="00705041">
        <w:rPr>
          <w:bCs/>
        </w:rPr>
        <w:t>(FAO 2015) used to determine current adoption of forest plantations is equivalent</w:t>
      </w:r>
      <w:r w:rsidRPr="00025E1E">
        <w:rPr>
          <w:bCs/>
        </w:rPr>
        <w:t xml:space="preserve"> to new forest area established through afforestation activities. This assumption is made due to a lack of data breaking down previous land-use of planted forest and method of establishment, and to similar lack of data about the proportions of land-uses established through afforestation activities. If such data becomes available, Drawdown recommends reviewing estimates</w:t>
      </w:r>
      <w:r w:rsidR="00705041">
        <w:rPr>
          <w:bCs/>
        </w:rPr>
        <w:t>.</w:t>
      </w:r>
      <w:r w:rsidRPr="00025E1E">
        <w:rPr>
          <w:bCs/>
        </w:rPr>
        <w:t xml:space="preserve"> In reality, "planted forest" </w:t>
      </w:r>
      <w:r w:rsidR="00705041">
        <w:rPr>
          <w:bCs/>
        </w:rPr>
        <w:t xml:space="preserve">as reported in FAO (and other) documentation </w:t>
      </w:r>
      <w:r w:rsidRPr="00025E1E">
        <w:rPr>
          <w:bCs/>
        </w:rPr>
        <w:t xml:space="preserve">may likely also be established through regeneration, so </w:t>
      </w:r>
      <w:r w:rsidR="00705041">
        <w:rPr>
          <w:bCs/>
        </w:rPr>
        <w:t>Drawdown</w:t>
      </w:r>
      <w:r w:rsidRPr="00025E1E">
        <w:rPr>
          <w:bCs/>
        </w:rPr>
        <w:t xml:space="preserve"> estimates might </w:t>
      </w:r>
      <w:r w:rsidR="00705041">
        <w:rPr>
          <w:bCs/>
        </w:rPr>
        <w:t>not be accurate</w:t>
      </w:r>
      <w:r w:rsidRPr="00025E1E">
        <w:rPr>
          <w:bCs/>
        </w:rPr>
        <w:t xml:space="preserve">. </w:t>
      </w:r>
    </w:p>
    <w:p w14:paraId="4896E1D2" w14:textId="47D67615" w:rsidR="00BD7079" w:rsidRDefault="00103D8E" w:rsidP="00025E1E">
      <w:pPr>
        <w:rPr>
          <w:bCs/>
        </w:rPr>
      </w:pPr>
      <w:r>
        <w:rPr>
          <w:b/>
          <w:bCs/>
          <w:u w:val="single"/>
        </w:rPr>
        <w:t>Assumption 6:</w:t>
      </w:r>
      <w:r w:rsidRPr="00025E1E">
        <w:rPr>
          <w:b/>
          <w:bCs/>
          <w:i/>
        </w:rPr>
        <w:t xml:space="preserve"> </w:t>
      </w:r>
      <w:r w:rsidR="008E25C5" w:rsidRPr="00025E1E">
        <w:rPr>
          <w:bCs/>
        </w:rPr>
        <w:t xml:space="preserve">Similarly, </w:t>
      </w:r>
      <w:r w:rsidR="000A21B4">
        <w:rPr>
          <w:bCs/>
        </w:rPr>
        <w:t>Drawdown assumes that</w:t>
      </w:r>
      <w:r w:rsidR="007150D8">
        <w:rPr>
          <w:bCs/>
        </w:rPr>
        <w:t xml:space="preserve"> financial and C sequestration data </w:t>
      </w:r>
      <w:r w:rsidR="0099599B">
        <w:rPr>
          <w:bCs/>
        </w:rPr>
        <w:t>relevant to</w:t>
      </w:r>
      <w:r w:rsidR="00C7716C">
        <w:rPr>
          <w:bCs/>
        </w:rPr>
        <w:t xml:space="preserve"> “</w:t>
      </w:r>
      <w:r w:rsidR="008E25C5" w:rsidRPr="00025E1E">
        <w:rPr>
          <w:bCs/>
        </w:rPr>
        <w:t>afforestation</w:t>
      </w:r>
      <w:r>
        <w:rPr>
          <w:bCs/>
        </w:rPr>
        <w:t>”</w:t>
      </w:r>
      <w:r w:rsidR="008E25C5" w:rsidRPr="00025E1E">
        <w:rPr>
          <w:bCs/>
        </w:rPr>
        <w:t xml:space="preserve"> </w:t>
      </w:r>
      <w:r w:rsidR="007150D8">
        <w:rPr>
          <w:bCs/>
        </w:rPr>
        <w:t xml:space="preserve">can be applied to this solution, as afforestation activities </w:t>
      </w:r>
      <w:r w:rsidR="008E25C5" w:rsidRPr="00025E1E">
        <w:rPr>
          <w:bCs/>
        </w:rPr>
        <w:t>mostly consist of planting forests for commercial timber/paper pulp harvest</w:t>
      </w:r>
      <w:r w:rsidR="007150D8">
        <w:rPr>
          <w:bCs/>
        </w:rPr>
        <w:t xml:space="preserve">. While these activities might also </w:t>
      </w:r>
      <w:r w:rsidR="008E25C5" w:rsidRPr="00025E1E">
        <w:rPr>
          <w:bCs/>
        </w:rPr>
        <w:t>include agroforestry, bamboo forest or biomass for biofu</w:t>
      </w:r>
      <w:r w:rsidR="003C28B2">
        <w:rPr>
          <w:bCs/>
        </w:rPr>
        <w:t>e</w:t>
      </w:r>
      <w:r w:rsidR="008E25C5" w:rsidRPr="00025E1E">
        <w:rPr>
          <w:bCs/>
        </w:rPr>
        <w:t>l plantations</w:t>
      </w:r>
      <w:r w:rsidR="007150D8">
        <w:rPr>
          <w:bCs/>
        </w:rPr>
        <w:t>, Drawdown assumes that this does not significantly affect calculation for this solution</w:t>
      </w:r>
      <w:r w:rsidR="008E25C5" w:rsidRPr="00025E1E">
        <w:rPr>
          <w:bCs/>
        </w:rPr>
        <w:t>.</w:t>
      </w:r>
    </w:p>
    <w:p w14:paraId="097CE0C5" w14:textId="1E4811FF" w:rsidR="003C3040" w:rsidRPr="003C3040" w:rsidRDefault="003C3040" w:rsidP="00025E1E">
      <w:pPr>
        <w:rPr>
          <w:bCs/>
          <w:u w:val="single"/>
        </w:rPr>
      </w:pPr>
      <w:r>
        <w:rPr>
          <w:b/>
          <w:bCs/>
          <w:u w:val="single"/>
        </w:rPr>
        <w:t>Assumption 7:</w:t>
      </w:r>
      <w:r w:rsidRPr="003C3040">
        <w:rPr>
          <w:b/>
          <w:bCs/>
        </w:rPr>
        <w:t xml:space="preserve">  </w:t>
      </w:r>
      <w:r>
        <w:t>Future adoption of bamboo is</w:t>
      </w:r>
      <w:r w:rsidRPr="005B4555">
        <w:t xml:space="preserve"> allocated </w:t>
      </w:r>
      <w:r>
        <w:t xml:space="preserve">principally on </w:t>
      </w:r>
      <w:r w:rsidRPr="005B4555">
        <w:t xml:space="preserve">degraded area </w:t>
      </w:r>
      <w:r>
        <w:t>and assumes marginal</w:t>
      </w:r>
      <w:r w:rsidRPr="005B4555">
        <w:t xml:space="preserve"> conventional use of </w:t>
      </w:r>
      <w:r>
        <w:t>this</w:t>
      </w:r>
      <w:r w:rsidRPr="005B4555">
        <w:t xml:space="preserve"> land</w:t>
      </w:r>
      <w:r>
        <w:t xml:space="preserve">, principally for grazing. </w:t>
      </w:r>
      <w:r w:rsidRPr="005B4555">
        <w:t xml:space="preserve">In the absence of </w:t>
      </w:r>
      <w:r>
        <w:t>sufficient</w:t>
      </w:r>
      <w:r w:rsidRPr="005B4555">
        <w:t xml:space="preserve"> financial data </w:t>
      </w:r>
      <w:r>
        <w:t xml:space="preserve">sources </w:t>
      </w:r>
      <w:r w:rsidRPr="005B4555">
        <w:t>documenting</w:t>
      </w:r>
      <w:r>
        <w:t xml:space="preserve"> the</w:t>
      </w:r>
      <w:r w:rsidRPr="005B4555">
        <w:t xml:space="preserve"> implementation of </w:t>
      </w:r>
      <w:r>
        <w:t xml:space="preserve">grazing </w:t>
      </w:r>
      <w:r w:rsidRPr="005B4555">
        <w:t>practices on degraded land, Drawdown</w:t>
      </w:r>
      <w:r>
        <w:t xml:space="preserve">’s </w:t>
      </w:r>
      <w:r>
        <w:rPr>
          <w:i/>
        </w:rPr>
        <w:t xml:space="preserve">bamboo </w:t>
      </w:r>
      <w:r w:rsidRPr="005B4555">
        <w:t xml:space="preserve">model </w:t>
      </w:r>
      <w:r>
        <w:t>uses</w:t>
      </w:r>
      <w:r w:rsidRPr="005B4555">
        <w:t xml:space="preserve"> conventional grazing</w:t>
      </w:r>
      <w:r>
        <w:t xml:space="preserve"> data as a basis for comparison. T</w:t>
      </w:r>
      <w:r w:rsidRPr="005B4555">
        <w:t xml:space="preserve">o </w:t>
      </w:r>
      <w:r w:rsidRPr="007F49A0">
        <w:rPr>
          <w:rFonts w:ascii="Times" w:eastAsia="Helvetica Neue" w:hAnsi="Times" w:cs="Helvetica Neue"/>
          <w:color w:val="000000" w:themeColor="text1"/>
        </w:rPr>
        <w:t>model decreased productivity on degraded land, financial variables for conventional grazing are weighted value based on the proportion of total global grassland area (3514 Mha) that is already degraded (979 Mha), i.e. 27.85%. This calculation is based on Project Drawdown's AEZ values.</w:t>
      </w:r>
    </w:p>
    <w:p w14:paraId="04FBF2E3" w14:textId="6267BB18" w:rsidR="009D118F" w:rsidRDefault="00686965" w:rsidP="001D6F00">
      <w:pPr>
        <w:pStyle w:val="Heading2"/>
        <w:numPr>
          <w:ilvl w:val="1"/>
          <w:numId w:val="4"/>
        </w:numPr>
      </w:pPr>
      <w:bookmarkStart w:id="38" w:name="_Toc18443098"/>
      <w:r>
        <w:t>Integration</w:t>
      </w:r>
      <w:bookmarkEnd w:id="38"/>
    </w:p>
    <w:p w14:paraId="2D12C69F" w14:textId="77777777" w:rsidR="00E40378" w:rsidRDefault="00E40378" w:rsidP="00E40378">
      <w:r w:rsidRPr="00DC3559">
        <w:t xml:space="preserve">The </w:t>
      </w:r>
      <w:r>
        <w:t xml:space="preserve">complete Project Drawdown integration documentation (will be available at </w:t>
      </w:r>
      <w:hyperlink r:id="rId16" w:history="1">
        <w:r w:rsidRPr="00835538">
          <w:rPr>
            <w:rStyle w:val="Hyperlink"/>
          </w:rPr>
          <w:t>www.drawdown.org</w:t>
        </w:r>
      </w:hyperlink>
      <w:r>
        <w:t xml:space="preserve">) details how all solution models in each sector are integrated, and how sectors are integrated to form a </w:t>
      </w:r>
      <w:r>
        <w:lastRenderedPageBreak/>
        <w:t>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601A88E" w14:textId="57D42CF4" w:rsidR="001B7170" w:rsidRPr="005C372B" w:rsidRDefault="00C6507C" w:rsidP="005C372B">
      <w:pPr>
        <w:rPr>
          <w:color w:val="000000" w:themeColor="text1"/>
        </w:rPr>
      </w:pPr>
      <w:r>
        <w:rPr>
          <w:i/>
          <w:color w:val="000000" w:themeColor="text1"/>
        </w:rPr>
        <w:t>Afforestation</w:t>
      </w:r>
      <w:r w:rsidR="00E40378" w:rsidRPr="00E40378">
        <w:rPr>
          <w:i/>
          <w:color w:val="000000" w:themeColor="text1"/>
        </w:rPr>
        <w:t xml:space="preserve"> </w:t>
      </w:r>
      <w:r w:rsidR="00E40378" w:rsidRPr="00E40378">
        <w:rPr>
          <w:color w:val="000000" w:themeColor="text1"/>
        </w:rPr>
        <w:t xml:space="preserve">is part of Drawdown’s </w:t>
      </w:r>
      <w:r w:rsidR="004E5C1B">
        <w:rPr>
          <w:color w:val="000000" w:themeColor="text1"/>
        </w:rPr>
        <w:t>land-use</w:t>
      </w:r>
      <w:r w:rsidR="00E40378" w:rsidRPr="00E40378">
        <w:rPr>
          <w:color w:val="000000" w:themeColor="text1"/>
        </w:rPr>
        <w:t xml:space="preserve"> sector. </w:t>
      </w:r>
    </w:p>
    <w:p w14:paraId="63A1FB63" w14:textId="4DCFBFE6" w:rsid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b/>
          <w:i/>
          <w:color w:val="000000" w:themeColor="text1"/>
          <w:lang w:eastAsia="zh-CN"/>
        </w:rPr>
        <w:t>The Agroecological Zone model</w:t>
      </w:r>
    </w:p>
    <w:p w14:paraId="552D22BE" w14:textId="3B987A8B" w:rsidR="00E40378" w:rsidRPr="001B7170" w:rsidRDefault="00E40378" w:rsidP="00E40378">
      <w:pPr>
        <w:shd w:val="clear" w:color="auto" w:fill="FFFFFF"/>
        <w:spacing w:after="135"/>
        <w:rPr>
          <w:rFonts w:eastAsia="Times New Roman" w:cstheme="minorHAnsi"/>
          <w:b/>
          <w:i/>
          <w:color w:val="000000" w:themeColor="text1"/>
          <w:lang w:eastAsia="zh-CN"/>
        </w:rPr>
      </w:pPr>
      <w:r w:rsidRPr="00E40378">
        <w:rPr>
          <w:rFonts w:eastAsia="Times New Roman" w:cstheme="minorHAnsi"/>
          <w:color w:val="000000" w:themeColor="text1"/>
          <w:lang w:eastAsia="zh-CN"/>
        </w:rPr>
        <w:t>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E40378">
        <w:rPr>
          <w:rFonts w:eastAsia="Times New Roman" w:cstheme="minorHAnsi"/>
          <w:i/>
          <w:iCs/>
          <w:color w:val="000000" w:themeColor="text1"/>
          <w:lang w:eastAsia="zh-CN"/>
        </w:rPr>
        <w:t>Indigenous peoples’ land management</w:t>
      </w:r>
      <w:r w:rsidRPr="00E40378">
        <w:rPr>
          <w:rFonts w:eastAsia="Times New Roman" w:cstheme="minorHAnsi"/>
          <w:color w:val="000000" w:themeColor="text1"/>
          <w:lang w:eastAsia="zh-CN"/>
        </w:rPr>
        <w:t> is given a higher priority than </w:t>
      </w:r>
      <w:r w:rsidRPr="00E40378">
        <w:rPr>
          <w:rFonts w:eastAsia="Times New Roman" w:cstheme="minorHAnsi"/>
          <w:i/>
          <w:iCs/>
          <w:color w:val="000000" w:themeColor="text1"/>
          <w:lang w:eastAsia="zh-CN"/>
        </w:rPr>
        <w:t>forest protection</w:t>
      </w:r>
      <w:r w:rsidRPr="00E40378">
        <w:rPr>
          <w:rFonts w:eastAsia="Times New Roman" w:cstheme="minorHAnsi"/>
          <w:color w:val="000000" w:themeColor="text1"/>
          <w:lang w:eastAsia="zh-CN"/>
        </w:rPr>
        <w:t> for AEZs with forest cover, in recognition of indigenous peoples’ rights and livelihoods. </w:t>
      </w:r>
      <w:r w:rsidRPr="00E40378">
        <w:rPr>
          <w:rFonts w:eastAsia="Times New Roman" w:cstheme="minorHAnsi"/>
          <w:i/>
          <w:iCs/>
          <w:color w:val="000000" w:themeColor="text1"/>
          <w:lang w:eastAsia="zh-CN"/>
        </w:rPr>
        <w:t>Multistrata agroforestry</w:t>
      </w:r>
      <w:r w:rsidRPr="00E40378">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3F9AA419" w14:textId="77777777" w:rsidR="00E40378" w:rsidRPr="00E40378" w:rsidRDefault="00E40378" w:rsidP="00E40378">
      <w:pPr>
        <w:shd w:val="clear" w:color="auto" w:fill="FFFFFF"/>
        <w:spacing w:after="135"/>
        <w:rPr>
          <w:rFonts w:eastAsia="Times New Roman" w:cstheme="minorHAnsi"/>
          <w:color w:val="000000" w:themeColor="text1"/>
          <w:lang w:eastAsia="zh-CN"/>
        </w:rPr>
      </w:pPr>
      <w:r w:rsidRPr="00E40378">
        <w:rPr>
          <w:rFonts w:eastAsia="Times New Roman" w:cstheme="minorHAnsi"/>
          <w:color w:val="000000" w:themeColor="text1"/>
          <w:lang w:eastAsia="zh-CN"/>
        </w:rPr>
        <w:t>Each unit of land was allocated to a separate solution to avoid overlap between practices. The exception to this are </w:t>
      </w:r>
      <w:r w:rsidRPr="00E40378">
        <w:rPr>
          <w:rFonts w:eastAsia="Times New Roman" w:cstheme="minorHAnsi"/>
          <w:i/>
          <w:iCs/>
          <w:color w:val="000000" w:themeColor="text1"/>
          <w:lang w:eastAsia="zh-CN"/>
        </w:rPr>
        <w:t>farmland irrigation</w:t>
      </w:r>
      <w:r w:rsidRPr="00E40378">
        <w:rPr>
          <w:rFonts w:eastAsia="Times New Roman" w:cstheme="minorHAnsi"/>
          <w:color w:val="000000" w:themeColor="text1"/>
          <w:lang w:eastAsia="zh-CN"/>
        </w:rPr>
        <w:t>, </w:t>
      </w:r>
      <w:r w:rsidRPr="00E40378">
        <w:rPr>
          <w:rFonts w:eastAsia="Times New Roman" w:cstheme="minorHAnsi"/>
          <w:i/>
          <w:iCs/>
          <w:color w:val="000000" w:themeColor="text1"/>
          <w:lang w:eastAsia="zh-CN"/>
        </w:rPr>
        <w:t>nutrient management</w:t>
      </w:r>
      <w:r w:rsidRPr="00E40378">
        <w:rPr>
          <w:rFonts w:eastAsia="Times New Roman" w:cstheme="minorHAnsi"/>
          <w:color w:val="000000" w:themeColor="text1"/>
          <w:lang w:eastAsia="zh-CN"/>
        </w:rPr>
        <w:t>, and </w:t>
      </w:r>
      <w:r w:rsidRPr="00E40378">
        <w:rPr>
          <w:rFonts w:eastAsia="Times New Roman" w:cstheme="minorHAnsi"/>
          <w:i/>
          <w:iCs/>
          <w:color w:val="000000" w:themeColor="text1"/>
          <w:lang w:eastAsia="zh-CN"/>
        </w:rPr>
        <w:t>women smallholders</w:t>
      </w:r>
      <w:r w:rsidRPr="00E40378">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2A961B17" w14:textId="78AC2CCB" w:rsidR="00E40378" w:rsidRDefault="00E40378" w:rsidP="00E40378">
      <w:pPr>
        <w:spacing w:after="0"/>
        <w:rPr>
          <w:rFonts w:eastAsia="Times New Roman" w:cstheme="minorHAnsi"/>
          <w:color w:val="000000" w:themeColor="text1"/>
          <w:shd w:val="clear" w:color="auto" w:fill="FFFFFF"/>
          <w:lang w:eastAsia="zh-CN"/>
        </w:rPr>
      </w:pPr>
      <w:r w:rsidRPr="00E40378">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003F6674" w14:textId="77777777" w:rsidR="001B7170" w:rsidRPr="00E40378" w:rsidRDefault="001B7170" w:rsidP="00E40378">
      <w:pPr>
        <w:spacing w:after="0"/>
        <w:rPr>
          <w:rFonts w:eastAsia="Times New Roman" w:cstheme="minorHAnsi"/>
          <w:color w:val="000000" w:themeColor="text1"/>
          <w:shd w:val="clear" w:color="auto" w:fill="FFFFFF"/>
          <w:lang w:eastAsia="zh-CN"/>
        </w:rPr>
      </w:pPr>
    </w:p>
    <w:p w14:paraId="219F5F4A" w14:textId="5CBEF40E" w:rsidR="00BD7079" w:rsidRPr="00F76747" w:rsidRDefault="1F978269" w:rsidP="1F978269">
      <w:pPr>
        <w:spacing w:after="0"/>
        <w:rPr>
          <w:rFonts w:eastAsia="Times New Roman"/>
          <w:color w:val="000000" w:themeColor="text1"/>
          <w:lang w:eastAsia="zh-CN"/>
        </w:rPr>
      </w:pPr>
      <w:r w:rsidRPr="1F978269">
        <w:rPr>
          <w:rFonts w:eastAsia="Times New Roman"/>
          <w:color w:val="000000" w:themeColor="text1"/>
          <w:lang w:eastAsia="zh-CN"/>
        </w:rPr>
        <w:t xml:space="preserve">Determining the total available land for a solution is a two-part process. The technical potential is based on: current land cover or land use; the suitability of climate, soils, and slopes; and on degraded or non-degraded </w:t>
      </w:r>
      <w:r w:rsidRPr="1F978269">
        <w:rPr>
          <w:rFonts w:eastAsia="Times New Roman"/>
          <w:color w:val="000000" w:themeColor="text1"/>
          <w:lang w:eastAsia="zh-CN"/>
        </w:rPr>
        <w:lastRenderedPageBreak/>
        <w:t>status. In the second stage, land is allocated using the Drawdown Agro-Ecological Zone model, based on priorities for each class of land. The total land allocated for each solution is capped at the solution’s maximum adoption in the </w:t>
      </w:r>
      <w:r w:rsidRPr="1F978269">
        <w:rPr>
          <w:rFonts w:eastAsia="Times New Roman"/>
          <w:i/>
          <w:iCs/>
          <w:color w:val="000000" w:themeColor="text1"/>
          <w:lang w:eastAsia="zh-CN"/>
        </w:rPr>
        <w:t>Optimum</w:t>
      </w:r>
      <w:r w:rsidRPr="1F978269">
        <w:rPr>
          <w:rFonts w:eastAsia="Times New Roman"/>
          <w:color w:val="000000" w:themeColor="text1"/>
          <w:lang w:eastAsia="zh-CN"/>
        </w:rPr>
        <w:t> Scenario. Thus, in most cases the total available land is less than the technical potential.</w:t>
      </w:r>
    </w:p>
    <w:p w14:paraId="244422FC" w14:textId="2F6881AB" w:rsidR="1F978269" w:rsidRDefault="1F978269" w:rsidP="1F978269">
      <w:r w:rsidRPr="1F978269">
        <w:rPr>
          <w:rFonts w:eastAsia="Times New Roman" w:cs="Times New Roman"/>
          <w:b/>
          <w:bCs/>
          <w:i/>
          <w:iCs/>
          <w:color w:val="000000" w:themeColor="text1"/>
        </w:rPr>
        <w:t>The Yield model</w:t>
      </w:r>
    </w:p>
    <w:p w14:paraId="13BE8EEA" w14:textId="761B83A3" w:rsidR="1F978269" w:rsidRDefault="1F978269" w:rsidP="1F978269">
      <w:r w:rsidRPr="1F978269">
        <w:rPr>
          <w:rFonts w:eastAsia="Times New Roman" w:cs="Times New Roman"/>
          <w:color w:val="000000" w:themeColor="text1"/>
        </w:rPr>
        <w:t xml:space="preserve">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are also used to set a ceiling for the amount of crops available for use as feedstock for the </w:t>
      </w:r>
      <w:r w:rsidRPr="1F978269">
        <w:rPr>
          <w:rFonts w:eastAsia="Times New Roman" w:cs="Times New Roman"/>
          <w:i/>
          <w:iCs/>
          <w:color w:val="000000" w:themeColor="text1"/>
        </w:rPr>
        <w:t>bioplastic</w:t>
      </w:r>
      <w:r w:rsidRPr="1F978269">
        <w:rPr>
          <w:rFonts w:eastAsia="Times New Roman" w:cs="Times New Roman"/>
          <w:color w:val="000000" w:themeColor="text1"/>
        </w:rPr>
        <w:t xml:space="preserve"> Materials solution.</w:t>
      </w:r>
    </w:p>
    <w:p w14:paraId="37958378" w14:textId="3E3A502B" w:rsidR="1F978269" w:rsidRDefault="1F978269" w:rsidP="1F978269">
      <w:r w:rsidRPr="1F978269">
        <w:rPr>
          <w:rFonts w:eastAsia="Times New Roman" w:cs="Times New Roman"/>
          <w:color w:val="000000" w:themeColor="text1"/>
        </w:rPr>
        <w:t xml:space="preserve">The yield model matches demand and supply as an integrated system. Both </w:t>
      </w:r>
      <w:r w:rsidRPr="1F978269">
        <w:rPr>
          <w:rFonts w:eastAsia="Times New Roman" w:cs="Times New Roman"/>
          <w:i/>
          <w:iCs/>
          <w:color w:val="000000" w:themeColor="text1"/>
        </w:rPr>
        <w:t xml:space="preserve">Reference </w:t>
      </w:r>
      <w:r w:rsidRPr="1F978269">
        <w:rPr>
          <w:rFonts w:eastAsia="Times New Roman" w:cs="Times New Roman"/>
          <w:color w:val="000000" w:themeColor="text1"/>
        </w:rPr>
        <w:t xml:space="preserve">Scenarios showed a food deficit in the high and medium population scenarios (see </w:t>
      </w:r>
      <w:r w:rsidRPr="1F978269">
        <w:rPr>
          <w:rFonts w:eastAsia="Times New Roman" w:cs="Times New Roman"/>
          <w:i/>
          <w:iCs/>
          <w:color w:val="000000" w:themeColor="text1"/>
        </w:rPr>
        <w:t xml:space="preserve">family planning </w:t>
      </w:r>
      <w:r w:rsidRPr="1F978269">
        <w:rPr>
          <w:rFonts w:eastAsia="Times New Roman" w:cs="Times New Roman"/>
          <w:color w:val="000000" w:themeColor="text1"/>
        </w:rPr>
        <w:t xml:space="preserve">and </w:t>
      </w:r>
      <w:r w:rsidRPr="1F978269">
        <w:rPr>
          <w:rFonts w:eastAsia="Times New Roman" w:cs="Times New Roman"/>
          <w:i/>
          <w:iCs/>
          <w:color w:val="000000" w:themeColor="text1"/>
        </w:rPr>
        <w:t>educating girls</w:t>
      </w:r>
      <w:r w:rsidRPr="1F978269">
        <w:rPr>
          <w:rFonts w:eastAsia="Times New Roman" w:cs="Times New Roman"/>
          <w:color w:val="000000" w:themeColor="text1"/>
        </w:rPr>
        <w:t xml:space="preserve"> solutions). This would require the clearing of forest and grassland for food production, with associated emissions from land conversion.</w:t>
      </w:r>
    </w:p>
    <w:p w14:paraId="0C5D12AD" w14:textId="489BF307" w:rsidR="1F978269" w:rsidRDefault="1F978269" w:rsidP="1F978269">
      <w:r w:rsidRPr="1F978269">
        <w:rPr>
          <w:rFonts w:eastAsia="Times New Roman" w:cs="Times New Roman"/>
          <w:color w:val="000000" w:themeColor="text1"/>
        </w:rPr>
        <w:t xml:space="preserve">All three Drawdown scenarios show agricultural production sufficient to meet food demand and provide a surplus that can be used in bio-based industry, for example as feedstock for </w:t>
      </w:r>
      <w:r w:rsidRPr="1F978269">
        <w:rPr>
          <w:rFonts w:eastAsia="Times New Roman" w:cs="Times New Roman"/>
          <w:i/>
          <w:iCs/>
          <w:color w:val="000000" w:themeColor="text1"/>
        </w:rPr>
        <w:t xml:space="preserve">bioplastic </w:t>
      </w:r>
      <w:r w:rsidRPr="1F978269">
        <w:rPr>
          <w:rFonts w:eastAsia="Times New Roman" w:cs="Times New Roman"/>
          <w:color w:val="000000" w:themeColor="text1"/>
        </w:rPr>
        <w:t>production</w:t>
      </w:r>
      <w:r w:rsidRPr="1F978269">
        <w:rPr>
          <w:rFonts w:eastAsia="Times New Roman" w:cs="Times New Roman"/>
          <w:i/>
          <w:iCs/>
          <w:color w:val="000000" w:themeColor="text1"/>
        </w:rPr>
        <w:t xml:space="preserve">. </w:t>
      </w:r>
      <w:r w:rsidRPr="1F978269">
        <w:rPr>
          <w:rFonts w:eastAsia="Times New Roman" w:cs="Times New Roman"/>
          <w:color w:val="000000" w:themeColor="text1"/>
        </w:rPr>
        <w:t xml:space="preserve">Due to this surplus, no land clearing is necessary, resulting in impressive emissions reduction from avoided deforestation.  Because population change (resulting from </w:t>
      </w:r>
      <w:r w:rsidRPr="1F978269">
        <w:rPr>
          <w:rFonts w:eastAsia="Times New Roman" w:cs="Times New Roman"/>
          <w:i/>
          <w:iCs/>
          <w:color w:val="000000" w:themeColor="text1"/>
        </w:rPr>
        <w:t xml:space="preserve">educating girls </w:t>
      </w:r>
      <w:r w:rsidRPr="1F978269">
        <w:rPr>
          <w:rFonts w:eastAsia="Times New Roman" w:cs="Times New Roman"/>
          <w:color w:val="000000" w:themeColor="text1"/>
        </w:rPr>
        <w:t xml:space="preserve">and </w:t>
      </w:r>
      <w:r w:rsidRPr="1F978269">
        <w:rPr>
          <w:rFonts w:eastAsia="Times New Roman" w:cs="Times New Roman"/>
          <w:i/>
          <w:iCs/>
          <w:color w:val="000000" w:themeColor="text1"/>
        </w:rPr>
        <w:t>family planning</w:t>
      </w:r>
      <w:r w:rsidRPr="1F978269">
        <w:rPr>
          <w:rFonts w:eastAsia="Times New Roman" w:cs="Times New Roman"/>
          <w:color w:val="000000" w:themeColor="text1"/>
        </w:rPr>
        <w:t>),</w:t>
      </w:r>
      <w:r w:rsidRPr="1F978269">
        <w:rPr>
          <w:rFonts w:eastAsia="Times New Roman" w:cs="Times New Roman"/>
          <w:i/>
          <w:iCs/>
          <w:color w:val="000000" w:themeColor="text1"/>
        </w:rPr>
        <w:t xml:space="preserve"> plant-rich diet</w:t>
      </w:r>
      <w:r w:rsidRPr="1F978269">
        <w:rPr>
          <w:rFonts w:eastAsia="Times New Roman" w:cs="Times New Roman"/>
          <w:color w:val="000000" w:themeColor="text1"/>
        </w:rPr>
        <w:t xml:space="preserve">, and </w:t>
      </w:r>
      <w:r w:rsidRPr="1F978269">
        <w:rPr>
          <w:rFonts w:eastAsia="Times New Roman" w:cs="Times New Roman"/>
          <w:i/>
          <w:iCs/>
          <w:color w:val="000000" w:themeColor="text1"/>
        </w:rPr>
        <w:t>reduced food waste</w:t>
      </w:r>
      <w:r w:rsidRPr="1F978269">
        <w:rPr>
          <w:rFonts w:eastAsia="Times New Roman" w:cs="Times New Roman"/>
          <w:color w:val="000000" w:themeColor="text1"/>
        </w:rPr>
        <w:t xml:space="preserve">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0F2C2CB4" w14:textId="56725EE5" w:rsidR="1F978269" w:rsidRDefault="1F978269" w:rsidP="1F978269">
      <w:pPr>
        <w:rPr>
          <w:rFonts w:eastAsia="Times New Roman" w:cs="Times New Roman"/>
          <w:color w:val="000000" w:themeColor="text1"/>
        </w:rPr>
      </w:pPr>
      <w:r w:rsidRPr="1F978269">
        <w:rPr>
          <w:rFonts w:eastAsia="Times New Roman" w:cs="Times New Roman"/>
          <w:color w:val="000000" w:themeColor="text1"/>
        </w:rPr>
        <w:t>Adoption of</w:t>
      </w:r>
      <w:r w:rsidRPr="1F978269">
        <w:rPr>
          <w:rFonts w:eastAsia="Times New Roman" w:cs="Times New Roman"/>
          <w:i/>
          <w:iCs/>
          <w:color w:val="000000" w:themeColor="text1"/>
        </w:rPr>
        <w:t xml:space="preserve"> </w:t>
      </w:r>
      <w:r w:rsidR="00633441">
        <w:rPr>
          <w:rFonts w:eastAsia="Times New Roman" w:cs="Times New Roman"/>
          <w:i/>
          <w:iCs/>
          <w:color w:val="000000" w:themeColor="text1"/>
        </w:rPr>
        <w:t>afforestation</w:t>
      </w:r>
      <w:r w:rsidRPr="1F978269">
        <w:rPr>
          <w:rFonts w:eastAsia="Times New Roman" w:cs="Times New Roman"/>
          <w:i/>
          <w:iCs/>
          <w:color w:val="000000" w:themeColor="text1"/>
        </w:rPr>
        <w:t xml:space="preserve"> </w:t>
      </w:r>
      <w:r w:rsidRPr="1F978269">
        <w:rPr>
          <w:rFonts w:eastAsia="Times New Roman" w:cs="Times New Roman"/>
          <w:color w:val="000000" w:themeColor="text1"/>
        </w:rPr>
        <w:t>is included in the yield model because new adoption occurs on degraded grassland, which displaces grazing.</w:t>
      </w:r>
    </w:p>
    <w:p w14:paraId="7B4F642D" w14:textId="11D1F6F9" w:rsidR="1F978269" w:rsidRDefault="1F978269" w:rsidP="1F978269">
      <w:pPr>
        <w:spacing w:line="330" w:lineRule="exact"/>
      </w:pPr>
      <w:r w:rsidRPr="1F978269">
        <w:rPr>
          <w:rFonts w:eastAsia="Times New Roman" w:cs="Times New Roman"/>
          <w:b/>
          <w:bCs/>
          <w:i/>
          <w:iCs/>
          <w:color w:val="000000" w:themeColor="text1"/>
        </w:rPr>
        <w:t>The Biomass Model</w:t>
      </w:r>
    </w:p>
    <w:p w14:paraId="2764157A" w14:textId="531A89D5" w:rsidR="1F978269" w:rsidRDefault="1F978269" w:rsidP="1F978269">
      <w:pPr>
        <w:spacing w:line="330" w:lineRule="exact"/>
      </w:pPr>
      <w:r w:rsidRPr="1F978269">
        <w:rPr>
          <w:rFonts w:eastAsia="Times New Roman" w:cs="Times New Roman"/>
          <w:color w:val="000000" w:themeColor="text1"/>
        </w:rPr>
        <w:t xml:space="preserve">Drawdown’s Biomass model begins with projected global biomass demand through 2060, based on FAO historical data and other sources, in categories including sawnwood, other woody biomass, and herbaceous biomass (which includes crop residues). It determines the impact of demand reduction solutions including </w:t>
      </w:r>
      <w:r w:rsidRPr="1F978269">
        <w:rPr>
          <w:rFonts w:eastAsia="Times New Roman" w:cs="Times New Roman"/>
          <w:i/>
          <w:iCs/>
          <w:color w:val="000000" w:themeColor="text1"/>
        </w:rPr>
        <w:t>clean cookstoves</w:t>
      </w:r>
      <w:r w:rsidRPr="1F978269">
        <w:rPr>
          <w:rFonts w:eastAsia="Times New Roman" w:cs="Times New Roman"/>
          <w:color w:val="000000" w:themeColor="text1"/>
        </w:rPr>
        <w:t xml:space="preserve"> and </w:t>
      </w:r>
      <w:r w:rsidRPr="1F978269">
        <w:rPr>
          <w:rFonts w:eastAsia="Times New Roman" w:cs="Times New Roman"/>
          <w:i/>
          <w:iCs/>
          <w:color w:val="000000" w:themeColor="text1"/>
        </w:rPr>
        <w:t>recycled paper</w:t>
      </w:r>
      <w:r w:rsidRPr="1F978269">
        <w:rPr>
          <w:rFonts w:eastAsia="Times New Roman" w:cs="Times New Roman"/>
          <w:color w:val="000000" w:themeColor="text1"/>
        </w:rPr>
        <w:t xml:space="preserve">, resulting in an adjusted demand projection through 2060. Biomass supply reductions are modeled as well, which result from protection of forests, reducing biomass availability. Biomass supply increases are modeled through the increased adoption of solutions including </w:t>
      </w:r>
      <w:r w:rsidR="00861E8E">
        <w:rPr>
          <w:rFonts w:eastAsia="Times New Roman" w:cs="Times New Roman"/>
          <w:i/>
          <w:iCs/>
          <w:color w:val="000000" w:themeColor="text1"/>
        </w:rPr>
        <w:t>afforestation</w:t>
      </w:r>
      <w:r w:rsidRPr="1F978269">
        <w:rPr>
          <w:rFonts w:eastAsia="Times New Roman" w:cs="Times New Roman"/>
          <w:i/>
          <w:iCs/>
          <w:color w:val="000000" w:themeColor="text1"/>
        </w:rPr>
        <w:t xml:space="preserve">, bamboo, perennial biomass </w:t>
      </w:r>
      <w:r w:rsidRPr="1F978269">
        <w:rPr>
          <w:rFonts w:eastAsia="Times New Roman" w:cs="Times New Roman"/>
          <w:color w:val="000000" w:themeColor="text1"/>
        </w:rPr>
        <w:t>and</w:t>
      </w:r>
      <w:r w:rsidRPr="1F978269">
        <w:rPr>
          <w:rFonts w:eastAsia="Times New Roman" w:cs="Times New Roman"/>
          <w:i/>
          <w:iCs/>
          <w:color w:val="000000" w:themeColor="text1"/>
        </w:rPr>
        <w:t xml:space="preserve"> </w:t>
      </w:r>
      <w:r w:rsidRPr="1F978269">
        <w:rPr>
          <w:rFonts w:eastAsia="Times New Roman" w:cs="Times New Roman"/>
          <w:color w:val="000000" w:themeColor="text1"/>
        </w:rPr>
        <w:t xml:space="preserve">agroforestry solutions like </w:t>
      </w:r>
      <w:r w:rsidRPr="1F978269">
        <w:rPr>
          <w:rFonts w:eastAsia="Times New Roman" w:cs="Times New Roman"/>
          <w:i/>
          <w:iCs/>
          <w:color w:val="000000" w:themeColor="text1"/>
        </w:rPr>
        <w:t xml:space="preserve">tree intercropping, silvopasture, </w:t>
      </w:r>
      <w:r w:rsidRPr="1F978269">
        <w:rPr>
          <w:rFonts w:eastAsia="Times New Roman" w:cs="Times New Roman"/>
          <w:color w:val="000000" w:themeColor="text1"/>
        </w:rPr>
        <w:lastRenderedPageBreak/>
        <w:t xml:space="preserve">and </w:t>
      </w:r>
      <w:r w:rsidRPr="1F978269">
        <w:rPr>
          <w:rFonts w:eastAsia="Times New Roman" w:cs="Times New Roman"/>
          <w:i/>
          <w:iCs/>
          <w:color w:val="000000" w:themeColor="text1"/>
        </w:rPr>
        <w:t xml:space="preserve">multistrata agroforestry. </w:t>
      </w:r>
      <w:r w:rsidRPr="1F978269">
        <w:rPr>
          <w:rFonts w:eastAsia="Times New Roman" w:cs="Times New Roman"/>
          <w:color w:val="000000" w:themeColor="text1"/>
        </w:rPr>
        <w:t xml:space="preserve">Biomass availability from crop residues, </w:t>
      </w:r>
      <w:r w:rsidRPr="1F978269">
        <w:rPr>
          <w:rFonts w:eastAsia="Times New Roman" w:cs="Times New Roman"/>
          <w:i/>
          <w:iCs/>
          <w:color w:val="000000" w:themeColor="text1"/>
        </w:rPr>
        <w:t>seaweed farming</w:t>
      </w:r>
      <w:r w:rsidRPr="1F978269">
        <w:rPr>
          <w:rFonts w:eastAsia="Times New Roman" w:cs="Times New Roman"/>
          <w:color w:val="000000" w:themeColor="text1"/>
        </w:rPr>
        <w:t xml:space="preserve">, and dedicated biomass crops planted on cropland freed up by </w:t>
      </w:r>
      <w:r w:rsidRPr="1F978269">
        <w:rPr>
          <w:rFonts w:eastAsia="Times New Roman" w:cs="Times New Roman"/>
          <w:i/>
          <w:iCs/>
          <w:color w:val="000000" w:themeColor="text1"/>
        </w:rPr>
        <w:t>sustainable intensification</w:t>
      </w:r>
      <w:r w:rsidRPr="1F978269">
        <w:rPr>
          <w:rFonts w:eastAsia="Times New Roman" w:cs="Times New Roman"/>
          <w:color w:val="000000" w:themeColor="text1"/>
        </w:rPr>
        <w:t xml:space="preserve"> is also modeled.</w:t>
      </w:r>
    </w:p>
    <w:p w14:paraId="13B9CD3C" w14:textId="6FA23B1B" w:rsidR="1F978269" w:rsidRDefault="1F978269" w:rsidP="1F978269">
      <w:pPr>
        <w:spacing w:line="330" w:lineRule="exact"/>
      </w:pPr>
      <w:r w:rsidRPr="1F978269">
        <w:rPr>
          <w:rFonts w:eastAsia="Times New Roman" w:cs="Times New Roman"/>
          <w:color w:val="000000" w:themeColor="text1"/>
        </w:rPr>
        <w:t xml:space="preserve">Surplus biomass is allocated to climate solutions that require biomass as feedstock. These include </w:t>
      </w:r>
      <w:r w:rsidRPr="1F978269">
        <w:rPr>
          <w:rFonts w:eastAsia="Times New Roman" w:cs="Times New Roman"/>
          <w:i/>
          <w:iCs/>
          <w:color w:val="000000" w:themeColor="text1"/>
        </w:rPr>
        <w:t>biochar, biomass electricity, bioplastic, 2</w:t>
      </w:r>
      <w:r w:rsidRPr="1F978269">
        <w:rPr>
          <w:rFonts w:eastAsia="Times New Roman" w:cs="Times New Roman"/>
          <w:i/>
          <w:iCs/>
          <w:color w:val="000000" w:themeColor="text1"/>
          <w:vertAlign w:val="superscript"/>
        </w:rPr>
        <w:t>nd</w:t>
      </w:r>
      <w:r w:rsidRPr="1F978269">
        <w:rPr>
          <w:rFonts w:eastAsia="Times New Roman" w:cs="Times New Roman"/>
          <w:i/>
          <w:iCs/>
          <w:color w:val="000000" w:themeColor="text1"/>
        </w:rPr>
        <w:t xml:space="preserve"> generation biofuels, building with wood, insulation, small-scale biogas, </w:t>
      </w:r>
      <w:r w:rsidRPr="1F978269">
        <w:rPr>
          <w:rFonts w:eastAsia="Times New Roman" w:cs="Times New Roman"/>
          <w:color w:val="000000" w:themeColor="text1"/>
        </w:rPr>
        <w:t xml:space="preserve">and </w:t>
      </w:r>
      <w:r w:rsidRPr="1F978269">
        <w:rPr>
          <w:rFonts w:eastAsia="Times New Roman" w:cs="Times New Roman"/>
          <w:i/>
          <w:iCs/>
          <w:color w:val="000000" w:themeColor="text1"/>
        </w:rPr>
        <w:t xml:space="preserve">district heating. </w:t>
      </w:r>
      <w:r w:rsidRPr="1F978269">
        <w:rPr>
          <w:rFonts w:eastAsia="Times New Roman" w:cs="Times New Roman"/>
          <w:color w:val="000000" w:themeColor="text1"/>
        </w:rPr>
        <w:t xml:space="preserve">This biomass feedstock allocation was a constraint to the adoption of this solution. </w:t>
      </w:r>
      <w:r w:rsidRPr="1F978269">
        <w:rPr>
          <w:rFonts w:eastAsia="Times New Roman" w:cs="Times New Roman"/>
          <w:i/>
          <w:iCs/>
          <w:color w:val="000000" w:themeColor="text1"/>
        </w:rPr>
        <w:t xml:space="preserve"> </w:t>
      </w:r>
    </w:p>
    <w:p w14:paraId="0ED84BEA" w14:textId="7FCE4E73" w:rsidR="009D118F" w:rsidRPr="00655B1D" w:rsidRDefault="00686965" w:rsidP="001D6F00">
      <w:pPr>
        <w:pStyle w:val="Heading2"/>
        <w:numPr>
          <w:ilvl w:val="1"/>
          <w:numId w:val="4"/>
        </w:numPr>
      </w:pPr>
      <w:bookmarkStart w:id="39" w:name="_Toc18443099"/>
      <w:r w:rsidRPr="00655B1D">
        <w:t>Limitations/Further Development</w:t>
      </w:r>
      <w:bookmarkEnd w:id="39"/>
    </w:p>
    <w:p w14:paraId="6A116155" w14:textId="6939A5DD" w:rsidR="001B5B28" w:rsidRPr="001B5B28" w:rsidRDefault="00B3783E" w:rsidP="001B5B28">
      <w:pPr>
        <w:rPr>
          <w:color w:val="000000" w:themeColor="text1"/>
        </w:rPr>
      </w:pPr>
      <w:r>
        <w:rPr>
          <w:color w:val="000000" w:themeColor="text1"/>
        </w:rPr>
        <w:t xml:space="preserve">Drawdown figures for current adoption are based on estimates of afforestation and planted forest reported by the FAO </w:t>
      </w:r>
      <w:r w:rsidR="00025E1E">
        <w:rPr>
          <w:color w:val="000000" w:themeColor="text1"/>
        </w:rPr>
        <w:fldChar w:fldCharType="begin"/>
      </w:r>
      <w:r w:rsidR="00025E1E">
        <w:rPr>
          <w:color w:val="000000" w:themeColor="text1"/>
        </w:rPr>
        <w:instrText xml:space="preserve"> ADDIN ZOTERO_ITEM CSL_CITATION {"citationID":"j8wMOOg8","properties":{"formattedCitation":"(FAO, 2010)","plainCitation":"(FAO, 2010)","noteIndex":0},"citationItems":[{"id":455,"uris":["http://zotero.org/groups/2241939/items/PNGCYJD2"],"uri":["http://zotero.org/groups/2241939/items/PNGCYJD2"],"itemData":{"id":455,"type":"report","title":"Global forest resources assessment 2015: How are the world's forests changing?","publisher":"Food and Agriculture Organization of the United Nations","author":[{"family":"FAO","given":""}],"issued":{"date-parts":[["2010"]]}}}],"schema":"https://github.com/citation-style-language/schema/raw/master/csl-citation.json"} </w:instrText>
      </w:r>
      <w:r w:rsidR="00025E1E">
        <w:rPr>
          <w:color w:val="000000" w:themeColor="text1"/>
        </w:rPr>
        <w:fldChar w:fldCharType="separate"/>
      </w:r>
      <w:r w:rsidR="00025E1E" w:rsidRPr="00025E1E">
        <w:rPr>
          <w:rFonts w:cs="Times New Roman"/>
        </w:rPr>
        <w:t>(FAO, 2010)</w:t>
      </w:r>
      <w:r w:rsidR="00025E1E">
        <w:rPr>
          <w:color w:val="000000" w:themeColor="text1"/>
        </w:rPr>
        <w:fldChar w:fldCharType="end"/>
      </w:r>
      <w:r>
        <w:rPr>
          <w:color w:val="000000" w:themeColor="text1"/>
        </w:rPr>
        <w:t>. While the majority of afforestation activities consist in establishing forest plantation systems as defined by Drawdown, the term also</w:t>
      </w:r>
      <w:r w:rsidR="00CE030D">
        <w:rPr>
          <w:color w:val="000000" w:themeColor="text1"/>
        </w:rPr>
        <w:t xml:space="preserve"> includes several other land-uses</w:t>
      </w:r>
      <w:r>
        <w:rPr>
          <w:color w:val="000000" w:themeColor="text1"/>
        </w:rPr>
        <w:t xml:space="preserve"> such as bamboo plantations or agroforestry. Currently, it remains</w:t>
      </w:r>
      <w:r w:rsidR="00CE030D">
        <w:rPr>
          <w:color w:val="000000" w:themeColor="text1"/>
        </w:rPr>
        <w:t xml:space="preserve"> difficult to distinguish between the</w:t>
      </w:r>
      <w:r>
        <w:rPr>
          <w:color w:val="000000" w:themeColor="text1"/>
        </w:rPr>
        <w:t>se land-uses</w:t>
      </w:r>
      <w:r w:rsidR="00427529">
        <w:rPr>
          <w:color w:val="000000" w:themeColor="text1"/>
        </w:rPr>
        <w:t>.</w:t>
      </w:r>
    </w:p>
    <w:p w14:paraId="40DC47C0" w14:textId="1A76A1F3" w:rsidR="001B5B28" w:rsidRPr="001B5B28" w:rsidRDefault="00427529" w:rsidP="001B5B28">
      <w:pPr>
        <w:rPr>
          <w:color w:val="000000" w:themeColor="text1"/>
        </w:rPr>
      </w:pPr>
      <w:r>
        <w:rPr>
          <w:color w:val="000000" w:themeColor="text1"/>
        </w:rPr>
        <w:t xml:space="preserve">Drawdown’s </w:t>
      </w:r>
      <w:r w:rsidR="001B5B28" w:rsidRPr="001B5B28">
        <w:rPr>
          <w:color w:val="000000" w:themeColor="text1"/>
        </w:rPr>
        <w:t xml:space="preserve">approach is </w:t>
      </w:r>
      <w:r>
        <w:rPr>
          <w:color w:val="000000" w:themeColor="text1"/>
        </w:rPr>
        <w:t>further</w:t>
      </w:r>
      <w:r w:rsidRPr="001B5B28">
        <w:rPr>
          <w:color w:val="000000" w:themeColor="text1"/>
        </w:rPr>
        <w:t xml:space="preserve"> </w:t>
      </w:r>
      <w:r w:rsidR="001B5B28" w:rsidRPr="001B5B28">
        <w:rPr>
          <w:color w:val="000000" w:themeColor="text1"/>
        </w:rPr>
        <w:t>limited by data limitations in the current literature</w:t>
      </w:r>
      <w:r w:rsidR="00CE030D">
        <w:rPr>
          <w:color w:val="000000" w:themeColor="text1"/>
        </w:rPr>
        <w:t>, particularly regarding carbon sequestration impacts and financial variables</w:t>
      </w:r>
      <w:r w:rsidR="001B5B28" w:rsidRPr="001B5B28">
        <w:rPr>
          <w:color w:val="000000" w:themeColor="text1"/>
        </w:rPr>
        <w:t xml:space="preserve">. </w:t>
      </w:r>
      <w:r w:rsidR="00D344F6">
        <w:rPr>
          <w:color w:val="000000" w:themeColor="text1"/>
        </w:rPr>
        <w:t>E</w:t>
      </w:r>
      <w:r w:rsidR="001B5B28" w:rsidRPr="001B5B28">
        <w:rPr>
          <w:color w:val="000000" w:themeColor="text1"/>
        </w:rPr>
        <w:t xml:space="preserve">xtrapolating sequestration rates from the few areas represented in the literature </w:t>
      </w:r>
      <w:r w:rsidR="00D344F6">
        <w:rPr>
          <w:color w:val="000000" w:themeColor="text1"/>
        </w:rPr>
        <w:t xml:space="preserve">to all </w:t>
      </w:r>
      <w:r w:rsidR="000B1629">
        <w:rPr>
          <w:color w:val="000000" w:themeColor="text1"/>
        </w:rPr>
        <w:t>forest plantations</w:t>
      </w:r>
      <w:r w:rsidR="00D344F6">
        <w:rPr>
          <w:color w:val="000000" w:themeColor="text1"/>
        </w:rPr>
        <w:t xml:space="preserve"> systems globally</w:t>
      </w:r>
      <w:r w:rsidR="001B5B28" w:rsidRPr="001B5B28">
        <w:rPr>
          <w:color w:val="000000" w:themeColor="text1"/>
        </w:rPr>
        <w:t xml:space="preserve"> is likely inaccurate. A more accurate approach might utilize earth systems models that model carbon pools based on localized data inputs, but such an approach is computationally intense and beyond the scope of our work. </w:t>
      </w:r>
    </w:p>
    <w:p w14:paraId="5DB95F0C" w14:textId="77777777" w:rsidR="001B5B28" w:rsidRPr="001B5B28" w:rsidRDefault="001B5B28" w:rsidP="001B5B28">
      <w:pPr>
        <w:rPr>
          <w:color w:val="000000" w:themeColor="text1"/>
        </w:rPr>
      </w:pPr>
      <w:r w:rsidRPr="001B5B28">
        <w:rPr>
          <w:color w:val="000000" w:themeColor="text1"/>
        </w:rPr>
        <w:t xml:space="preserve">Similarly, financial components of our model were based on a limited number of studies from a limited number of areas. Since agricultural markets are highly localized, especially in communities where producers are primarily smallholders, access to markets, input costs, and prices differ broadly. </w:t>
      </w:r>
    </w:p>
    <w:p w14:paraId="2B804872" w14:textId="542FB880" w:rsidR="001B5B28" w:rsidRPr="001B5B28" w:rsidRDefault="001B5B28" w:rsidP="001B5B28">
      <w:pPr>
        <w:rPr>
          <w:color w:val="000000" w:themeColor="text1"/>
        </w:rPr>
      </w:pPr>
      <w:r w:rsidRPr="001B5B28">
        <w:rPr>
          <w:color w:val="000000" w:themeColor="text1"/>
        </w:rPr>
        <w:t xml:space="preserve">Given these limitations, our model outcomes should not be taken as completely accurate but as being indicative of the general scale and direction of </w:t>
      </w:r>
      <w:r w:rsidR="000B1629">
        <w:rPr>
          <w:color w:val="000000" w:themeColor="text1"/>
        </w:rPr>
        <w:t>forest plantations</w:t>
      </w:r>
      <w:r w:rsidRPr="001B5B28">
        <w:rPr>
          <w:color w:val="000000" w:themeColor="text1"/>
        </w:rPr>
        <w:t xml:space="preserve">’ drawdown capacity given current knowledge. </w:t>
      </w:r>
    </w:p>
    <w:p w14:paraId="34BE4080" w14:textId="77777777" w:rsidR="008B7E2F" w:rsidRPr="001B5B28" w:rsidRDefault="008B7E2F" w:rsidP="00DB4CC8">
      <w:pPr>
        <w:rPr>
          <w:color w:val="000000" w:themeColor="text1"/>
          <w:highlight w:val="yellow"/>
        </w:rPr>
      </w:pPr>
    </w:p>
    <w:p w14:paraId="023CCA41" w14:textId="0764CBDA" w:rsidR="00046BE7" w:rsidRPr="001B5B28" w:rsidRDefault="00046BE7">
      <w:pPr>
        <w:spacing w:after="160" w:line="259" w:lineRule="auto"/>
        <w:jc w:val="left"/>
        <w:rPr>
          <w:rFonts w:asciiTheme="majorHAnsi" w:eastAsiaTheme="majorEastAsia" w:hAnsiTheme="majorHAnsi" w:cs="Times New Roman (Headings CS)"/>
          <w:b/>
          <w:bCs/>
          <w:smallCaps/>
          <w:color w:val="000000" w:themeColor="text1"/>
          <w:sz w:val="36"/>
          <w:szCs w:val="36"/>
        </w:rPr>
      </w:pPr>
    </w:p>
    <w:p w14:paraId="5A070061" w14:textId="77777777" w:rsidR="00E91D24" w:rsidRPr="001B5B28" w:rsidRDefault="00E91D24">
      <w:pPr>
        <w:spacing w:after="160" w:line="259" w:lineRule="auto"/>
        <w:jc w:val="left"/>
        <w:rPr>
          <w:rFonts w:asciiTheme="majorHAnsi" w:eastAsiaTheme="majorEastAsia" w:hAnsiTheme="majorHAnsi" w:cs="Times New Roman (Headings CS)"/>
          <w:b/>
          <w:bCs/>
          <w:smallCaps/>
          <w:color w:val="000000" w:themeColor="text1"/>
          <w:sz w:val="36"/>
          <w:szCs w:val="36"/>
        </w:rPr>
      </w:pPr>
      <w:r w:rsidRPr="001B5B28">
        <w:rPr>
          <w:color w:val="000000" w:themeColor="text1"/>
        </w:rPr>
        <w:br w:type="page"/>
      </w:r>
    </w:p>
    <w:p w14:paraId="7CAFC693" w14:textId="270A87C3" w:rsidR="007C645A" w:rsidRPr="00B7686D" w:rsidRDefault="551A77D0" w:rsidP="001D6F00">
      <w:pPr>
        <w:pStyle w:val="Heading1"/>
        <w:numPr>
          <w:ilvl w:val="0"/>
          <w:numId w:val="4"/>
        </w:numPr>
      </w:pPr>
      <w:bookmarkStart w:id="40" w:name="_Toc18443100"/>
      <w:r w:rsidRPr="00B7686D">
        <w:lastRenderedPageBreak/>
        <w:t>Results</w:t>
      </w:r>
      <w:bookmarkEnd w:id="40"/>
    </w:p>
    <w:p w14:paraId="7E39F2AB" w14:textId="79101C06" w:rsidR="00B261E0" w:rsidRDefault="007C645A" w:rsidP="001D6F00">
      <w:pPr>
        <w:pStyle w:val="Heading2"/>
        <w:numPr>
          <w:ilvl w:val="1"/>
          <w:numId w:val="4"/>
        </w:numPr>
      </w:pPr>
      <w:bookmarkStart w:id="41" w:name="_Toc18443101"/>
      <w:r>
        <w:t>Adoption</w:t>
      </w:r>
      <w:bookmarkEnd w:id="41"/>
    </w:p>
    <w:p w14:paraId="10EC0E5D" w14:textId="525C4D52" w:rsidR="0032353F" w:rsidRPr="0032353F" w:rsidRDefault="0032353F" w:rsidP="00DB4CC8">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A5A9E57" w14:textId="44EF9C6E" w:rsidR="00341625" w:rsidRPr="00482F10"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Plausible</w:t>
      </w:r>
      <w:r w:rsidRPr="00482F10">
        <w:rPr>
          <w:rFonts w:eastAsia="Helvetica Neue" w:cstheme="minorHAnsi"/>
          <w:color w:val="000000"/>
        </w:rPr>
        <w:t xml:space="preserve"> Scenario is </w:t>
      </w:r>
      <w:r w:rsidR="00576AE8" w:rsidRPr="00576AE8">
        <w:rPr>
          <w:rFonts w:eastAsia="Helvetica Neue" w:cstheme="minorHAnsi"/>
          <w:color w:val="000000"/>
        </w:rPr>
        <w:t xml:space="preserve"> 405.04 </w:t>
      </w:r>
      <w:r w:rsidRPr="00482F10">
        <w:rPr>
          <w:rFonts w:eastAsia="Helvetica Neue" w:cstheme="minorHAnsi"/>
          <w:color w:val="000000"/>
        </w:rPr>
        <w:t xml:space="preserve">million hectares in 2050, representing </w:t>
      </w:r>
      <w:r w:rsidR="00526B1D">
        <w:rPr>
          <w:rFonts w:eastAsia="Helvetica Neue" w:cstheme="minorHAnsi"/>
          <w:color w:val="000000"/>
        </w:rPr>
        <w:t>85</w:t>
      </w:r>
      <w:r w:rsidRPr="00482F10">
        <w:rPr>
          <w:rFonts w:eastAsia="Helvetica Neue" w:cstheme="minorHAnsi"/>
          <w:color w:val="000000"/>
        </w:rPr>
        <w:t xml:space="preserve"> percent of the total suitable land. Of this, </w:t>
      </w:r>
      <w:r w:rsidR="00576AE8">
        <w:rPr>
          <w:rFonts w:eastAsia="Helvetica Neue" w:cstheme="minorHAnsi"/>
        </w:rPr>
        <w:t>114.58</w:t>
      </w:r>
      <w:r w:rsidRPr="00482F10">
        <w:rPr>
          <w:rFonts w:eastAsia="Helvetica Neue" w:cstheme="minorHAnsi"/>
        </w:rPr>
        <w:t xml:space="preserve"> </w:t>
      </w:r>
      <w:r w:rsidRPr="00482F10">
        <w:rPr>
          <w:rFonts w:eastAsia="Helvetica Neue" w:cstheme="minorHAnsi"/>
          <w:color w:val="000000"/>
        </w:rPr>
        <w:t xml:space="preserve">million hectares are adopted from 2020-2050. </w:t>
      </w:r>
    </w:p>
    <w:p w14:paraId="71793B5B" w14:textId="0FC1D972" w:rsidR="00341625" w:rsidRPr="00482F10" w:rsidRDefault="00341625" w:rsidP="00341625">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Drawdown</w:t>
      </w:r>
      <w:r w:rsidRPr="00482F10">
        <w:rPr>
          <w:rFonts w:eastAsia="Helvetica Neue" w:cstheme="minorHAnsi"/>
          <w:color w:val="000000"/>
        </w:rPr>
        <w:t xml:space="preserve"> Scenario is </w:t>
      </w:r>
      <w:r w:rsidR="00576AE8" w:rsidRPr="00576AE8">
        <w:rPr>
          <w:rFonts w:eastAsia="Helvetica Neue" w:cstheme="minorHAnsi"/>
          <w:color w:val="000000"/>
        </w:rPr>
        <w:t xml:space="preserve">476.77 </w:t>
      </w:r>
      <w:r w:rsidRPr="00482F10">
        <w:rPr>
          <w:rFonts w:eastAsia="Helvetica Neue" w:cstheme="minorHAnsi"/>
          <w:color w:val="000000"/>
        </w:rPr>
        <w:t xml:space="preserve">million hectares in 2050, representing </w:t>
      </w:r>
      <w:r w:rsidR="00EA6720">
        <w:rPr>
          <w:rFonts w:eastAsia="Helvetica Neue" w:cstheme="minorHAnsi"/>
          <w:color w:val="000000"/>
        </w:rPr>
        <w:t>95</w:t>
      </w:r>
      <w:r w:rsidRPr="00482F10">
        <w:rPr>
          <w:rFonts w:eastAsia="Helvetica Neue" w:cstheme="minorHAnsi"/>
          <w:color w:val="000000"/>
        </w:rPr>
        <w:t xml:space="preserve"> percent of the total suitable land. Of this, </w:t>
      </w:r>
      <w:r w:rsidR="00EA6720">
        <w:rPr>
          <w:rFonts w:eastAsia="Helvetica Neue" w:cstheme="minorHAnsi"/>
          <w:color w:val="000000"/>
        </w:rPr>
        <w:t>1</w:t>
      </w:r>
      <w:r w:rsidR="00576AE8">
        <w:rPr>
          <w:rFonts w:eastAsia="Helvetica Neue" w:cstheme="minorHAnsi"/>
          <w:color w:val="000000"/>
        </w:rPr>
        <w:t xml:space="preserve">86.31 </w:t>
      </w:r>
      <w:r w:rsidRPr="00482F10">
        <w:rPr>
          <w:rFonts w:eastAsia="Helvetica Neue" w:cstheme="minorHAnsi"/>
          <w:color w:val="000000"/>
        </w:rPr>
        <w:t xml:space="preserve">million hectares are adopted from 2020-2050. </w:t>
      </w:r>
    </w:p>
    <w:p w14:paraId="4D63FADF" w14:textId="45BCB29E" w:rsidR="00341625" w:rsidRPr="00D45F43" w:rsidRDefault="00341625" w:rsidP="00D45F43">
      <w:pPr>
        <w:shd w:val="clear" w:color="auto" w:fill="FFFFFF"/>
        <w:spacing w:after="180"/>
        <w:rPr>
          <w:rFonts w:eastAsia="Helvetica Neue" w:cstheme="minorHAnsi"/>
          <w:color w:val="000000"/>
        </w:rPr>
      </w:pPr>
      <w:r w:rsidRPr="00482F10">
        <w:rPr>
          <w:rFonts w:eastAsia="Helvetica Neue" w:cstheme="minorHAnsi"/>
          <w:color w:val="000000"/>
        </w:rPr>
        <w:t>Total adoption in the </w:t>
      </w:r>
      <w:r w:rsidRPr="00482F10">
        <w:rPr>
          <w:rFonts w:eastAsia="Helvetica Neue" w:cstheme="minorHAnsi"/>
          <w:i/>
          <w:color w:val="000000"/>
        </w:rPr>
        <w:t>Optimum</w:t>
      </w:r>
      <w:r w:rsidRPr="00482F10">
        <w:rPr>
          <w:rFonts w:eastAsia="Helvetica Neue" w:cstheme="minorHAnsi"/>
          <w:color w:val="000000"/>
        </w:rPr>
        <w:t xml:space="preserve"> Scenario is </w:t>
      </w:r>
      <w:r w:rsidR="00576AE8" w:rsidRPr="00576AE8">
        <w:rPr>
          <w:rFonts w:eastAsia="Helvetica Neue" w:cstheme="minorHAnsi"/>
          <w:color w:val="000000"/>
        </w:rPr>
        <w:t xml:space="preserve">476.77 </w:t>
      </w:r>
      <w:r w:rsidRPr="00482F10">
        <w:rPr>
          <w:rFonts w:eastAsia="Helvetica Neue" w:cstheme="minorHAnsi"/>
          <w:color w:val="000000"/>
        </w:rPr>
        <w:t xml:space="preserve">million hectares in 2050, representing </w:t>
      </w:r>
      <w:r w:rsidR="00EA6720">
        <w:rPr>
          <w:rFonts w:eastAsia="Helvetica Neue" w:cstheme="minorHAnsi"/>
          <w:color w:val="000000"/>
        </w:rPr>
        <w:t>100</w:t>
      </w:r>
      <w:r w:rsidRPr="00482F10">
        <w:rPr>
          <w:rFonts w:eastAsia="Helvetica Neue" w:cstheme="minorHAnsi"/>
          <w:color w:val="000000"/>
        </w:rPr>
        <w:t xml:space="preserve"> percent of the total suitable land. Of this, </w:t>
      </w:r>
      <w:r w:rsidR="00576AE8">
        <w:rPr>
          <w:rFonts w:eastAsia="Helvetica Neue" w:cstheme="minorHAnsi"/>
          <w:color w:val="000000"/>
        </w:rPr>
        <w:t xml:space="preserve">186.31 </w:t>
      </w:r>
      <w:r w:rsidRPr="00482F10">
        <w:rPr>
          <w:rFonts w:eastAsia="Helvetica Neue" w:cstheme="minorHAnsi"/>
          <w:color w:val="000000"/>
        </w:rPr>
        <w:t xml:space="preserve">million hectares are adopted from 2020-2050. </w:t>
      </w:r>
    </w:p>
    <w:p w14:paraId="21183A78" w14:textId="668751C8" w:rsidR="008D1491" w:rsidRPr="00D45F43" w:rsidRDefault="008D1491" w:rsidP="00D45F43">
      <w:pPr>
        <w:shd w:val="clear" w:color="auto" w:fill="FFFFFF"/>
        <w:spacing w:after="180" w:line="240" w:lineRule="auto"/>
        <w:rPr>
          <w:b/>
          <w:i/>
          <w:sz w:val="20"/>
        </w:rPr>
      </w:pPr>
      <w:bookmarkStart w:id="42" w:name="_Toc18443158"/>
      <w:r w:rsidRPr="00D45F4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3</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1</w:t>
      </w:r>
      <w:r w:rsidR="00172CCC">
        <w:rPr>
          <w:b/>
          <w:i/>
          <w:sz w:val="20"/>
        </w:rPr>
        <w:fldChar w:fldCharType="end"/>
      </w:r>
      <w:r w:rsidRPr="00D45F43">
        <w:rPr>
          <w:b/>
          <w:i/>
          <w:sz w:val="20"/>
        </w:rPr>
        <w:t xml:space="preserve"> </w:t>
      </w:r>
      <w:r w:rsidR="005C77F5" w:rsidRPr="00D45F43">
        <w:rPr>
          <w:b/>
          <w:i/>
          <w:sz w:val="20"/>
        </w:rPr>
        <w:t xml:space="preserve">World </w:t>
      </w:r>
      <w:r w:rsidRPr="00D45F43">
        <w:rPr>
          <w:b/>
          <w:i/>
          <w:sz w:val="20"/>
        </w:rPr>
        <w:t>Adoption</w:t>
      </w:r>
      <w:r w:rsidR="005C77F5" w:rsidRPr="00D45F43">
        <w:rPr>
          <w:b/>
          <w:i/>
          <w:sz w:val="20"/>
        </w:rPr>
        <w:t xml:space="preserve"> of the Solution</w:t>
      </w:r>
      <w:bookmarkEnd w:id="4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25665941"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32353F"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576AE8" w:rsidRPr="008D1491" w14:paraId="305C72A7" w14:textId="77777777" w:rsidTr="00576AE8">
        <w:trPr>
          <w:trHeight w:val="840"/>
        </w:trPr>
        <w:tc>
          <w:tcPr>
            <w:tcW w:w="1951" w:type="dxa"/>
            <w:vMerge w:val="restart"/>
            <w:vAlign w:val="center"/>
          </w:tcPr>
          <w:p w14:paraId="2B8FFE1B" w14:textId="16396974" w:rsidR="00576AE8" w:rsidRPr="008D1491" w:rsidRDefault="00576AE8" w:rsidP="00576AE8">
            <w:pPr>
              <w:jc w:val="center"/>
              <w:rPr>
                <w:sz w:val="20"/>
                <w:szCs w:val="20"/>
              </w:rPr>
            </w:pPr>
            <w:r>
              <w:rPr>
                <w:sz w:val="20"/>
                <w:szCs w:val="20"/>
              </w:rPr>
              <w:t>Afforestation</w:t>
            </w:r>
          </w:p>
        </w:tc>
        <w:tc>
          <w:tcPr>
            <w:tcW w:w="1730" w:type="dxa"/>
            <w:vAlign w:val="center"/>
          </w:tcPr>
          <w:p w14:paraId="5BDA7373" w14:textId="7A13D18D" w:rsidR="00576AE8" w:rsidRPr="00341625" w:rsidRDefault="00576AE8" w:rsidP="00576AE8">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2B4D33DD" w:rsidR="00576AE8" w:rsidRPr="00576AE8" w:rsidRDefault="00576AE8" w:rsidP="00576AE8">
            <w:pPr>
              <w:jc w:val="center"/>
              <w:rPr>
                <w:rFonts w:cstheme="minorHAnsi"/>
                <w:bCs/>
                <w:sz w:val="20"/>
                <w:szCs w:val="20"/>
              </w:rPr>
            </w:pPr>
            <w:r w:rsidRPr="00576AE8">
              <w:rPr>
                <w:sz w:val="20"/>
                <w:szCs w:val="20"/>
              </w:rPr>
              <w:t xml:space="preserve"> 290.46 </w:t>
            </w:r>
          </w:p>
        </w:tc>
        <w:tc>
          <w:tcPr>
            <w:tcW w:w="1417" w:type="dxa"/>
            <w:vAlign w:val="center"/>
          </w:tcPr>
          <w:p w14:paraId="2A8FE7A2" w14:textId="553B29F0" w:rsidR="00576AE8" w:rsidRPr="00576AE8" w:rsidRDefault="00576AE8" w:rsidP="00576AE8">
            <w:pPr>
              <w:jc w:val="center"/>
              <w:rPr>
                <w:rFonts w:cstheme="minorHAnsi"/>
                <w:bCs/>
                <w:sz w:val="20"/>
                <w:szCs w:val="20"/>
              </w:rPr>
            </w:pPr>
            <w:r w:rsidRPr="00576AE8">
              <w:rPr>
                <w:sz w:val="20"/>
                <w:szCs w:val="20"/>
              </w:rPr>
              <w:t>114.58</w:t>
            </w:r>
          </w:p>
        </w:tc>
        <w:tc>
          <w:tcPr>
            <w:tcW w:w="1559" w:type="dxa"/>
            <w:vAlign w:val="center"/>
          </w:tcPr>
          <w:p w14:paraId="79EE8DDC" w14:textId="6DDAD5EF" w:rsidR="00576AE8" w:rsidRPr="00576AE8" w:rsidRDefault="00576AE8" w:rsidP="00576AE8">
            <w:pPr>
              <w:jc w:val="center"/>
              <w:rPr>
                <w:rFonts w:cstheme="minorHAnsi"/>
                <w:bCs/>
                <w:sz w:val="20"/>
                <w:szCs w:val="20"/>
              </w:rPr>
            </w:pPr>
            <w:r w:rsidRPr="00576AE8">
              <w:rPr>
                <w:sz w:val="20"/>
                <w:szCs w:val="20"/>
              </w:rPr>
              <w:t>186.31</w:t>
            </w:r>
          </w:p>
        </w:tc>
        <w:tc>
          <w:tcPr>
            <w:tcW w:w="1284" w:type="dxa"/>
            <w:vAlign w:val="center"/>
          </w:tcPr>
          <w:p w14:paraId="5B002A1D" w14:textId="713BFDD4" w:rsidR="00576AE8" w:rsidRPr="00576AE8" w:rsidRDefault="00576AE8" w:rsidP="00576AE8">
            <w:pPr>
              <w:jc w:val="center"/>
              <w:rPr>
                <w:rFonts w:cstheme="minorHAnsi"/>
                <w:bCs/>
                <w:sz w:val="20"/>
                <w:szCs w:val="20"/>
              </w:rPr>
            </w:pPr>
            <w:r w:rsidRPr="00576AE8">
              <w:rPr>
                <w:sz w:val="20"/>
                <w:szCs w:val="20"/>
              </w:rPr>
              <w:t>186.31</w:t>
            </w:r>
          </w:p>
        </w:tc>
      </w:tr>
      <w:tr w:rsidR="00576AE8" w:rsidRPr="008D1491" w14:paraId="59E1863D" w14:textId="77777777" w:rsidTr="00576AE8">
        <w:trPr>
          <w:trHeight w:val="32"/>
        </w:trPr>
        <w:tc>
          <w:tcPr>
            <w:tcW w:w="1951" w:type="dxa"/>
            <w:vMerge/>
            <w:vAlign w:val="center"/>
          </w:tcPr>
          <w:p w14:paraId="518ED63B" w14:textId="77777777" w:rsidR="00576AE8" w:rsidRDefault="00576AE8" w:rsidP="00576AE8">
            <w:pPr>
              <w:jc w:val="center"/>
              <w:rPr>
                <w:sz w:val="20"/>
                <w:szCs w:val="20"/>
              </w:rPr>
            </w:pPr>
          </w:p>
        </w:tc>
        <w:tc>
          <w:tcPr>
            <w:tcW w:w="1730" w:type="dxa"/>
            <w:vAlign w:val="center"/>
          </w:tcPr>
          <w:p w14:paraId="2352B4C1" w14:textId="73B014A0" w:rsidR="00576AE8" w:rsidRPr="005C77F5" w:rsidRDefault="00576AE8" w:rsidP="00576AE8">
            <w:pPr>
              <w:jc w:val="center"/>
              <w:rPr>
                <w:rFonts w:cstheme="minorHAnsi"/>
                <w:bCs/>
                <w:color w:val="000000" w:themeColor="text1"/>
                <w:sz w:val="20"/>
                <w:szCs w:val="20"/>
              </w:rPr>
            </w:pPr>
            <w:r>
              <w:rPr>
                <w:rFonts w:cstheme="minorHAnsi"/>
                <w:bCs/>
                <w:color w:val="000000" w:themeColor="text1"/>
                <w:sz w:val="20"/>
                <w:szCs w:val="20"/>
              </w:rPr>
              <w:t>% Total Land Available</w:t>
            </w:r>
          </w:p>
        </w:tc>
        <w:tc>
          <w:tcPr>
            <w:tcW w:w="1276" w:type="dxa"/>
            <w:vAlign w:val="center"/>
          </w:tcPr>
          <w:p w14:paraId="4FD03435" w14:textId="126E43A2" w:rsidR="00576AE8" w:rsidRPr="00576AE8" w:rsidRDefault="00576AE8" w:rsidP="00576AE8">
            <w:pPr>
              <w:jc w:val="center"/>
              <w:rPr>
                <w:rFonts w:cstheme="minorHAnsi"/>
                <w:bCs/>
                <w:sz w:val="20"/>
                <w:szCs w:val="20"/>
              </w:rPr>
            </w:pPr>
            <w:r w:rsidRPr="00576AE8">
              <w:rPr>
                <w:sz w:val="20"/>
                <w:szCs w:val="20"/>
              </w:rPr>
              <w:t>50%</w:t>
            </w:r>
          </w:p>
        </w:tc>
        <w:tc>
          <w:tcPr>
            <w:tcW w:w="1417" w:type="dxa"/>
            <w:vAlign w:val="center"/>
          </w:tcPr>
          <w:p w14:paraId="34CAFB53" w14:textId="5012C7AE" w:rsidR="00576AE8" w:rsidRPr="00576AE8" w:rsidRDefault="00576AE8" w:rsidP="00576AE8">
            <w:pPr>
              <w:jc w:val="center"/>
              <w:rPr>
                <w:rFonts w:cstheme="minorHAnsi"/>
                <w:bCs/>
                <w:sz w:val="20"/>
                <w:szCs w:val="20"/>
              </w:rPr>
            </w:pPr>
            <w:r w:rsidRPr="00576AE8">
              <w:rPr>
                <w:sz w:val="20"/>
                <w:szCs w:val="20"/>
              </w:rPr>
              <w:t>70%</w:t>
            </w:r>
          </w:p>
        </w:tc>
        <w:tc>
          <w:tcPr>
            <w:tcW w:w="1559" w:type="dxa"/>
            <w:vAlign w:val="center"/>
          </w:tcPr>
          <w:p w14:paraId="43B375D1" w14:textId="760CA53E" w:rsidR="00576AE8" w:rsidRPr="00576AE8" w:rsidRDefault="00576AE8" w:rsidP="00576AE8">
            <w:pPr>
              <w:jc w:val="center"/>
              <w:rPr>
                <w:rFonts w:cstheme="minorHAnsi"/>
                <w:bCs/>
                <w:sz w:val="20"/>
                <w:szCs w:val="20"/>
              </w:rPr>
            </w:pPr>
            <w:r w:rsidRPr="00576AE8">
              <w:rPr>
                <w:sz w:val="20"/>
                <w:szCs w:val="20"/>
              </w:rPr>
              <w:t>82%</w:t>
            </w:r>
          </w:p>
        </w:tc>
        <w:tc>
          <w:tcPr>
            <w:tcW w:w="1284" w:type="dxa"/>
            <w:vAlign w:val="center"/>
          </w:tcPr>
          <w:p w14:paraId="7641EB01" w14:textId="609D7018" w:rsidR="00576AE8" w:rsidRPr="00576AE8" w:rsidRDefault="00576AE8" w:rsidP="00576AE8">
            <w:pPr>
              <w:jc w:val="center"/>
              <w:rPr>
                <w:rFonts w:cstheme="minorHAnsi"/>
                <w:bCs/>
                <w:sz w:val="20"/>
                <w:szCs w:val="20"/>
              </w:rPr>
            </w:pPr>
            <w:r w:rsidRPr="00576AE8">
              <w:rPr>
                <w:sz w:val="20"/>
                <w:szCs w:val="20"/>
              </w:rPr>
              <w:t>82%</w:t>
            </w:r>
          </w:p>
        </w:tc>
      </w:tr>
    </w:tbl>
    <w:p w14:paraId="2902D29C" w14:textId="77777777" w:rsidR="00497BBE" w:rsidRDefault="00497BBE" w:rsidP="00497BBE">
      <w:pPr>
        <w:pStyle w:val="Caption"/>
        <w:jc w:val="left"/>
      </w:pPr>
    </w:p>
    <w:p w14:paraId="1CBB0DFC" w14:textId="5645CBAC" w:rsidR="00497BBE" w:rsidRDefault="00576AE8" w:rsidP="00576AE8">
      <w:pPr>
        <w:pStyle w:val="Caption"/>
        <w:jc w:val="center"/>
      </w:pPr>
      <w:r>
        <w:rPr>
          <w:noProof/>
        </w:rPr>
        <w:lastRenderedPageBreak/>
        <w:drawing>
          <wp:inline distT="0" distB="0" distL="0" distR="0" wp14:anchorId="25BB9E0B" wp14:editId="47CFB89D">
            <wp:extent cx="4832350" cy="3710430"/>
            <wp:effectExtent l="0" t="0" r="6350" b="4445"/>
            <wp:docPr id="1" name="Chart 1">
              <a:extLst xmlns:a="http://schemas.openxmlformats.org/drawingml/2006/main">
                <a:ext uri="{FF2B5EF4-FFF2-40B4-BE49-F238E27FC236}">
                  <a16:creationId xmlns:a16="http://schemas.microsoft.com/office/drawing/2014/main" id="{6217B05D-55C6-48A0-BA64-DA709B198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310226" w14:textId="74110BA7" w:rsidR="00576AE8" w:rsidRPr="00576AE8" w:rsidRDefault="00576AE8" w:rsidP="00576AE8">
      <w:pPr>
        <w:jc w:val="center"/>
      </w:pPr>
      <w:r>
        <w:rPr>
          <w:noProof/>
        </w:rPr>
        <w:drawing>
          <wp:inline distT="0" distB="0" distL="0" distR="0" wp14:anchorId="4CF90173" wp14:editId="07B97551">
            <wp:extent cx="4871357" cy="3636648"/>
            <wp:effectExtent l="0" t="0" r="5715" b="1905"/>
            <wp:docPr id="3" name="Chart 3">
              <a:extLst xmlns:a="http://schemas.openxmlformats.org/drawingml/2006/main">
                <a:ext uri="{FF2B5EF4-FFF2-40B4-BE49-F238E27FC236}">
                  <a16:creationId xmlns:a16="http://schemas.microsoft.com/office/drawing/2014/main" id="{BCB52B55-F462-4272-8F07-8B80CA1F91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B38D2C" w14:textId="692F01BF" w:rsidR="00762877" w:rsidRPr="00D45F43" w:rsidRDefault="00497BBE" w:rsidP="00D45F43">
      <w:pPr>
        <w:shd w:val="clear" w:color="auto" w:fill="FFFFFF"/>
        <w:spacing w:after="180" w:line="240" w:lineRule="auto"/>
        <w:rPr>
          <w:b/>
          <w:i/>
          <w:sz w:val="20"/>
        </w:rPr>
      </w:pPr>
      <w:bookmarkStart w:id="43" w:name="_Toc18443109"/>
      <w:r w:rsidRPr="00D45F43">
        <w:rPr>
          <w:b/>
          <w:i/>
          <w:sz w:val="20"/>
        </w:rPr>
        <w:t xml:space="preserve">Figure </w:t>
      </w:r>
      <w:r w:rsidRPr="00D45F43">
        <w:rPr>
          <w:b/>
          <w:i/>
          <w:sz w:val="20"/>
        </w:rPr>
        <w:fldChar w:fldCharType="begin"/>
      </w:r>
      <w:r w:rsidRPr="00D45F43">
        <w:rPr>
          <w:b/>
          <w:i/>
          <w:sz w:val="20"/>
        </w:rPr>
        <w:instrText xml:space="preserve"> STYLEREF 1 \s </w:instrText>
      </w:r>
      <w:r w:rsidRPr="00D45F43">
        <w:rPr>
          <w:b/>
          <w:i/>
          <w:sz w:val="20"/>
        </w:rPr>
        <w:fldChar w:fldCharType="separate"/>
      </w:r>
      <w:r w:rsidR="00636BAC">
        <w:rPr>
          <w:b/>
          <w:i/>
          <w:noProof/>
          <w:sz w:val="20"/>
        </w:rPr>
        <w:t>3</w:t>
      </w:r>
      <w:r w:rsidRPr="00D45F43">
        <w:rPr>
          <w:b/>
          <w:i/>
          <w:sz w:val="20"/>
        </w:rPr>
        <w:fldChar w:fldCharType="end"/>
      </w:r>
      <w:r w:rsidRPr="00D45F43">
        <w:rPr>
          <w:b/>
          <w:i/>
          <w:sz w:val="20"/>
        </w:rPr>
        <w:t>.</w:t>
      </w:r>
      <w:r w:rsidRPr="00D45F43">
        <w:rPr>
          <w:b/>
          <w:i/>
          <w:sz w:val="20"/>
        </w:rPr>
        <w:fldChar w:fldCharType="begin"/>
      </w:r>
      <w:r w:rsidRPr="00D45F43">
        <w:rPr>
          <w:b/>
          <w:i/>
          <w:sz w:val="20"/>
        </w:rPr>
        <w:instrText xml:space="preserve"> SEQ Figure \* ARABIC \s 1 </w:instrText>
      </w:r>
      <w:r w:rsidRPr="00D45F43">
        <w:rPr>
          <w:b/>
          <w:i/>
          <w:sz w:val="20"/>
        </w:rPr>
        <w:fldChar w:fldCharType="separate"/>
      </w:r>
      <w:r w:rsidR="00636BAC">
        <w:rPr>
          <w:b/>
          <w:i/>
          <w:noProof/>
          <w:sz w:val="20"/>
        </w:rPr>
        <w:t>1</w:t>
      </w:r>
      <w:r w:rsidRPr="00D45F43">
        <w:rPr>
          <w:b/>
          <w:i/>
          <w:sz w:val="20"/>
        </w:rPr>
        <w:fldChar w:fldCharType="end"/>
      </w:r>
      <w:r w:rsidRPr="00D45F43">
        <w:rPr>
          <w:b/>
          <w:i/>
          <w:sz w:val="20"/>
        </w:rPr>
        <w:t xml:space="preserve"> World Annual Adoption 2020-2050 in Mha (a) and as a percentage of TLA (b).</w:t>
      </w:r>
      <w:bookmarkEnd w:id="43"/>
    </w:p>
    <w:p w14:paraId="6B6F22E7" w14:textId="19002B27" w:rsidR="003A7929" w:rsidRDefault="551A77D0" w:rsidP="001D6F00">
      <w:pPr>
        <w:pStyle w:val="Heading2"/>
        <w:numPr>
          <w:ilvl w:val="1"/>
          <w:numId w:val="4"/>
        </w:numPr>
      </w:pPr>
      <w:bookmarkStart w:id="44" w:name="_Toc18443102"/>
      <w:r w:rsidRPr="551A77D0">
        <w:lastRenderedPageBreak/>
        <w:t>Climate Impacts</w:t>
      </w:r>
      <w:bookmarkEnd w:id="44"/>
    </w:p>
    <w:p w14:paraId="61041E32" w14:textId="77777777" w:rsidR="0032353F" w:rsidRPr="00B9196D" w:rsidRDefault="0032353F" w:rsidP="00DB4CC8">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60CCD8B2" w14:textId="071544DD" w:rsidR="00FE712D" w:rsidRPr="00304550" w:rsidRDefault="0067661A" w:rsidP="00FE712D">
      <w:pPr>
        <w:shd w:val="clear" w:color="auto" w:fill="FFFFFF"/>
        <w:spacing w:after="180"/>
        <w:rPr>
          <w:rFonts w:eastAsia="Helvetica Neue" w:cstheme="minorHAnsi"/>
          <w:color w:val="000000"/>
        </w:rPr>
      </w:pPr>
      <w:r>
        <w:rPr>
          <w:rFonts w:eastAsia="Helvetica Neue" w:cstheme="minorHAnsi"/>
          <w:color w:val="000000"/>
        </w:rPr>
        <w:t xml:space="preserve">Carbon </w:t>
      </w:r>
      <w:r w:rsidRPr="00304550">
        <w:rPr>
          <w:rFonts w:eastAsia="Helvetica Neue" w:cstheme="minorHAnsi"/>
          <w:color w:val="000000"/>
        </w:rPr>
        <w:t>sequestration</w:t>
      </w:r>
      <w:r w:rsidR="00FE712D" w:rsidRPr="00304550">
        <w:rPr>
          <w:rFonts w:eastAsia="Helvetica Neue" w:cstheme="minorHAnsi"/>
          <w:color w:val="000000"/>
        </w:rPr>
        <w:t xml:space="preserve"> impact is</w:t>
      </w:r>
      <w:r w:rsidR="00F52A24" w:rsidRPr="00F52A24">
        <w:rPr>
          <w:rFonts w:eastAsia="Helvetica Neue" w:cstheme="minorHAnsi"/>
          <w:color w:val="000000"/>
        </w:rPr>
        <w:t xml:space="preserve"> 22.32</w:t>
      </w:r>
      <w:r w:rsidR="00F52A24">
        <w:rPr>
          <w:rFonts w:eastAsia="Helvetica Neue" w:cstheme="minorHAnsi"/>
          <w:color w:val="000000"/>
        </w:rPr>
        <w:t xml:space="preserve">, </w:t>
      </w:r>
      <w:r w:rsidR="00F52A24" w:rsidRPr="00F52A24">
        <w:rPr>
          <w:rFonts w:eastAsia="Helvetica Neue" w:cstheme="minorHAnsi"/>
          <w:color w:val="000000"/>
        </w:rPr>
        <w:t>43.63</w:t>
      </w:r>
      <w:r w:rsidR="00F52A24">
        <w:rPr>
          <w:rFonts w:eastAsia="Helvetica Neue" w:cstheme="minorHAnsi"/>
          <w:color w:val="000000"/>
        </w:rPr>
        <w:t xml:space="preserve">, and </w:t>
      </w:r>
      <w:r w:rsidR="00F52A24" w:rsidRPr="00F52A24">
        <w:rPr>
          <w:rFonts w:eastAsia="Helvetica Neue" w:cstheme="minorHAnsi"/>
          <w:color w:val="000000"/>
        </w:rPr>
        <w:t xml:space="preserve">44.69 </w:t>
      </w:r>
      <w:r w:rsidR="00FE712D" w:rsidRPr="00304550">
        <w:rPr>
          <w:rFonts w:eastAsia="Helvetica Neue" w:cstheme="minorHAnsi"/>
          <w:color w:val="000000"/>
        </w:rPr>
        <w:t xml:space="preserve">gigatons of carbon-dioxide equivalent in the </w:t>
      </w:r>
      <w:r w:rsidR="00FE712D" w:rsidRPr="00304550">
        <w:rPr>
          <w:rFonts w:eastAsia="Helvetica Neue" w:cstheme="minorHAnsi"/>
          <w:i/>
          <w:color w:val="000000"/>
        </w:rPr>
        <w:t xml:space="preserve">Plausible, Drawdown, </w:t>
      </w:r>
      <w:r w:rsidR="00FE712D" w:rsidRPr="00304550">
        <w:rPr>
          <w:rFonts w:eastAsia="Helvetica Neue" w:cstheme="minorHAnsi"/>
          <w:color w:val="000000"/>
        </w:rPr>
        <w:t xml:space="preserve">and </w:t>
      </w:r>
      <w:r w:rsidR="00FE712D" w:rsidRPr="00304550">
        <w:rPr>
          <w:rFonts w:eastAsia="Helvetica Neue" w:cstheme="minorHAnsi"/>
          <w:i/>
          <w:color w:val="000000"/>
        </w:rPr>
        <w:t>Optimum</w:t>
      </w:r>
      <w:r w:rsidR="00FE712D" w:rsidRPr="00304550">
        <w:rPr>
          <w:rFonts w:eastAsia="Helvetica Neue" w:cstheme="minorHAnsi"/>
          <w:color w:val="000000"/>
        </w:rPr>
        <w:t xml:space="preserve"> Scenarios respectively.</w:t>
      </w:r>
    </w:p>
    <w:p w14:paraId="52E48BE0" w14:textId="18536891" w:rsidR="00B261E0" w:rsidRDefault="00B261E0" w:rsidP="00DB4CC8">
      <w:pPr>
        <w:spacing w:after="0"/>
        <w:rPr>
          <w:rFonts w:cstheme="minorHAnsi"/>
          <w:b/>
          <w:bCs/>
          <w:i/>
        </w:rPr>
      </w:pPr>
    </w:p>
    <w:p w14:paraId="4DA2B4CB" w14:textId="593B087D" w:rsidR="00762877" w:rsidRPr="00D45F43" w:rsidRDefault="0066753A" w:rsidP="00D45F43">
      <w:pPr>
        <w:shd w:val="clear" w:color="auto" w:fill="FFFFFF"/>
        <w:spacing w:after="180" w:line="240" w:lineRule="auto"/>
        <w:rPr>
          <w:b/>
          <w:i/>
          <w:sz w:val="20"/>
        </w:rPr>
      </w:pPr>
      <w:bookmarkStart w:id="45" w:name="_Toc18443159"/>
      <w:r w:rsidRPr="00D45F4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3</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2</w:t>
      </w:r>
      <w:r w:rsidR="00172CCC">
        <w:rPr>
          <w:b/>
          <w:i/>
          <w:sz w:val="20"/>
        </w:rPr>
        <w:fldChar w:fldCharType="end"/>
      </w:r>
      <w:r w:rsidRPr="00D45F43">
        <w:rPr>
          <w:b/>
          <w:i/>
          <w:sz w:val="20"/>
        </w:rPr>
        <w:t xml:space="preserve"> Climate Impacts</w:t>
      </w:r>
      <w:bookmarkEnd w:id="45"/>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F52A24"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F52A24" w:rsidRPr="006B675D" w:rsidRDefault="00F52A24" w:rsidP="00F52A24">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25735FDB"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-0.40</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791045E5"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-4.81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21A674EE"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1.34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6B8A176B"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27.13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7418ADE1"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22.32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143669D2"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0.69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6D2AFA76"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0.93 </w:t>
            </w:r>
          </w:p>
        </w:tc>
      </w:tr>
      <w:tr w:rsidR="00F52A24" w:rsidRPr="006B675D" w14:paraId="7DCB0C2E" w14:textId="35D5AF3A"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F52A24" w:rsidRPr="006B675D" w:rsidRDefault="00F52A24" w:rsidP="00F52A24">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36947ED3"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-0.92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78DD46F4"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-11.01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08AB7A69"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2.13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4BC9DEA6"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54.63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58A0AB02"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43.63</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7AFAFBCC"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1.63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0F6D1D9B"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1.21 </w:t>
            </w:r>
          </w:p>
        </w:tc>
      </w:tr>
      <w:tr w:rsidR="00F52A24" w:rsidRPr="006B675D" w14:paraId="7CA1AA1B" w14:textId="3D7819CF"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F52A24" w:rsidRPr="006B675D" w:rsidRDefault="00F52A24" w:rsidP="00F52A24">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0FF6AD7E"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-1.02</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36F0D14E"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-11.92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1A0C896B"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2.12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3DB41E05"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56.61</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2EB5BD89"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44.69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1ADF6A2B"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1.78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6A7F8C9F"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 xml:space="preserve"> 1.10 </w:t>
            </w:r>
          </w:p>
        </w:tc>
      </w:tr>
    </w:tbl>
    <w:p w14:paraId="43965544" w14:textId="77777777" w:rsidR="00BB79D6" w:rsidRDefault="00BB79D6" w:rsidP="00DB4CC8">
      <w:pPr>
        <w:pStyle w:val="Caption"/>
      </w:pPr>
      <w:bookmarkStart w:id="46" w:name="_Toc524993443"/>
    </w:p>
    <w:p w14:paraId="54B5EBE5" w14:textId="0058D329" w:rsidR="006B675D" w:rsidRPr="00090E57" w:rsidRDefault="00087D3B" w:rsidP="00090E57">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08816910" w:rsidR="00762877" w:rsidRPr="00D45F43" w:rsidRDefault="003A7929" w:rsidP="00D45F43">
      <w:pPr>
        <w:shd w:val="clear" w:color="auto" w:fill="FFFFFF"/>
        <w:spacing w:after="180" w:line="240" w:lineRule="auto"/>
        <w:rPr>
          <w:b/>
          <w:i/>
          <w:sz w:val="20"/>
        </w:rPr>
      </w:pPr>
      <w:bookmarkStart w:id="47" w:name="_Toc18443160"/>
      <w:r w:rsidRPr="00D45F4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3</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3</w:t>
      </w:r>
      <w:r w:rsidR="00172CCC">
        <w:rPr>
          <w:b/>
          <w:i/>
          <w:sz w:val="20"/>
        </w:rPr>
        <w:fldChar w:fldCharType="end"/>
      </w:r>
      <w:r w:rsidRPr="00D45F43">
        <w:rPr>
          <w:b/>
          <w:i/>
          <w:sz w:val="20"/>
        </w:rPr>
        <w:t xml:space="preserve"> Impacts on Atmospheric Concentrations of CO2-eq</w:t>
      </w:r>
      <w:bookmarkEnd w:id="46"/>
      <w:bookmarkEnd w:id="47"/>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F52A24" w:rsidRPr="0066753A" w14:paraId="4F4161D1" w14:textId="77777777" w:rsidTr="00F52A24">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F52A24" w:rsidRPr="0066753A" w:rsidRDefault="00F52A24" w:rsidP="00F52A24">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12F7F74C"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1.83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46041F21"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0.07</w:t>
            </w:r>
          </w:p>
        </w:tc>
      </w:tr>
      <w:tr w:rsidR="00F52A24" w:rsidRPr="0066753A" w14:paraId="389D5E87" w14:textId="77777777" w:rsidTr="00F52A24">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F52A24" w:rsidRPr="0066753A" w:rsidRDefault="00F52A24" w:rsidP="00F52A24">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lastRenderedPageBreak/>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6EE9459" w14:textId="51AB2C15"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3.49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9BDFCEF" w14:textId="23F76D44"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0.07</w:t>
            </w:r>
          </w:p>
        </w:tc>
      </w:tr>
      <w:tr w:rsidR="00F52A24" w:rsidRPr="0066753A" w14:paraId="7A2BE5CA" w14:textId="77777777" w:rsidTr="00F52A24">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F52A24" w:rsidRPr="0066753A" w:rsidRDefault="00F52A24" w:rsidP="00F52A24">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CA082F" w14:textId="34BE39B0"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3.54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A8C8CB" w14:textId="2905B459" w:rsidR="00F52A24" w:rsidRPr="00F52A24" w:rsidRDefault="00F52A24" w:rsidP="00F52A24">
            <w:pPr>
              <w:shd w:val="clear" w:color="auto" w:fill="FFFFFF"/>
              <w:spacing w:after="0"/>
              <w:jc w:val="center"/>
              <w:rPr>
                <w:rFonts w:eastAsia="Times New Roman" w:cstheme="minorHAnsi"/>
                <w:color w:val="000000" w:themeColor="text1"/>
                <w:sz w:val="20"/>
                <w:szCs w:val="20"/>
                <w:lang w:eastAsia="zh-CN"/>
              </w:rPr>
            </w:pPr>
            <w:r w:rsidRPr="00F52A24">
              <w:rPr>
                <w:sz w:val="20"/>
                <w:szCs w:val="20"/>
              </w:rPr>
              <w:t>0.06</w:t>
            </w:r>
          </w:p>
        </w:tc>
      </w:tr>
    </w:tbl>
    <w:p w14:paraId="6DD4F749" w14:textId="5DCC7326" w:rsidR="006B675D" w:rsidRDefault="006B675D" w:rsidP="00DB4CC8"/>
    <w:p w14:paraId="5527F725" w14:textId="173F1AA8" w:rsidR="00EA462F" w:rsidRPr="00996E91" w:rsidRDefault="00F52A24" w:rsidP="00EA462F">
      <w:pPr>
        <w:jc w:val="left"/>
        <w:rPr>
          <w:highlight w:val="red"/>
        </w:rPr>
      </w:pPr>
      <w:r>
        <w:rPr>
          <w:noProof/>
        </w:rPr>
        <w:drawing>
          <wp:inline distT="0" distB="0" distL="0" distR="0" wp14:anchorId="6AEE580D" wp14:editId="54B4CD54">
            <wp:extent cx="4538734" cy="3708787"/>
            <wp:effectExtent l="0" t="0" r="14605" b="6350"/>
            <wp:docPr id="4" name="Chart 4">
              <a:extLst xmlns:a="http://schemas.openxmlformats.org/drawingml/2006/main">
                <a:ext uri="{FF2B5EF4-FFF2-40B4-BE49-F238E27FC236}">
                  <a16:creationId xmlns:a16="http://schemas.microsoft.com/office/drawing/2014/main" id="{BB11812A-AAF8-4504-9FD1-E3BE3F5C4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6A60CF" w14:textId="36632B77" w:rsidR="00EA462F" w:rsidRDefault="00EA462F" w:rsidP="00D45F43">
      <w:pPr>
        <w:shd w:val="clear" w:color="auto" w:fill="FFFFFF"/>
        <w:spacing w:after="180" w:line="240" w:lineRule="auto"/>
        <w:rPr>
          <w:b/>
          <w:i/>
          <w:sz w:val="20"/>
        </w:rPr>
      </w:pPr>
      <w:bookmarkStart w:id="48" w:name="_Toc18443110"/>
      <w:r w:rsidRPr="00D45F43">
        <w:rPr>
          <w:b/>
          <w:i/>
          <w:sz w:val="20"/>
        </w:rPr>
        <w:t xml:space="preserve">Figure </w:t>
      </w:r>
      <w:r w:rsidRPr="00D45F43">
        <w:rPr>
          <w:b/>
          <w:i/>
          <w:sz w:val="20"/>
        </w:rPr>
        <w:fldChar w:fldCharType="begin"/>
      </w:r>
      <w:r w:rsidRPr="00D45F43">
        <w:rPr>
          <w:b/>
          <w:i/>
          <w:sz w:val="20"/>
        </w:rPr>
        <w:instrText xml:space="preserve"> STYLEREF 1 \s </w:instrText>
      </w:r>
      <w:r w:rsidRPr="00D45F43">
        <w:rPr>
          <w:b/>
          <w:i/>
          <w:sz w:val="20"/>
        </w:rPr>
        <w:fldChar w:fldCharType="separate"/>
      </w:r>
      <w:r w:rsidR="00636BAC">
        <w:rPr>
          <w:b/>
          <w:i/>
          <w:noProof/>
          <w:sz w:val="20"/>
        </w:rPr>
        <w:t>3</w:t>
      </w:r>
      <w:r w:rsidRPr="00D45F43">
        <w:rPr>
          <w:b/>
          <w:i/>
          <w:sz w:val="20"/>
        </w:rPr>
        <w:fldChar w:fldCharType="end"/>
      </w:r>
      <w:r w:rsidRPr="00D45F43">
        <w:rPr>
          <w:b/>
          <w:i/>
          <w:sz w:val="20"/>
        </w:rPr>
        <w:t>.</w:t>
      </w:r>
      <w:r w:rsidRPr="00D45F43">
        <w:rPr>
          <w:b/>
          <w:i/>
          <w:sz w:val="20"/>
        </w:rPr>
        <w:fldChar w:fldCharType="begin"/>
      </w:r>
      <w:r w:rsidRPr="00D45F43">
        <w:rPr>
          <w:b/>
          <w:i/>
          <w:sz w:val="20"/>
        </w:rPr>
        <w:instrText xml:space="preserve"> SEQ Figure \* ARABIC \s 1 </w:instrText>
      </w:r>
      <w:r w:rsidRPr="00D45F43">
        <w:rPr>
          <w:b/>
          <w:i/>
          <w:sz w:val="20"/>
        </w:rPr>
        <w:fldChar w:fldCharType="separate"/>
      </w:r>
      <w:r w:rsidR="00636BAC">
        <w:rPr>
          <w:b/>
          <w:i/>
          <w:noProof/>
          <w:sz w:val="20"/>
        </w:rPr>
        <w:t>2</w:t>
      </w:r>
      <w:r w:rsidRPr="00D45F43">
        <w:rPr>
          <w:b/>
          <w:i/>
          <w:sz w:val="20"/>
        </w:rPr>
        <w:fldChar w:fldCharType="end"/>
      </w:r>
      <w:r w:rsidRPr="00D45F43">
        <w:rPr>
          <w:b/>
          <w:i/>
          <w:sz w:val="20"/>
        </w:rPr>
        <w:t xml:space="preserve"> World Annual Greenhouse Gas Emissions Reduction</w:t>
      </w:r>
      <w:bookmarkEnd w:id="48"/>
    </w:p>
    <w:p w14:paraId="6737D037" w14:textId="45CC5056" w:rsidR="00F52A24" w:rsidRPr="00F52A24" w:rsidRDefault="00F52A24" w:rsidP="00F52A24">
      <w:pPr>
        <w:shd w:val="clear" w:color="auto" w:fill="FFFFFF"/>
        <w:spacing w:after="180"/>
      </w:pPr>
      <w:r w:rsidRPr="00F52A24">
        <w:t>Note that the negative value in the later phase shows the emissions associated with the end of life of the afforested plantation and there is no new adoption.</w:t>
      </w:r>
    </w:p>
    <w:p w14:paraId="3D9E8A9A" w14:textId="71AD4A99" w:rsidR="00792CF6" w:rsidRPr="00792CF6" w:rsidRDefault="551A77D0" w:rsidP="001D6F00">
      <w:pPr>
        <w:pStyle w:val="Heading2"/>
        <w:numPr>
          <w:ilvl w:val="1"/>
          <w:numId w:val="4"/>
        </w:numPr>
      </w:pPr>
      <w:bookmarkStart w:id="49" w:name="_Toc18443103"/>
      <w:r w:rsidRPr="551A77D0">
        <w:t>Financial Impacts</w:t>
      </w:r>
      <w:bookmarkEnd w:id="49"/>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304AE12C" w14:textId="4B3AFD6F" w:rsidR="00135D11" w:rsidRPr="00135D11" w:rsidRDefault="007631C9" w:rsidP="00135D11">
      <w:pPr>
        <w:shd w:val="clear" w:color="auto" w:fill="FFFFFF"/>
        <w:spacing w:after="180"/>
        <w:rPr>
          <w:rFonts w:eastAsia="Helvetica Neue" w:cstheme="minorHAnsi"/>
          <w:color w:val="000000" w:themeColor="text1"/>
        </w:rPr>
      </w:pPr>
      <w:r w:rsidRPr="00434E96">
        <w:rPr>
          <w:rFonts w:eastAsia="Helvetica Neue" w:cstheme="minorHAnsi"/>
          <w:color w:val="000000" w:themeColor="text1"/>
        </w:rPr>
        <w:lastRenderedPageBreak/>
        <w:t xml:space="preserve">For the </w:t>
      </w:r>
      <w:r w:rsidRPr="00434E96">
        <w:rPr>
          <w:rFonts w:eastAsia="Helvetica Neue" w:cstheme="minorHAnsi"/>
          <w:i/>
          <w:color w:val="000000" w:themeColor="text1"/>
        </w:rPr>
        <w:t xml:space="preserve">Plausible </w:t>
      </w:r>
      <w:r w:rsidRPr="00434E96">
        <w:rPr>
          <w:rFonts w:eastAsia="Helvetica Neue" w:cstheme="minorHAnsi"/>
          <w:color w:val="000000" w:themeColor="text1"/>
        </w:rPr>
        <w:t xml:space="preserve">Scenario, </w:t>
      </w:r>
      <w:r w:rsidR="00B87C7D">
        <w:rPr>
          <w:rFonts w:eastAsia="Helvetica Neue" w:cstheme="minorHAnsi"/>
          <w:color w:val="000000" w:themeColor="text1"/>
        </w:rPr>
        <w:t xml:space="preserve">the </w:t>
      </w:r>
      <w:r w:rsidRPr="00434E96">
        <w:rPr>
          <w:rFonts w:eastAsia="Helvetica Neue" w:cstheme="minorHAnsi"/>
          <w:color w:val="000000" w:themeColor="text1"/>
        </w:rPr>
        <w:t>cumulative first cost</w:t>
      </w:r>
      <w:r w:rsidR="00B87C7D">
        <w:rPr>
          <w:rFonts w:eastAsia="Helvetica Neue" w:cstheme="minorHAnsi"/>
          <w:color w:val="000000" w:themeColor="text1"/>
        </w:rPr>
        <w:t xml:space="preserve"> of adoption</w:t>
      </w:r>
      <w:r w:rsidRPr="00434E96">
        <w:rPr>
          <w:rFonts w:eastAsia="Helvetica Neue" w:cstheme="minorHAnsi"/>
          <w:color w:val="000000" w:themeColor="text1"/>
        </w:rPr>
        <w:t xml:space="preserve"> is US$</w:t>
      </w:r>
      <w:r w:rsidR="00135D11" w:rsidRPr="00135D11">
        <w:t xml:space="preserve"> </w:t>
      </w:r>
      <w:r w:rsidR="00135D11" w:rsidRPr="00135D11">
        <w:rPr>
          <w:rFonts w:eastAsia="Helvetica Neue" w:cstheme="minorHAnsi"/>
          <w:color w:val="000000" w:themeColor="text1"/>
        </w:rPr>
        <w:t>101.00</w:t>
      </w:r>
      <w:r w:rsidR="00135D11">
        <w:rPr>
          <w:rFonts w:eastAsia="Helvetica Neue" w:cstheme="minorHAnsi"/>
          <w:color w:val="000000" w:themeColor="text1"/>
        </w:rPr>
        <w:t xml:space="preserve"> </w:t>
      </w:r>
      <w:r w:rsidRPr="00434E96">
        <w:rPr>
          <w:rFonts w:eastAsia="Helvetica Neue" w:cstheme="minorHAnsi"/>
          <w:color w:val="000000" w:themeColor="text1"/>
        </w:rPr>
        <w:t>billion. Marginal first cost is the same as cumulative first cost. Net operating savings</w:t>
      </w:r>
      <w:r w:rsidR="00B87C7D">
        <w:rPr>
          <w:rFonts w:eastAsia="Helvetica Neue" w:cstheme="minorHAnsi"/>
          <w:color w:val="000000" w:themeColor="text1"/>
        </w:rPr>
        <w:t xml:space="preserve"> are </w:t>
      </w:r>
      <w:r w:rsidRPr="00434E96">
        <w:rPr>
          <w:rFonts w:eastAsia="Helvetica Neue" w:cstheme="minorHAnsi"/>
          <w:color w:val="000000" w:themeColor="text1"/>
        </w:rPr>
        <w:t>US</w:t>
      </w:r>
      <w:r w:rsidR="00135D11">
        <w:rPr>
          <w:rFonts w:eastAsia="Helvetica Neue" w:cstheme="minorHAnsi"/>
          <w:color w:val="000000" w:themeColor="text1"/>
        </w:rPr>
        <w:t>$</w:t>
      </w:r>
      <w:r w:rsidR="00135D11" w:rsidRPr="00135D11">
        <w:rPr>
          <w:rFonts w:eastAsia="Helvetica Neue" w:cstheme="minorHAnsi"/>
          <w:color w:val="000000" w:themeColor="text1"/>
        </w:rPr>
        <w:t>-80.52</w:t>
      </w:r>
    </w:p>
    <w:p w14:paraId="0219ED45" w14:textId="19DE9E3F" w:rsidR="007631C9" w:rsidRPr="00434E96" w:rsidRDefault="007631C9" w:rsidP="00135D11">
      <w:pPr>
        <w:shd w:val="clear" w:color="auto" w:fill="FFFFFF"/>
        <w:spacing w:after="180"/>
        <w:rPr>
          <w:rFonts w:eastAsia="Helvetica Neue" w:cstheme="minorHAnsi"/>
          <w:color w:val="000000" w:themeColor="text1"/>
        </w:rPr>
      </w:pPr>
      <w:r w:rsidRPr="00434E96">
        <w:rPr>
          <w:rFonts w:eastAsia="Helvetica Neue" w:cstheme="minorHAnsi"/>
          <w:color w:val="000000" w:themeColor="text1"/>
        </w:rPr>
        <w:t>billion</w:t>
      </w:r>
      <w:r w:rsidR="00B87C7D">
        <w:rPr>
          <w:rFonts w:eastAsia="Helvetica Neue" w:cstheme="minorHAnsi"/>
          <w:color w:val="000000" w:themeColor="text1"/>
        </w:rPr>
        <w:t xml:space="preserve">, </w:t>
      </w:r>
      <w:r w:rsidR="004B298E">
        <w:rPr>
          <w:rFonts w:eastAsia="Helvetica Neue" w:cstheme="minorHAnsi"/>
          <w:color w:val="000000" w:themeColor="text1"/>
        </w:rPr>
        <w:t xml:space="preserve">and </w:t>
      </w:r>
      <w:r w:rsidR="00B87C7D">
        <w:rPr>
          <w:rFonts w:eastAsia="Helvetica Neue" w:cstheme="minorHAnsi"/>
          <w:color w:val="000000" w:themeColor="text1"/>
        </w:rPr>
        <w:t>the n</w:t>
      </w:r>
      <w:r w:rsidRPr="00434E96">
        <w:rPr>
          <w:rFonts w:eastAsia="Helvetica Neue" w:cstheme="minorHAnsi"/>
          <w:color w:val="000000" w:themeColor="text1"/>
        </w:rPr>
        <w:t xml:space="preserve">et profit margin </w:t>
      </w:r>
      <w:r w:rsidR="00B87C7D">
        <w:rPr>
          <w:rFonts w:eastAsia="Helvetica Neue" w:cstheme="minorHAnsi"/>
          <w:color w:val="000000" w:themeColor="text1"/>
        </w:rPr>
        <w:t xml:space="preserve">and </w:t>
      </w:r>
      <w:r w:rsidR="00B87C7D" w:rsidRPr="00434E96">
        <w:rPr>
          <w:rFonts w:eastAsia="Helvetica Neue" w:cstheme="minorHAnsi"/>
          <w:color w:val="000000" w:themeColor="text1"/>
        </w:rPr>
        <w:t xml:space="preserve">lifetime profit margin </w:t>
      </w:r>
      <w:r w:rsidR="00B87C7D">
        <w:rPr>
          <w:rFonts w:eastAsia="Helvetica Neue" w:cstheme="minorHAnsi"/>
          <w:color w:val="000000" w:themeColor="text1"/>
        </w:rPr>
        <w:t xml:space="preserve">are </w:t>
      </w:r>
      <w:r w:rsidRPr="00434E96">
        <w:rPr>
          <w:rFonts w:eastAsia="Helvetica Neue" w:cstheme="minorHAnsi"/>
          <w:color w:val="000000" w:themeColor="text1"/>
        </w:rPr>
        <w:t>US$</w:t>
      </w:r>
      <w:r w:rsidR="00135D11" w:rsidRPr="00135D11">
        <w:rPr>
          <w:rFonts w:eastAsia="Helvetica Neue" w:cstheme="minorHAnsi"/>
          <w:color w:val="000000" w:themeColor="text1"/>
        </w:rPr>
        <w:t>1320.09</w:t>
      </w:r>
      <w:r w:rsidR="00135D11">
        <w:rPr>
          <w:rFonts w:eastAsia="Helvetica Neue" w:cstheme="minorHAnsi"/>
          <w:color w:val="000000" w:themeColor="text1"/>
        </w:rPr>
        <w:t xml:space="preserve"> </w:t>
      </w:r>
      <w:r w:rsidRPr="00434E96">
        <w:rPr>
          <w:rFonts w:eastAsia="Helvetica Neue" w:cstheme="minorHAnsi"/>
          <w:color w:val="000000" w:themeColor="text1"/>
        </w:rPr>
        <w:t>billion and US$</w:t>
      </w:r>
      <w:r w:rsidR="00135D11" w:rsidRPr="00135D11">
        <w:rPr>
          <w:rFonts w:eastAsia="Helvetica Neue" w:cstheme="minorHAnsi"/>
          <w:color w:val="000000" w:themeColor="text1"/>
        </w:rPr>
        <w:t>2355.92</w:t>
      </w:r>
      <w:r w:rsidR="00135D11">
        <w:rPr>
          <w:rFonts w:eastAsia="Helvetica Neue" w:cstheme="minorHAnsi"/>
          <w:color w:val="000000" w:themeColor="text1"/>
        </w:rPr>
        <w:t xml:space="preserve"> </w:t>
      </w:r>
      <w:r w:rsidR="00B87C7D">
        <w:rPr>
          <w:rFonts w:eastAsia="Helvetica Neue" w:cstheme="minorHAnsi"/>
          <w:color w:val="000000" w:themeColor="text1"/>
        </w:rPr>
        <w:t>respectively</w:t>
      </w:r>
      <w:r w:rsidRPr="00434E96">
        <w:rPr>
          <w:rFonts w:eastAsia="Helvetica Neue" w:cstheme="minorHAnsi"/>
          <w:color w:val="000000" w:themeColor="text1"/>
        </w:rPr>
        <w:t xml:space="preserve">. Lifetime cashflow savings NPV is </w:t>
      </w:r>
      <w:r w:rsidR="0019025A">
        <w:rPr>
          <w:rFonts w:eastAsia="Helvetica Neue" w:cstheme="minorHAnsi"/>
          <w:color w:val="000000" w:themeColor="text1"/>
        </w:rPr>
        <w:t>US</w:t>
      </w:r>
      <w:r w:rsidR="004B298E">
        <w:rPr>
          <w:rFonts w:eastAsia="Helvetica Neue" w:cstheme="minorHAnsi"/>
          <w:color w:val="000000" w:themeColor="text1"/>
        </w:rPr>
        <w:t>$</w:t>
      </w:r>
      <w:r w:rsidR="00135D11" w:rsidRPr="00135D11">
        <w:rPr>
          <w:rFonts w:eastAsia="Helvetica Neue" w:cstheme="minorHAnsi"/>
          <w:color w:val="000000" w:themeColor="text1"/>
        </w:rPr>
        <w:t>-39.69</w:t>
      </w:r>
      <w:r w:rsidRPr="00434E96">
        <w:rPr>
          <w:rFonts w:eastAsia="Helvetica Neue" w:cstheme="minorHAnsi"/>
          <w:color w:val="000000" w:themeColor="text1"/>
        </w:rPr>
        <w:t>.</w:t>
      </w:r>
    </w:p>
    <w:p w14:paraId="09C304A6" w14:textId="53DB29C7" w:rsidR="0019025A" w:rsidRPr="00434E96" w:rsidRDefault="007631C9" w:rsidP="0019025A">
      <w:pPr>
        <w:shd w:val="clear" w:color="auto" w:fill="FFFFFF"/>
        <w:spacing w:after="180"/>
        <w:rPr>
          <w:rFonts w:eastAsia="Helvetica Neue" w:cstheme="minorHAnsi"/>
          <w:color w:val="000000" w:themeColor="text1"/>
        </w:rPr>
      </w:pPr>
      <w:r w:rsidRPr="000A099E">
        <w:rPr>
          <w:rFonts w:eastAsia="Helvetica Neue" w:cstheme="minorHAnsi"/>
          <w:color w:val="000000" w:themeColor="text1"/>
        </w:rPr>
        <w:t xml:space="preserve">For the </w:t>
      </w:r>
      <w:r w:rsidRPr="000A099E">
        <w:rPr>
          <w:rFonts w:eastAsia="Helvetica Neue" w:cstheme="minorHAnsi"/>
          <w:i/>
          <w:color w:val="000000" w:themeColor="text1"/>
        </w:rPr>
        <w:t xml:space="preserve">Drawdown </w:t>
      </w:r>
      <w:r w:rsidRPr="000A099E">
        <w:rPr>
          <w:rFonts w:eastAsia="Helvetica Neue" w:cstheme="minorHAnsi"/>
          <w:color w:val="000000" w:themeColor="text1"/>
        </w:rPr>
        <w:t xml:space="preserve">Scenario, </w:t>
      </w:r>
      <w:r w:rsidR="00AE6228">
        <w:rPr>
          <w:rFonts w:eastAsia="Helvetica Neue" w:cstheme="minorHAnsi"/>
          <w:color w:val="000000" w:themeColor="text1"/>
        </w:rPr>
        <w:t xml:space="preserve">the </w:t>
      </w:r>
      <w:r w:rsidR="00AE6228" w:rsidRPr="00434E96">
        <w:rPr>
          <w:rFonts w:eastAsia="Helvetica Neue" w:cstheme="minorHAnsi"/>
          <w:color w:val="000000" w:themeColor="text1"/>
        </w:rPr>
        <w:t>cumulative first cost</w:t>
      </w:r>
      <w:r w:rsidR="00AE6228">
        <w:rPr>
          <w:rFonts w:eastAsia="Helvetica Neue" w:cstheme="minorHAnsi"/>
          <w:color w:val="000000" w:themeColor="text1"/>
        </w:rPr>
        <w:t xml:space="preserve"> of adoption</w:t>
      </w:r>
      <w:r w:rsidR="00AE6228" w:rsidRPr="00434E96">
        <w:rPr>
          <w:rFonts w:eastAsia="Helvetica Neue" w:cstheme="minorHAnsi"/>
          <w:color w:val="000000" w:themeColor="text1"/>
        </w:rPr>
        <w:t xml:space="preserve"> is US$</w:t>
      </w:r>
      <w:r w:rsidR="00135D11" w:rsidRPr="00135D11">
        <w:rPr>
          <w:rFonts w:eastAsia="Helvetica Neue" w:cstheme="minorHAnsi"/>
          <w:color w:val="000000" w:themeColor="text1"/>
        </w:rPr>
        <w:t>185.04</w:t>
      </w:r>
      <w:r w:rsidR="00AE6228" w:rsidRPr="00434E96">
        <w:rPr>
          <w:rFonts w:eastAsia="Helvetica Neue" w:cstheme="minorHAnsi"/>
          <w:color w:val="000000" w:themeColor="text1"/>
        </w:rPr>
        <w:t xml:space="preserve"> billion. Marginal first cost is the same as cumulative first cost. </w:t>
      </w:r>
      <w:r w:rsidR="0019025A" w:rsidRPr="00434E96">
        <w:rPr>
          <w:rFonts w:eastAsia="Helvetica Neue" w:cstheme="minorHAnsi"/>
          <w:color w:val="000000" w:themeColor="text1"/>
        </w:rPr>
        <w:t>Net operating savings</w:t>
      </w:r>
      <w:r w:rsidR="0019025A">
        <w:rPr>
          <w:rFonts w:eastAsia="Helvetica Neue" w:cstheme="minorHAnsi"/>
          <w:color w:val="000000" w:themeColor="text1"/>
        </w:rPr>
        <w:t xml:space="preserve"> are </w:t>
      </w:r>
      <w:r w:rsidR="0019025A" w:rsidRPr="00434E96">
        <w:rPr>
          <w:rFonts w:eastAsia="Helvetica Neue" w:cstheme="minorHAnsi"/>
          <w:color w:val="000000" w:themeColor="text1"/>
        </w:rPr>
        <w:t>US</w:t>
      </w:r>
      <w:r w:rsidR="00135D11">
        <w:rPr>
          <w:rFonts w:eastAsia="Helvetica Neue" w:cstheme="minorHAnsi"/>
          <w:color w:val="000000" w:themeColor="text1"/>
        </w:rPr>
        <w:t>$</w:t>
      </w:r>
      <w:r w:rsidR="00135D11" w:rsidRPr="00135D11">
        <w:rPr>
          <w:rFonts w:eastAsia="Helvetica Neue" w:cstheme="minorHAnsi"/>
          <w:color w:val="000000" w:themeColor="text1"/>
        </w:rPr>
        <w:t>-270.58</w:t>
      </w:r>
      <w:r w:rsidR="0019025A">
        <w:rPr>
          <w:rFonts w:eastAsia="Helvetica Neue" w:cstheme="minorHAnsi"/>
          <w:color w:val="000000" w:themeColor="text1"/>
        </w:rPr>
        <w:t xml:space="preserve"> </w:t>
      </w:r>
      <w:r w:rsidR="0019025A" w:rsidRPr="00434E96">
        <w:rPr>
          <w:rFonts w:eastAsia="Helvetica Neue" w:cstheme="minorHAnsi"/>
          <w:color w:val="000000" w:themeColor="text1"/>
        </w:rPr>
        <w:t>billion</w:t>
      </w:r>
      <w:r w:rsidR="0019025A">
        <w:rPr>
          <w:rFonts w:eastAsia="Helvetica Neue" w:cstheme="minorHAnsi"/>
          <w:color w:val="000000" w:themeColor="text1"/>
        </w:rPr>
        <w:t>, and the n</w:t>
      </w:r>
      <w:r w:rsidR="0019025A" w:rsidRPr="00434E96">
        <w:rPr>
          <w:rFonts w:eastAsia="Helvetica Neue" w:cstheme="minorHAnsi"/>
          <w:color w:val="000000" w:themeColor="text1"/>
        </w:rPr>
        <w:t xml:space="preserve">et profit margin </w:t>
      </w:r>
      <w:r w:rsidR="0019025A">
        <w:rPr>
          <w:rFonts w:eastAsia="Helvetica Neue" w:cstheme="minorHAnsi"/>
          <w:color w:val="000000" w:themeColor="text1"/>
        </w:rPr>
        <w:t xml:space="preserve">and </w:t>
      </w:r>
      <w:r w:rsidR="0019025A" w:rsidRPr="00434E96">
        <w:rPr>
          <w:rFonts w:eastAsia="Helvetica Neue" w:cstheme="minorHAnsi"/>
          <w:color w:val="000000" w:themeColor="text1"/>
        </w:rPr>
        <w:t xml:space="preserve">lifetime profit margin </w:t>
      </w:r>
      <w:r w:rsidR="0019025A">
        <w:rPr>
          <w:rFonts w:eastAsia="Helvetica Neue" w:cstheme="minorHAnsi"/>
          <w:color w:val="000000" w:themeColor="text1"/>
        </w:rPr>
        <w:t xml:space="preserve">are </w:t>
      </w:r>
      <w:r w:rsidR="0019025A" w:rsidRPr="00434E96">
        <w:rPr>
          <w:rFonts w:eastAsia="Helvetica Neue" w:cstheme="minorHAnsi"/>
          <w:color w:val="000000" w:themeColor="text1"/>
        </w:rPr>
        <w:t>US</w:t>
      </w:r>
      <w:r w:rsidR="00135D11">
        <w:rPr>
          <w:rFonts w:eastAsia="Helvetica Neue" w:cstheme="minorHAnsi"/>
          <w:color w:val="000000" w:themeColor="text1"/>
        </w:rPr>
        <w:t>$</w:t>
      </w:r>
      <w:r w:rsidR="00135D11" w:rsidRPr="00135D11">
        <w:rPr>
          <w:rFonts w:eastAsia="Helvetica Neue" w:cstheme="minorHAnsi"/>
          <w:color w:val="000000" w:themeColor="text1"/>
        </w:rPr>
        <w:t>2673.06</w:t>
      </w:r>
      <w:r w:rsidR="00135D11">
        <w:rPr>
          <w:rFonts w:eastAsia="Helvetica Neue" w:cstheme="minorHAnsi"/>
          <w:color w:val="000000" w:themeColor="text1"/>
        </w:rPr>
        <w:t xml:space="preserve"> and US$</w:t>
      </w:r>
      <w:r w:rsidR="00135D11" w:rsidRPr="00135D11">
        <w:rPr>
          <w:rFonts w:eastAsia="Helvetica Neue" w:cstheme="minorHAnsi"/>
          <w:color w:val="000000" w:themeColor="text1"/>
        </w:rPr>
        <w:t>4371.21</w:t>
      </w:r>
      <w:r w:rsidR="00135D11">
        <w:rPr>
          <w:rFonts w:eastAsia="Helvetica Neue" w:cstheme="minorHAnsi"/>
          <w:color w:val="000000" w:themeColor="text1"/>
        </w:rPr>
        <w:t xml:space="preserve"> </w:t>
      </w:r>
      <w:r w:rsidR="0019025A">
        <w:rPr>
          <w:rFonts w:eastAsia="Helvetica Neue" w:cstheme="minorHAnsi"/>
          <w:color w:val="000000" w:themeColor="text1"/>
        </w:rPr>
        <w:t>respectively</w:t>
      </w:r>
      <w:r w:rsidR="0019025A" w:rsidRPr="00434E96">
        <w:rPr>
          <w:rFonts w:eastAsia="Helvetica Neue" w:cstheme="minorHAnsi"/>
          <w:color w:val="000000" w:themeColor="text1"/>
        </w:rPr>
        <w:t xml:space="preserve">. Lifetime cashflow savings NPV is </w:t>
      </w:r>
      <w:r w:rsidR="0019025A">
        <w:rPr>
          <w:rFonts w:eastAsia="Helvetica Neue" w:cstheme="minorHAnsi"/>
          <w:color w:val="000000" w:themeColor="text1"/>
        </w:rPr>
        <w:t>US$</w:t>
      </w:r>
      <w:r w:rsidR="00135D11" w:rsidRPr="00135D11">
        <w:rPr>
          <w:rFonts w:eastAsia="Helvetica Neue" w:cstheme="minorHAnsi"/>
          <w:color w:val="000000" w:themeColor="text1"/>
        </w:rPr>
        <w:t>-111.49</w:t>
      </w:r>
      <w:r w:rsidR="0019025A" w:rsidRPr="00434E96">
        <w:rPr>
          <w:rFonts w:eastAsia="Helvetica Neue" w:cstheme="minorHAnsi"/>
          <w:color w:val="000000" w:themeColor="text1"/>
        </w:rPr>
        <w:t>.</w:t>
      </w:r>
    </w:p>
    <w:p w14:paraId="2EC05248" w14:textId="765A5662" w:rsidR="0019025A" w:rsidRPr="00434E96" w:rsidRDefault="007631C9" w:rsidP="0019025A">
      <w:pPr>
        <w:shd w:val="clear" w:color="auto" w:fill="FFFFFF"/>
        <w:spacing w:after="180"/>
        <w:rPr>
          <w:rFonts w:eastAsia="Helvetica Neue" w:cstheme="minorHAnsi"/>
          <w:color w:val="000000" w:themeColor="text1"/>
        </w:rPr>
      </w:pPr>
      <w:r w:rsidRPr="00A71D5A">
        <w:rPr>
          <w:rFonts w:eastAsia="Helvetica Neue" w:cstheme="minorHAnsi"/>
          <w:color w:val="000000" w:themeColor="text1"/>
        </w:rPr>
        <w:t xml:space="preserve">For the </w:t>
      </w:r>
      <w:r w:rsidRPr="00A71D5A">
        <w:rPr>
          <w:rFonts w:eastAsia="Helvetica Neue" w:cstheme="minorHAnsi"/>
          <w:i/>
          <w:color w:val="000000" w:themeColor="text1"/>
        </w:rPr>
        <w:t xml:space="preserve">Optimum </w:t>
      </w:r>
      <w:r w:rsidRPr="00A71D5A">
        <w:rPr>
          <w:rFonts w:eastAsia="Helvetica Neue" w:cstheme="minorHAnsi"/>
          <w:color w:val="000000" w:themeColor="text1"/>
        </w:rPr>
        <w:t xml:space="preserve">Scenario, </w:t>
      </w:r>
      <w:r w:rsidR="00AE6228">
        <w:rPr>
          <w:rFonts w:eastAsia="Helvetica Neue" w:cstheme="minorHAnsi"/>
          <w:color w:val="000000" w:themeColor="text1"/>
        </w:rPr>
        <w:t xml:space="preserve">the </w:t>
      </w:r>
      <w:r w:rsidR="00AE6228" w:rsidRPr="00434E96">
        <w:rPr>
          <w:rFonts w:eastAsia="Helvetica Neue" w:cstheme="minorHAnsi"/>
          <w:color w:val="000000" w:themeColor="text1"/>
        </w:rPr>
        <w:t>cumulative first cost</w:t>
      </w:r>
      <w:r w:rsidR="00AE6228">
        <w:rPr>
          <w:rFonts w:eastAsia="Helvetica Neue" w:cstheme="minorHAnsi"/>
          <w:color w:val="000000" w:themeColor="text1"/>
        </w:rPr>
        <w:t xml:space="preserve"> of adoption</w:t>
      </w:r>
      <w:r w:rsidR="00AE6228" w:rsidRPr="00434E96">
        <w:rPr>
          <w:rFonts w:eastAsia="Helvetica Neue" w:cstheme="minorHAnsi"/>
          <w:color w:val="000000" w:themeColor="text1"/>
        </w:rPr>
        <w:t xml:space="preserve"> is US$</w:t>
      </w:r>
      <w:r w:rsidR="00135D11" w:rsidRPr="00135D11">
        <w:rPr>
          <w:rFonts w:eastAsia="Helvetica Neue" w:cstheme="minorHAnsi"/>
          <w:color w:val="000000" w:themeColor="text1"/>
        </w:rPr>
        <w:t>191.67</w:t>
      </w:r>
      <w:r w:rsidR="00135D11">
        <w:rPr>
          <w:rFonts w:eastAsia="Helvetica Neue" w:cstheme="minorHAnsi"/>
          <w:color w:val="000000" w:themeColor="text1"/>
        </w:rPr>
        <w:t xml:space="preserve"> </w:t>
      </w:r>
      <w:r w:rsidR="00AE6228" w:rsidRPr="00434E96">
        <w:rPr>
          <w:rFonts w:eastAsia="Helvetica Neue" w:cstheme="minorHAnsi"/>
          <w:color w:val="000000" w:themeColor="text1"/>
        </w:rPr>
        <w:t xml:space="preserve">billion. Marginal first cost is the same as cumulative first cost. </w:t>
      </w:r>
      <w:r w:rsidR="0019025A" w:rsidRPr="00434E96">
        <w:rPr>
          <w:rFonts w:eastAsia="Helvetica Neue" w:cstheme="minorHAnsi"/>
          <w:color w:val="000000" w:themeColor="text1"/>
        </w:rPr>
        <w:t>Net operating savings</w:t>
      </w:r>
      <w:r w:rsidR="0019025A">
        <w:rPr>
          <w:rFonts w:eastAsia="Helvetica Neue" w:cstheme="minorHAnsi"/>
          <w:color w:val="000000" w:themeColor="text1"/>
        </w:rPr>
        <w:t xml:space="preserve"> are </w:t>
      </w:r>
      <w:r w:rsidR="0019025A" w:rsidRPr="00434E96">
        <w:rPr>
          <w:rFonts w:eastAsia="Helvetica Neue" w:cstheme="minorHAnsi"/>
          <w:color w:val="000000" w:themeColor="text1"/>
        </w:rPr>
        <w:t>US</w:t>
      </w:r>
      <w:r w:rsidR="00135D11">
        <w:rPr>
          <w:rFonts w:eastAsia="Helvetica Neue" w:cstheme="minorHAnsi"/>
          <w:color w:val="000000" w:themeColor="text1"/>
        </w:rPr>
        <w:t>$</w:t>
      </w:r>
      <w:r w:rsidR="00135D11" w:rsidRPr="00135D11">
        <w:rPr>
          <w:rFonts w:eastAsia="Helvetica Neue" w:cstheme="minorHAnsi"/>
          <w:color w:val="000000" w:themeColor="text1"/>
        </w:rPr>
        <w:t>-291.24</w:t>
      </w:r>
      <w:r w:rsidR="0019025A">
        <w:rPr>
          <w:rFonts w:eastAsia="Helvetica Neue" w:cstheme="minorHAnsi"/>
          <w:color w:val="000000" w:themeColor="text1"/>
        </w:rPr>
        <w:t xml:space="preserve"> </w:t>
      </w:r>
      <w:r w:rsidR="0019025A" w:rsidRPr="00434E96">
        <w:rPr>
          <w:rFonts w:eastAsia="Helvetica Neue" w:cstheme="minorHAnsi"/>
          <w:color w:val="000000" w:themeColor="text1"/>
        </w:rPr>
        <w:t>billion</w:t>
      </w:r>
      <w:r w:rsidR="0019025A">
        <w:rPr>
          <w:rFonts w:eastAsia="Helvetica Neue" w:cstheme="minorHAnsi"/>
          <w:color w:val="000000" w:themeColor="text1"/>
        </w:rPr>
        <w:t>, and the n</w:t>
      </w:r>
      <w:r w:rsidR="0019025A" w:rsidRPr="00434E96">
        <w:rPr>
          <w:rFonts w:eastAsia="Helvetica Neue" w:cstheme="minorHAnsi"/>
          <w:color w:val="000000" w:themeColor="text1"/>
        </w:rPr>
        <w:t xml:space="preserve">et profit margin </w:t>
      </w:r>
      <w:r w:rsidR="0019025A">
        <w:rPr>
          <w:rFonts w:eastAsia="Helvetica Neue" w:cstheme="minorHAnsi"/>
          <w:color w:val="000000" w:themeColor="text1"/>
        </w:rPr>
        <w:t xml:space="preserve">and </w:t>
      </w:r>
      <w:r w:rsidR="0019025A" w:rsidRPr="00434E96">
        <w:rPr>
          <w:rFonts w:eastAsia="Helvetica Neue" w:cstheme="minorHAnsi"/>
          <w:color w:val="000000" w:themeColor="text1"/>
        </w:rPr>
        <w:t xml:space="preserve">lifetime profit margin </w:t>
      </w:r>
      <w:r w:rsidR="0019025A">
        <w:rPr>
          <w:rFonts w:eastAsia="Helvetica Neue" w:cstheme="minorHAnsi"/>
          <w:color w:val="000000" w:themeColor="text1"/>
        </w:rPr>
        <w:t xml:space="preserve">are </w:t>
      </w:r>
      <w:r w:rsidR="0019025A" w:rsidRPr="00434E96">
        <w:rPr>
          <w:rFonts w:eastAsia="Helvetica Neue" w:cstheme="minorHAnsi"/>
          <w:color w:val="000000" w:themeColor="text1"/>
        </w:rPr>
        <w:t>US$</w:t>
      </w:r>
      <w:r w:rsidR="00135D11" w:rsidRPr="00135D11">
        <w:rPr>
          <w:rFonts w:eastAsia="Helvetica Neue" w:cstheme="minorHAnsi"/>
          <w:color w:val="000000" w:themeColor="text1"/>
        </w:rPr>
        <w:t>2772.53</w:t>
      </w:r>
      <w:r w:rsidR="00135D11">
        <w:rPr>
          <w:rFonts w:eastAsia="Helvetica Neue" w:cstheme="minorHAnsi"/>
          <w:color w:val="000000" w:themeColor="text1"/>
        </w:rPr>
        <w:t xml:space="preserve"> and US$</w:t>
      </w:r>
      <w:r w:rsidR="00135D11" w:rsidRPr="00135D11">
        <w:rPr>
          <w:rFonts w:eastAsia="Helvetica Neue" w:cstheme="minorHAnsi"/>
          <w:color w:val="000000" w:themeColor="text1"/>
        </w:rPr>
        <w:t>4543.82</w:t>
      </w:r>
      <w:r w:rsidR="00135D11">
        <w:rPr>
          <w:rFonts w:eastAsia="Helvetica Neue" w:cstheme="minorHAnsi"/>
          <w:color w:val="000000" w:themeColor="text1"/>
        </w:rPr>
        <w:t xml:space="preserve"> billion</w:t>
      </w:r>
      <w:r w:rsidR="0019025A">
        <w:rPr>
          <w:rFonts w:eastAsia="Helvetica Neue" w:cstheme="minorHAnsi"/>
          <w:color w:val="000000" w:themeColor="text1"/>
        </w:rPr>
        <w:t xml:space="preserve"> respectively</w:t>
      </w:r>
      <w:r w:rsidR="0019025A" w:rsidRPr="00434E96">
        <w:rPr>
          <w:rFonts w:eastAsia="Helvetica Neue" w:cstheme="minorHAnsi"/>
          <w:color w:val="000000" w:themeColor="text1"/>
        </w:rPr>
        <w:t xml:space="preserve">. Lifetime cashflow savings NPV is </w:t>
      </w:r>
      <w:r w:rsidR="0019025A">
        <w:rPr>
          <w:rFonts w:eastAsia="Helvetica Neue" w:cstheme="minorHAnsi"/>
          <w:color w:val="000000" w:themeColor="text1"/>
        </w:rPr>
        <w:t>US$</w:t>
      </w:r>
      <w:r w:rsidR="00135D11" w:rsidRPr="00135D11">
        <w:rPr>
          <w:rFonts w:eastAsia="Helvetica Neue" w:cstheme="minorHAnsi"/>
          <w:color w:val="000000" w:themeColor="text1"/>
        </w:rPr>
        <w:t>-122.51</w:t>
      </w:r>
      <w:r w:rsidR="0019025A" w:rsidRPr="00434E96">
        <w:rPr>
          <w:rFonts w:eastAsia="Helvetica Neue" w:cstheme="minorHAnsi"/>
          <w:color w:val="000000" w:themeColor="text1"/>
        </w:rPr>
        <w:t>.</w:t>
      </w:r>
    </w:p>
    <w:p w14:paraId="4F6C2C45" w14:textId="19961C17" w:rsidR="00E14F94" w:rsidRDefault="00E14F94" w:rsidP="0019025A">
      <w:pPr>
        <w:shd w:val="clear" w:color="auto" w:fill="FFFFFF"/>
        <w:spacing w:after="180"/>
        <w:rPr>
          <w:bCs/>
          <w:i/>
        </w:rPr>
      </w:pPr>
    </w:p>
    <w:p w14:paraId="09347CCA" w14:textId="496669DF" w:rsidR="00492F5E" w:rsidRPr="00D45F43" w:rsidRDefault="00492F5E" w:rsidP="00D45F43">
      <w:pPr>
        <w:shd w:val="clear" w:color="auto" w:fill="FFFFFF"/>
        <w:spacing w:after="180" w:line="240" w:lineRule="auto"/>
        <w:rPr>
          <w:b/>
          <w:i/>
          <w:sz w:val="20"/>
        </w:rPr>
      </w:pPr>
      <w:bookmarkStart w:id="50" w:name="_Toc18443161"/>
      <w:r w:rsidRPr="00D45F43">
        <w:rPr>
          <w:b/>
          <w:i/>
          <w:sz w:val="20"/>
        </w:rPr>
        <w:t xml:space="preserve">Table </w:t>
      </w:r>
      <w:r w:rsidR="00172CCC">
        <w:rPr>
          <w:b/>
          <w:i/>
          <w:sz w:val="20"/>
        </w:rPr>
        <w:fldChar w:fldCharType="begin"/>
      </w:r>
      <w:r w:rsidR="00172CCC">
        <w:rPr>
          <w:b/>
          <w:i/>
          <w:sz w:val="20"/>
        </w:rPr>
        <w:instrText xml:space="preserve"> STYLEREF 1 \s </w:instrText>
      </w:r>
      <w:r w:rsidR="00172CCC">
        <w:rPr>
          <w:b/>
          <w:i/>
          <w:sz w:val="20"/>
        </w:rPr>
        <w:fldChar w:fldCharType="separate"/>
      </w:r>
      <w:r w:rsidR="00636BAC">
        <w:rPr>
          <w:b/>
          <w:i/>
          <w:noProof/>
          <w:sz w:val="20"/>
        </w:rPr>
        <w:t>3</w:t>
      </w:r>
      <w:r w:rsidR="00172CCC">
        <w:rPr>
          <w:b/>
          <w:i/>
          <w:sz w:val="20"/>
        </w:rPr>
        <w:fldChar w:fldCharType="end"/>
      </w:r>
      <w:r w:rsidR="00172CCC">
        <w:rPr>
          <w:b/>
          <w:i/>
          <w:sz w:val="20"/>
        </w:rPr>
        <w:t>.</w:t>
      </w:r>
      <w:r w:rsidR="00172CCC">
        <w:rPr>
          <w:b/>
          <w:i/>
          <w:sz w:val="20"/>
        </w:rPr>
        <w:fldChar w:fldCharType="begin"/>
      </w:r>
      <w:r w:rsidR="00172CCC">
        <w:rPr>
          <w:b/>
          <w:i/>
          <w:sz w:val="20"/>
        </w:rPr>
        <w:instrText xml:space="preserve"> SEQ Table \* ARABIC \s 1 </w:instrText>
      </w:r>
      <w:r w:rsidR="00172CCC">
        <w:rPr>
          <w:b/>
          <w:i/>
          <w:sz w:val="20"/>
        </w:rPr>
        <w:fldChar w:fldCharType="separate"/>
      </w:r>
      <w:r w:rsidR="00636BAC">
        <w:rPr>
          <w:b/>
          <w:i/>
          <w:noProof/>
          <w:sz w:val="20"/>
        </w:rPr>
        <w:t>4</w:t>
      </w:r>
      <w:r w:rsidR="00172CCC">
        <w:rPr>
          <w:b/>
          <w:i/>
          <w:sz w:val="20"/>
        </w:rPr>
        <w:fldChar w:fldCharType="end"/>
      </w:r>
      <w:r w:rsidRPr="00D45F43">
        <w:rPr>
          <w:b/>
          <w:i/>
          <w:sz w:val="20"/>
        </w:rPr>
        <w:t xml:space="preserve"> Financial Impacts</w:t>
      </w:r>
      <w:bookmarkEnd w:id="50"/>
    </w:p>
    <w:tbl>
      <w:tblPr>
        <w:tblW w:w="0" w:type="auto"/>
        <w:tblLayout w:type="fixed"/>
        <w:tblCellMar>
          <w:top w:w="15" w:type="dxa"/>
          <w:left w:w="15" w:type="dxa"/>
          <w:bottom w:w="15" w:type="dxa"/>
          <w:right w:w="15" w:type="dxa"/>
        </w:tblCellMar>
        <w:tblLook w:val="04A0" w:firstRow="1" w:lastRow="0" w:firstColumn="1" w:lastColumn="0" w:noHBand="0" w:noVBand="1"/>
      </w:tblPr>
      <w:tblGrid>
        <w:gridCol w:w="1520"/>
        <w:gridCol w:w="1170"/>
        <w:gridCol w:w="1260"/>
        <w:gridCol w:w="1170"/>
        <w:gridCol w:w="990"/>
        <w:gridCol w:w="1170"/>
        <w:gridCol w:w="2060"/>
      </w:tblGrid>
      <w:tr w:rsidR="00433BE9" w:rsidRPr="006B675D" w14:paraId="02CA9FB7" w14:textId="77777777" w:rsidTr="00B7686D">
        <w:trPr>
          <w:cantSplit/>
          <w:trHeight w:val="820"/>
          <w:tblHeader/>
        </w:trPr>
        <w:tc>
          <w:tcPr>
            <w:tcW w:w="15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Cumulative First Cost</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Marginal First Cost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Net Operating Savings</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B7686D" w:rsidRDefault="006B675D" w:rsidP="00DB4CC8">
            <w:pPr>
              <w:spacing w:after="0"/>
              <w:jc w:val="center"/>
              <w:rPr>
                <w:b/>
                <w:bCs/>
                <w:color w:val="FFFFFF" w:themeColor="background1"/>
                <w:sz w:val="18"/>
                <w:szCs w:val="20"/>
                <w:lang w:eastAsia="zh-CN"/>
              </w:rPr>
            </w:pPr>
            <w:r w:rsidRPr="00B7686D">
              <w:rPr>
                <w:b/>
                <w:color w:val="FFFFFF" w:themeColor="background1"/>
                <w:sz w:val="18"/>
                <w:szCs w:val="20"/>
                <w:lang w:eastAsia="zh-CN"/>
              </w:rPr>
              <w:t>Net Profit Margin</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B7686D" w:rsidRDefault="006B675D" w:rsidP="00DB4CC8">
            <w:pPr>
              <w:spacing w:after="0"/>
              <w:jc w:val="center"/>
              <w:rPr>
                <w:b/>
                <w:bCs/>
                <w:color w:val="FFFFFF" w:themeColor="background1"/>
                <w:sz w:val="18"/>
                <w:szCs w:val="20"/>
                <w:lang w:eastAsia="zh-CN"/>
              </w:rPr>
            </w:pPr>
            <w:r w:rsidRPr="00B7686D">
              <w:rPr>
                <w:b/>
                <w:color w:val="FFFFFF" w:themeColor="background1"/>
                <w:sz w:val="18"/>
                <w:szCs w:val="20"/>
                <w:lang w:eastAsia="zh-CN"/>
              </w:rPr>
              <w:t>Lifetime Profit Margin</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B7686D" w:rsidRDefault="006B675D" w:rsidP="00DB4CC8">
            <w:pPr>
              <w:spacing w:after="0"/>
              <w:jc w:val="center"/>
              <w:rPr>
                <w:b/>
                <w:color w:val="FFFFFF" w:themeColor="background1"/>
                <w:sz w:val="18"/>
                <w:szCs w:val="20"/>
                <w:lang w:eastAsia="zh-CN"/>
              </w:rPr>
            </w:pPr>
            <w:r w:rsidRPr="00B7686D">
              <w:rPr>
                <w:b/>
                <w:bCs/>
                <w:color w:val="FFFFFF" w:themeColor="background1"/>
                <w:sz w:val="18"/>
                <w:szCs w:val="20"/>
                <w:lang w:eastAsia="zh-CN"/>
              </w:rPr>
              <w:t>Lifetime Cashflow Savings NPV (of All Implementation Units)</w:t>
            </w:r>
          </w:p>
        </w:tc>
      </w:tr>
      <w:tr w:rsidR="00433BE9" w:rsidRPr="006B675D" w14:paraId="67FE449F" w14:textId="77777777" w:rsidTr="00B7686D">
        <w:trPr>
          <w:cantSplit/>
          <w:trHeight w:val="1041"/>
          <w:tblHeader/>
        </w:trPr>
        <w:tc>
          <w:tcPr>
            <w:tcW w:w="1520"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2015-2050 Billion USD</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2015-2050 Billion USD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2020-2050 Billion USD</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B7686D" w:rsidRDefault="006B675D" w:rsidP="00DB4CC8">
            <w:pPr>
              <w:spacing w:after="0"/>
              <w:jc w:val="center"/>
              <w:rPr>
                <w:i/>
                <w:color w:val="FFFFFF" w:themeColor="background1"/>
                <w:sz w:val="18"/>
                <w:szCs w:val="20"/>
                <w:lang w:eastAsia="zh-CN"/>
              </w:rPr>
            </w:pPr>
            <w:r w:rsidRPr="00B7686D">
              <w:rPr>
                <w:i/>
                <w:color w:val="FFFFFF" w:themeColor="background1"/>
                <w:sz w:val="18"/>
                <w:szCs w:val="20"/>
                <w:lang w:eastAsia="zh-CN"/>
              </w:rPr>
              <w:t>Billion USD</w:t>
            </w:r>
          </w:p>
        </w:tc>
      </w:tr>
      <w:tr w:rsidR="00135D11" w:rsidRPr="006B675D" w14:paraId="2CCDE781" w14:textId="77777777" w:rsidTr="00135D11">
        <w:trPr>
          <w:trHeight w:val="440"/>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135D11" w:rsidRPr="006B675D" w:rsidRDefault="00135D11" w:rsidP="00135D11">
            <w:pPr>
              <w:spacing w:after="0"/>
              <w:jc w:val="center"/>
              <w:rPr>
                <w:sz w:val="20"/>
                <w:szCs w:val="20"/>
                <w:lang w:eastAsia="zh-CN"/>
              </w:rPr>
            </w:pPr>
            <w:r w:rsidRPr="006B675D">
              <w:rPr>
                <w:b/>
                <w:bCs/>
                <w:color w:val="000000" w:themeColor="text1"/>
                <w:sz w:val="20"/>
                <w:szCs w:val="20"/>
                <w:lang w:eastAsia="zh-CN"/>
              </w:rPr>
              <w:t>Plausible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2684C3A9" w:rsidR="00135D11" w:rsidRPr="00135D11" w:rsidRDefault="00135D11" w:rsidP="00135D11">
            <w:pPr>
              <w:spacing w:after="0"/>
              <w:jc w:val="center"/>
              <w:rPr>
                <w:rFonts w:eastAsia="Times New Roman" w:cs="Times New Roman"/>
                <w:sz w:val="20"/>
                <w:szCs w:val="20"/>
                <w:lang w:eastAsia="zh-CN"/>
              </w:rPr>
            </w:pPr>
            <w:r w:rsidRPr="00135D11">
              <w:rPr>
                <w:sz w:val="20"/>
                <w:szCs w:val="20"/>
              </w:rPr>
              <w:t>101.00</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613DEA52" w:rsidR="00135D11" w:rsidRPr="00135D11" w:rsidRDefault="00135D11" w:rsidP="00135D11">
            <w:pPr>
              <w:spacing w:after="0"/>
              <w:jc w:val="center"/>
              <w:rPr>
                <w:rFonts w:eastAsia="Times New Roman" w:cs="Times New Roman"/>
                <w:sz w:val="20"/>
                <w:szCs w:val="20"/>
                <w:lang w:eastAsia="zh-CN"/>
              </w:rPr>
            </w:pPr>
            <w:r w:rsidRPr="00135D11">
              <w:rPr>
                <w:sz w:val="20"/>
                <w:szCs w:val="20"/>
              </w:rPr>
              <w:t>101.00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57C29606" w:rsidR="00135D11" w:rsidRPr="00135D11" w:rsidRDefault="00135D11" w:rsidP="00135D11">
            <w:pPr>
              <w:spacing w:after="0"/>
              <w:jc w:val="center"/>
              <w:rPr>
                <w:rFonts w:eastAsia="Times New Roman" w:cs="Times New Roman"/>
                <w:sz w:val="20"/>
                <w:szCs w:val="20"/>
                <w:lang w:eastAsia="zh-CN"/>
              </w:rPr>
            </w:pPr>
            <w:r w:rsidRPr="00135D11">
              <w:rPr>
                <w:sz w:val="20"/>
                <w:szCs w:val="20"/>
              </w:rPr>
              <w:t>-80.52</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A6EF3" w14:textId="76EF1682" w:rsidR="00135D11" w:rsidRPr="00135D11" w:rsidRDefault="00135D11" w:rsidP="00135D11">
            <w:pPr>
              <w:spacing w:after="0"/>
              <w:jc w:val="center"/>
              <w:rPr>
                <w:rFonts w:eastAsia="Times New Roman" w:cs="Times New Roman"/>
                <w:sz w:val="20"/>
                <w:szCs w:val="20"/>
                <w:lang w:eastAsia="zh-CN"/>
              </w:rPr>
            </w:pPr>
            <w:r w:rsidRPr="00135D11">
              <w:rPr>
                <w:sz w:val="20"/>
                <w:szCs w:val="20"/>
              </w:rPr>
              <w:t>1320.09</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C23F1" w14:textId="14CF3D68" w:rsidR="00135D11" w:rsidRPr="00135D11" w:rsidRDefault="00135D11" w:rsidP="00135D11">
            <w:pPr>
              <w:spacing w:after="0"/>
              <w:jc w:val="center"/>
              <w:rPr>
                <w:rFonts w:eastAsia="Times New Roman" w:cs="Times New Roman"/>
                <w:sz w:val="20"/>
                <w:szCs w:val="20"/>
                <w:lang w:eastAsia="zh-CN"/>
              </w:rPr>
            </w:pPr>
            <w:r w:rsidRPr="00135D11">
              <w:rPr>
                <w:sz w:val="20"/>
                <w:szCs w:val="20"/>
              </w:rPr>
              <w:t>2355.92</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023DB0C8" w:rsidR="00135D11" w:rsidRPr="00135D11" w:rsidRDefault="00135D11" w:rsidP="00135D11">
            <w:pPr>
              <w:spacing w:after="0"/>
              <w:jc w:val="center"/>
              <w:rPr>
                <w:rFonts w:eastAsia="Times New Roman" w:cs="Times New Roman"/>
                <w:sz w:val="20"/>
                <w:szCs w:val="20"/>
                <w:lang w:eastAsia="zh-CN"/>
              </w:rPr>
            </w:pPr>
            <w:r w:rsidRPr="00135D11">
              <w:rPr>
                <w:sz w:val="20"/>
                <w:szCs w:val="20"/>
              </w:rPr>
              <w:t>-39.69</w:t>
            </w:r>
          </w:p>
        </w:tc>
      </w:tr>
      <w:tr w:rsidR="00135D11" w:rsidRPr="006B675D" w14:paraId="6C3482B4" w14:textId="77777777" w:rsidTr="00135D11">
        <w:trPr>
          <w:trHeight w:val="222"/>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6CAF019" w:rsidR="00135D11" w:rsidRPr="006B675D" w:rsidRDefault="00135D11" w:rsidP="00135D11">
            <w:pPr>
              <w:spacing w:after="0"/>
              <w:jc w:val="center"/>
              <w:rPr>
                <w:sz w:val="20"/>
                <w:szCs w:val="20"/>
                <w:lang w:eastAsia="zh-CN"/>
              </w:rPr>
            </w:pPr>
            <w:r w:rsidRPr="006B675D">
              <w:rPr>
                <w:b/>
                <w:bCs/>
                <w:color w:val="000000" w:themeColor="text1"/>
                <w:sz w:val="20"/>
                <w:szCs w:val="20"/>
                <w:lang w:eastAsia="zh-CN"/>
              </w:rPr>
              <w:t>Drawdow</w:t>
            </w:r>
            <w:r>
              <w:rPr>
                <w:b/>
                <w:bCs/>
                <w:color w:val="000000" w:themeColor="text1"/>
                <w:sz w:val="20"/>
                <w:szCs w:val="20"/>
                <w:lang w:eastAsia="zh-CN"/>
              </w:rPr>
              <w:t>n</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6A62EE14" w:rsidR="00135D11" w:rsidRPr="00135D11" w:rsidRDefault="00135D11" w:rsidP="00135D11">
            <w:pPr>
              <w:spacing w:after="0"/>
              <w:jc w:val="center"/>
              <w:rPr>
                <w:rFonts w:eastAsia="Times New Roman" w:cs="Times New Roman"/>
                <w:sz w:val="20"/>
                <w:szCs w:val="20"/>
                <w:lang w:eastAsia="zh-CN"/>
              </w:rPr>
            </w:pPr>
            <w:r w:rsidRPr="00135D11">
              <w:rPr>
                <w:sz w:val="20"/>
                <w:szCs w:val="20"/>
              </w:rPr>
              <w:t>185.04</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70B00AD8" w:rsidR="00135D11" w:rsidRPr="00135D11" w:rsidRDefault="00135D11" w:rsidP="00135D11">
            <w:pPr>
              <w:spacing w:after="0"/>
              <w:jc w:val="center"/>
              <w:rPr>
                <w:rFonts w:eastAsia="Times New Roman" w:cs="Times New Roman"/>
                <w:sz w:val="20"/>
                <w:szCs w:val="20"/>
                <w:lang w:eastAsia="zh-CN"/>
              </w:rPr>
            </w:pPr>
            <w:r w:rsidRPr="00135D11">
              <w:rPr>
                <w:sz w:val="20"/>
                <w:szCs w:val="20"/>
              </w:rPr>
              <w:t>185.04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FA5DB3" w14:textId="1CA2EA15" w:rsidR="00135D11" w:rsidRPr="00135D11" w:rsidRDefault="00135D11" w:rsidP="00135D11">
            <w:pPr>
              <w:spacing w:after="0"/>
              <w:jc w:val="center"/>
              <w:rPr>
                <w:rFonts w:eastAsia="Times New Roman" w:cs="Times New Roman"/>
                <w:sz w:val="20"/>
                <w:szCs w:val="20"/>
                <w:lang w:eastAsia="zh-CN"/>
              </w:rPr>
            </w:pPr>
            <w:r w:rsidRPr="00135D11">
              <w:rPr>
                <w:sz w:val="20"/>
                <w:szCs w:val="20"/>
              </w:rPr>
              <w:t>-270.58</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185B1" w14:textId="22ABCCDF" w:rsidR="00135D11" w:rsidRPr="00135D11" w:rsidRDefault="00135D11" w:rsidP="00135D11">
            <w:pPr>
              <w:spacing w:after="0"/>
              <w:jc w:val="center"/>
              <w:rPr>
                <w:rFonts w:eastAsia="Times New Roman" w:cs="Times New Roman"/>
                <w:sz w:val="20"/>
                <w:szCs w:val="20"/>
                <w:lang w:eastAsia="zh-CN"/>
              </w:rPr>
            </w:pPr>
            <w:r w:rsidRPr="00135D11">
              <w:rPr>
                <w:sz w:val="20"/>
                <w:szCs w:val="20"/>
              </w:rPr>
              <w:t>2673.06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B88678" w14:textId="179CAA86" w:rsidR="00135D11" w:rsidRPr="00135D11" w:rsidRDefault="00135D11" w:rsidP="00135D11">
            <w:pPr>
              <w:spacing w:after="0"/>
              <w:jc w:val="center"/>
              <w:rPr>
                <w:rFonts w:eastAsia="Times New Roman" w:cs="Times New Roman"/>
                <w:sz w:val="20"/>
                <w:szCs w:val="20"/>
                <w:lang w:eastAsia="zh-CN"/>
              </w:rPr>
            </w:pPr>
            <w:r w:rsidRPr="00135D11">
              <w:rPr>
                <w:sz w:val="20"/>
                <w:szCs w:val="20"/>
              </w:rPr>
              <w:t>4371.21</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5CA7D848" w:rsidR="00135D11" w:rsidRPr="00135D11" w:rsidRDefault="00135D11" w:rsidP="00135D11">
            <w:pPr>
              <w:spacing w:after="0"/>
              <w:jc w:val="center"/>
              <w:rPr>
                <w:rFonts w:eastAsia="Times New Roman" w:cs="Times New Roman"/>
                <w:sz w:val="20"/>
                <w:szCs w:val="20"/>
                <w:lang w:eastAsia="zh-CN"/>
              </w:rPr>
            </w:pPr>
            <w:r w:rsidRPr="00135D11">
              <w:rPr>
                <w:sz w:val="20"/>
                <w:szCs w:val="20"/>
              </w:rPr>
              <w:t>-111.49</w:t>
            </w:r>
          </w:p>
        </w:tc>
      </w:tr>
      <w:tr w:rsidR="00135D11" w:rsidRPr="006B675D" w14:paraId="76A27626" w14:textId="77777777" w:rsidTr="00135D11">
        <w:trPr>
          <w:trHeight w:val="96"/>
        </w:trPr>
        <w:tc>
          <w:tcPr>
            <w:tcW w:w="1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135D11" w:rsidRPr="006B675D" w:rsidRDefault="00135D11" w:rsidP="00135D11">
            <w:pPr>
              <w:spacing w:after="0"/>
              <w:jc w:val="center"/>
              <w:rPr>
                <w:sz w:val="20"/>
                <w:szCs w:val="20"/>
                <w:lang w:eastAsia="zh-CN"/>
              </w:rPr>
            </w:pPr>
            <w:r w:rsidRPr="006B675D">
              <w:rPr>
                <w:b/>
                <w:bCs/>
                <w:color w:val="000000" w:themeColor="text1"/>
                <w:sz w:val="20"/>
                <w:szCs w:val="20"/>
                <w:lang w:eastAsia="zh-CN"/>
              </w:rPr>
              <w:t>Optimum</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477554B9" w:rsidR="00135D11" w:rsidRPr="00135D11" w:rsidRDefault="00135D11" w:rsidP="00135D11">
            <w:pPr>
              <w:spacing w:after="0"/>
              <w:jc w:val="center"/>
              <w:rPr>
                <w:rFonts w:eastAsia="Times New Roman" w:cs="Times New Roman"/>
                <w:sz w:val="20"/>
                <w:szCs w:val="20"/>
                <w:lang w:eastAsia="zh-CN"/>
              </w:rPr>
            </w:pPr>
            <w:r w:rsidRPr="00135D11">
              <w:rPr>
                <w:sz w:val="20"/>
                <w:szCs w:val="20"/>
              </w:rPr>
              <w:t>191.67</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63D543A2" w:rsidR="00135D11" w:rsidRPr="00135D11" w:rsidRDefault="00135D11" w:rsidP="00135D11">
            <w:pPr>
              <w:spacing w:after="0"/>
              <w:jc w:val="center"/>
              <w:rPr>
                <w:rFonts w:eastAsia="Times New Roman" w:cs="Times New Roman"/>
                <w:sz w:val="20"/>
                <w:szCs w:val="20"/>
                <w:lang w:eastAsia="zh-CN"/>
              </w:rPr>
            </w:pPr>
            <w:r w:rsidRPr="00135D11">
              <w:rPr>
                <w:sz w:val="20"/>
                <w:szCs w:val="20"/>
              </w:rPr>
              <w:t>191.67</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59EAAB" w14:textId="50E15E35" w:rsidR="00135D11" w:rsidRPr="00135D11" w:rsidRDefault="00135D11" w:rsidP="00135D11">
            <w:pPr>
              <w:spacing w:after="0"/>
              <w:jc w:val="center"/>
              <w:rPr>
                <w:rFonts w:eastAsia="Times New Roman" w:cs="Times New Roman"/>
                <w:sz w:val="20"/>
                <w:szCs w:val="20"/>
                <w:lang w:eastAsia="zh-CN"/>
              </w:rPr>
            </w:pPr>
            <w:r w:rsidRPr="00135D11">
              <w:rPr>
                <w:sz w:val="20"/>
                <w:szCs w:val="20"/>
              </w:rPr>
              <w:t>-291.24</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D434F2" w14:textId="0E04ACCA" w:rsidR="00135D11" w:rsidRPr="00135D11" w:rsidRDefault="00135D11" w:rsidP="00135D11">
            <w:pPr>
              <w:spacing w:after="0"/>
              <w:jc w:val="center"/>
              <w:rPr>
                <w:rFonts w:eastAsia="Times New Roman" w:cs="Times New Roman"/>
                <w:sz w:val="20"/>
                <w:szCs w:val="20"/>
                <w:lang w:eastAsia="zh-CN"/>
              </w:rPr>
            </w:pPr>
            <w:r w:rsidRPr="00135D11">
              <w:rPr>
                <w:sz w:val="20"/>
                <w:szCs w:val="20"/>
              </w:rPr>
              <w:t>2772.53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A8BB69" w14:textId="244961B3" w:rsidR="00135D11" w:rsidRPr="00135D11" w:rsidRDefault="00135D11" w:rsidP="00135D11">
            <w:pPr>
              <w:spacing w:after="0"/>
              <w:jc w:val="center"/>
              <w:rPr>
                <w:rFonts w:eastAsia="Times New Roman" w:cs="Times New Roman"/>
                <w:sz w:val="20"/>
                <w:szCs w:val="20"/>
                <w:lang w:eastAsia="zh-CN"/>
              </w:rPr>
            </w:pPr>
            <w:r w:rsidRPr="00135D11">
              <w:rPr>
                <w:sz w:val="20"/>
                <w:szCs w:val="20"/>
              </w:rPr>
              <w:t>4543.82</w:t>
            </w:r>
          </w:p>
        </w:tc>
        <w:tc>
          <w:tcPr>
            <w:tcW w:w="2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6035368D" w:rsidR="00135D11" w:rsidRPr="00135D11" w:rsidRDefault="00135D11" w:rsidP="00135D11">
            <w:pPr>
              <w:spacing w:after="0"/>
              <w:jc w:val="center"/>
              <w:rPr>
                <w:rFonts w:eastAsia="Times New Roman" w:cs="Times New Roman"/>
                <w:sz w:val="20"/>
                <w:szCs w:val="20"/>
                <w:lang w:eastAsia="zh-CN"/>
              </w:rPr>
            </w:pPr>
            <w:r w:rsidRPr="00135D11">
              <w:rPr>
                <w:sz w:val="20"/>
                <w:szCs w:val="20"/>
              </w:rPr>
              <w:t>-122.51</w:t>
            </w:r>
          </w:p>
        </w:tc>
      </w:tr>
    </w:tbl>
    <w:p w14:paraId="65064E23" w14:textId="77777777" w:rsidR="00E8320F" w:rsidRDefault="00E8320F" w:rsidP="00DB4CC8">
      <w:pPr>
        <w:pStyle w:val="Caption"/>
      </w:pPr>
    </w:p>
    <w:p w14:paraId="4B73199E" w14:textId="7369F8F1" w:rsidR="00FE7871" w:rsidRPr="00AF7DE4" w:rsidRDefault="00853C9C" w:rsidP="00B7686D">
      <w:pPr>
        <w:jc w:val="left"/>
      </w:pPr>
      <w:bookmarkStart w:id="51" w:name="_Toc524993435"/>
      <w:r>
        <w:rPr>
          <w:noProof/>
        </w:rPr>
        <w:lastRenderedPageBreak/>
        <w:drawing>
          <wp:inline distT="0" distB="0" distL="0" distR="0" wp14:anchorId="43802724" wp14:editId="13766D4A">
            <wp:extent cx="5943600" cy="3498850"/>
            <wp:effectExtent l="0" t="0" r="0" b="6350"/>
            <wp:docPr id="5" name="Chart 5">
              <a:extLst xmlns:a="http://schemas.openxmlformats.org/drawingml/2006/main">
                <a:ext uri="{FF2B5EF4-FFF2-40B4-BE49-F238E27FC236}">
                  <a16:creationId xmlns:a16="http://schemas.microsoft.com/office/drawing/2014/main" id="{93C1F0F8-AA8F-43EE-9E1E-0464A88F6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394F92" w14:textId="3087E1C9" w:rsidR="003F1112" w:rsidRPr="00D45F43" w:rsidRDefault="00FE7871" w:rsidP="00D45F43">
      <w:pPr>
        <w:shd w:val="clear" w:color="auto" w:fill="FFFFFF"/>
        <w:spacing w:after="180" w:line="240" w:lineRule="auto"/>
        <w:rPr>
          <w:b/>
          <w:i/>
          <w:sz w:val="20"/>
        </w:rPr>
      </w:pPr>
      <w:bookmarkStart w:id="52" w:name="_Toc18443111"/>
      <w:r w:rsidRPr="00B632C7">
        <w:rPr>
          <w:b/>
          <w:i/>
          <w:sz w:val="20"/>
        </w:rPr>
        <w:t xml:space="preserve">Figure </w:t>
      </w:r>
      <w:r w:rsidRPr="00B632C7">
        <w:rPr>
          <w:b/>
          <w:i/>
          <w:sz w:val="20"/>
        </w:rPr>
        <w:fldChar w:fldCharType="begin"/>
      </w:r>
      <w:r w:rsidRPr="00B632C7">
        <w:rPr>
          <w:b/>
          <w:i/>
          <w:sz w:val="20"/>
        </w:rPr>
        <w:instrText xml:space="preserve"> STYLEREF 1 \s </w:instrText>
      </w:r>
      <w:r w:rsidRPr="00B632C7">
        <w:rPr>
          <w:b/>
          <w:i/>
          <w:sz w:val="20"/>
        </w:rPr>
        <w:fldChar w:fldCharType="separate"/>
      </w:r>
      <w:r w:rsidR="00636BAC">
        <w:rPr>
          <w:b/>
          <w:i/>
          <w:noProof/>
          <w:sz w:val="20"/>
        </w:rPr>
        <w:t>3</w:t>
      </w:r>
      <w:r w:rsidRPr="00B632C7">
        <w:rPr>
          <w:b/>
          <w:i/>
          <w:sz w:val="20"/>
        </w:rPr>
        <w:fldChar w:fldCharType="end"/>
      </w:r>
      <w:r w:rsidRPr="00B632C7">
        <w:rPr>
          <w:b/>
          <w:i/>
          <w:sz w:val="20"/>
        </w:rPr>
        <w:t>.</w:t>
      </w:r>
      <w:r w:rsidRPr="00B632C7">
        <w:rPr>
          <w:b/>
          <w:i/>
          <w:sz w:val="20"/>
        </w:rPr>
        <w:fldChar w:fldCharType="begin"/>
      </w:r>
      <w:r w:rsidRPr="00B632C7">
        <w:rPr>
          <w:b/>
          <w:i/>
          <w:sz w:val="20"/>
        </w:rPr>
        <w:instrText xml:space="preserve"> SEQ Figure \* ARABIC \s 1 </w:instrText>
      </w:r>
      <w:r w:rsidRPr="00B632C7">
        <w:rPr>
          <w:b/>
          <w:i/>
          <w:sz w:val="20"/>
        </w:rPr>
        <w:fldChar w:fldCharType="separate"/>
      </w:r>
      <w:r w:rsidR="00636BAC">
        <w:rPr>
          <w:b/>
          <w:i/>
          <w:noProof/>
          <w:sz w:val="20"/>
        </w:rPr>
        <w:t>3</w:t>
      </w:r>
      <w:r w:rsidRPr="00B632C7">
        <w:rPr>
          <w:b/>
          <w:i/>
          <w:sz w:val="20"/>
        </w:rPr>
        <w:fldChar w:fldCharType="end"/>
      </w:r>
      <w:r w:rsidRPr="00B632C7">
        <w:rPr>
          <w:b/>
          <w:i/>
          <w:sz w:val="20"/>
        </w:rPr>
        <w:t xml:space="preserve"> Net Profit Margin Increase</w:t>
      </w:r>
      <w:bookmarkEnd w:id="51"/>
      <w:bookmarkEnd w:id="52"/>
      <w:r w:rsidR="001B7170">
        <w:rPr>
          <w:b/>
          <w:i/>
          <w:sz w:val="20"/>
        </w:rPr>
        <w:br w:type="page"/>
      </w:r>
    </w:p>
    <w:p w14:paraId="638C27B6" w14:textId="2A9DB5AB" w:rsidR="00F52595" w:rsidRPr="00B7686D" w:rsidRDefault="551A77D0" w:rsidP="001D6F00">
      <w:pPr>
        <w:pStyle w:val="Heading1"/>
        <w:numPr>
          <w:ilvl w:val="0"/>
          <w:numId w:val="4"/>
        </w:numPr>
      </w:pPr>
      <w:bookmarkStart w:id="53" w:name="_Toc18443104"/>
      <w:r w:rsidRPr="009B2DF7">
        <w:lastRenderedPageBreak/>
        <w:t>Discussion</w:t>
      </w:r>
      <w:bookmarkEnd w:id="53"/>
    </w:p>
    <w:p w14:paraId="2D824473" w14:textId="7D444128" w:rsidR="00816B5C" w:rsidRDefault="009801F1" w:rsidP="00F767D6">
      <w:pPr>
        <w:spacing w:after="0"/>
      </w:pPr>
      <w:r>
        <w:t xml:space="preserve">Results presented in this report suggest that </w:t>
      </w:r>
      <w:r w:rsidR="00AA0215">
        <w:t>afforestation</w:t>
      </w:r>
      <w:r>
        <w:t xml:space="preserve"> systems are a form of land-use with a high potential to not only sequester carbon, but also contribute to soil regeneration and economic revitalization in marginal or degraded areas. </w:t>
      </w:r>
      <w:r w:rsidR="00B26611">
        <w:t xml:space="preserve">Afforestation is well recognized as a strategy to address climate change by many governments and international organizations, and there is therefore high potential for increased adoption of forest plantations in the coming decades. </w:t>
      </w:r>
      <w:r w:rsidR="00FD0307">
        <w:t>Nevertheless,</w:t>
      </w:r>
      <w:r w:rsidR="00F767D6" w:rsidRPr="00B7686D">
        <w:t xml:space="preserve"> several factors should be considered in relation to </w:t>
      </w:r>
      <w:r w:rsidR="00FD0307">
        <w:t xml:space="preserve">Drawdown model </w:t>
      </w:r>
      <w:r w:rsidR="00F767D6" w:rsidRPr="00B7686D">
        <w:t xml:space="preserve">results. </w:t>
      </w:r>
    </w:p>
    <w:p w14:paraId="0B7E342F" w14:textId="77777777" w:rsidR="00816B5C" w:rsidRDefault="00816B5C" w:rsidP="00F767D6">
      <w:pPr>
        <w:spacing w:after="0"/>
      </w:pPr>
    </w:p>
    <w:p w14:paraId="1C1A521D" w14:textId="3D6DA685" w:rsidR="00F767D6" w:rsidRPr="00B7686D" w:rsidRDefault="00F767D6" w:rsidP="00B7686D">
      <w:pPr>
        <w:spacing w:after="0"/>
      </w:pPr>
      <w:r w:rsidRPr="00B7686D">
        <w:t xml:space="preserve">First, the climate impacts generated by our model </w:t>
      </w:r>
      <w:r w:rsidR="00AD1B9D">
        <w:t>are significantly lower</w:t>
      </w:r>
      <w:r w:rsidRPr="00B7686D">
        <w:t xml:space="preserve"> than those of other sources including the IPCC. This likely reflects</w:t>
      </w:r>
      <w:r w:rsidR="00506286">
        <w:t xml:space="preserve"> both the variety of land-uses that can be established through afforestation, as well as the</w:t>
      </w:r>
      <w:r w:rsidRPr="00B7686D">
        <w:t xml:space="preserve"> multiple mitigation options available for the finite amount of degraded land available</w:t>
      </w:r>
      <w:r w:rsidR="00506286">
        <w:t xml:space="preserve"> </w:t>
      </w:r>
      <w:r w:rsidR="00506286" w:rsidRPr="00B632C7">
        <w:t>(</w:t>
      </w:r>
      <w:r w:rsidR="0020012E" w:rsidRPr="009D4EA1">
        <w:rPr>
          <w:iCs/>
        </w:rPr>
        <w:t>agroforestry</w:t>
      </w:r>
      <w:r w:rsidR="0020012E">
        <w:t xml:space="preserve">-related solutions, </w:t>
      </w:r>
      <w:r w:rsidR="008067F0">
        <w:rPr>
          <w:i/>
        </w:rPr>
        <w:t xml:space="preserve"> </w:t>
      </w:r>
      <w:r w:rsidR="008067F0" w:rsidRPr="008067F0">
        <w:rPr>
          <w:iCs/>
        </w:rPr>
        <w:t>biomass production</w:t>
      </w:r>
      <w:r w:rsidR="0020012E">
        <w:t xml:space="preserve"> solutions</w:t>
      </w:r>
      <w:r w:rsidR="00506286" w:rsidRPr="00B632C7">
        <w:t xml:space="preserve">, </w:t>
      </w:r>
      <w:r w:rsidR="00506286" w:rsidRPr="00B7686D">
        <w:rPr>
          <w:i/>
        </w:rPr>
        <w:t>forest restoration</w:t>
      </w:r>
      <w:r w:rsidR="00506286" w:rsidRPr="00B632C7">
        <w:t>, etc</w:t>
      </w:r>
      <w:r w:rsidR="00E07D68">
        <w:t>.)</w:t>
      </w:r>
      <w:r w:rsidR="0080134C">
        <w:t xml:space="preserve">, both of </w:t>
      </w:r>
      <w:r w:rsidR="00E07D68">
        <w:t xml:space="preserve">which </w:t>
      </w:r>
      <w:r w:rsidR="0080134C">
        <w:t xml:space="preserve">contribute to </w:t>
      </w:r>
      <w:r w:rsidR="00E07D68">
        <w:t>restrict</w:t>
      </w:r>
      <w:r w:rsidRPr="00B7686D">
        <w:t xml:space="preserve"> the total area available for </w:t>
      </w:r>
      <w:r w:rsidR="00D36A8B">
        <w:t>forest plantations</w:t>
      </w:r>
      <w:r w:rsidRPr="00B7686D">
        <w:t>.</w:t>
      </w:r>
    </w:p>
    <w:p w14:paraId="38CCDC9B" w14:textId="77777777" w:rsidR="00F767D6" w:rsidRPr="00B7686D" w:rsidRDefault="00F767D6" w:rsidP="00B7686D">
      <w:pPr>
        <w:spacing w:after="0"/>
      </w:pPr>
    </w:p>
    <w:p w14:paraId="0958B7C7" w14:textId="77777777" w:rsidR="0033679B" w:rsidRDefault="00816B5C" w:rsidP="0033679B">
      <w:pPr>
        <w:spacing w:after="0"/>
      </w:pPr>
      <w:r>
        <w:t>Second,</w:t>
      </w:r>
      <w:r w:rsidR="00F767D6" w:rsidRPr="00B7686D">
        <w:t xml:space="preserve"> </w:t>
      </w:r>
      <w:r w:rsidR="00AD748A">
        <w:t>variable</w:t>
      </w:r>
      <w:r w:rsidR="00F767D6" w:rsidRPr="00B7686D">
        <w:t xml:space="preserve"> harvest cycle</w:t>
      </w:r>
      <w:r>
        <w:t xml:space="preserve">s </w:t>
      </w:r>
      <w:r w:rsidR="00F767D6" w:rsidRPr="00B7686D">
        <w:t xml:space="preserve">of </w:t>
      </w:r>
      <w:r w:rsidR="0022752F">
        <w:t>forest plantations</w:t>
      </w:r>
      <w:r w:rsidR="00F767D6" w:rsidRPr="00B7686D">
        <w:t xml:space="preserve"> </w:t>
      </w:r>
      <w:r w:rsidR="00AD748A">
        <w:t xml:space="preserve">are difficult to accurately model. On the one hand, assumptions regarding long harvest cycles </w:t>
      </w:r>
      <w:r w:rsidR="00C666E5">
        <w:t xml:space="preserve">may lead to overestimation of </w:t>
      </w:r>
      <w:r w:rsidR="006A33F6">
        <w:t>the solution’s</w:t>
      </w:r>
      <w:r w:rsidR="00F767D6" w:rsidRPr="00B7686D">
        <w:t xml:space="preserve"> mitigation potential</w:t>
      </w:r>
      <w:r w:rsidR="006A33F6">
        <w:t>.</w:t>
      </w:r>
      <w:r w:rsidR="00F767D6" w:rsidRPr="00B7686D">
        <w:t xml:space="preserve"> </w:t>
      </w:r>
      <w:r w:rsidR="00C53224">
        <w:t xml:space="preserve">While </w:t>
      </w:r>
      <w:r w:rsidR="00DC0925">
        <w:t xml:space="preserve">final </w:t>
      </w:r>
      <w:r w:rsidR="000919A0">
        <w:t>plantation</w:t>
      </w:r>
      <w:r w:rsidR="00F767D6" w:rsidRPr="00B7686D">
        <w:t xml:space="preserve"> harvest</w:t>
      </w:r>
      <w:r w:rsidR="00DC0925">
        <w:t>s</w:t>
      </w:r>
      <w:r w:rsidR="00C53224">
        <w:t xml:space="preserve"> may lead to si</w:t>
      </w:r>
      <w:r w:rsidR="00C53224" w:rsidRPr="00B632C7">
        <w:t>gnificant emissions</w:t>
      </w:r>
      <w:r w:rsidR="00C53224">
        <w:t xml:space="preserve">, they </w:t>
      </w:r>
      <w:r w:rsidR="00F767D6" w:rsidRPr="00B7686D">
        <w:t xml:space="preserve">are not reflected in this model </w:t>
      </w:r>
      <w:r w:rsidR="003A4F65">
        <w:t>as</w:t>
      </w:r>
      <w:r w:rsidR="00CD6A82">
        <w:t xml:space="preserve"> forest plantation life-cycles</w:t>
      </w:r>
      <w:r w:rsidR="003A4F65">
        <w:t xml:space="preserve"> are currently</w:t>
      </w:r>
      <w:r w:rsidR="00CD6A82">
        <w:t xml:space="preserve"> projected</w:t>
      </w:r>
      <w:r w:rsidR="00F767D6" w:rsidRPr="00B7686D">
        <w:t xml:space="preserve"> to</w:t>
      </w:r>
      <w:r w:rsidR="00CD6A82">
        <w:t xml:space="preserve"> end</w:t>
      </w:r>
      <w:r w:rsidR="00F767D6" w:rsidRPr="00B7686D">
        <w:t xml:space="preserve"> after 2050</w:t>
      </w:r>
      <w:r w:rsidR="00CD6A82">
        <w:t>, i.e. outside of the scope of Drawdown’s projections</w:t>
      </w:r>
      <w:r w:rsidR="00F767D6" w:rsidRPr="00B7686D">
        <w:t xml:space="preserve">. </w:t>
      </w:r>
      <w:r w:rsidR="00C53224">
        <w:t>On the other hand, long harvest cycles are also associated with</w:t>
      </w:r>
      <w:r w:rsidR="00F647EC">
        <w:t xml:space="preserve"> </w:t>
      </w:r>
      <w:r w:rsidR="00C53224">
        <w:t>delayed</w:t>
      </w:r>
      <w:r w:rsidR="00F647EC">
        <w:t xml:space="preserve"> profits and </w:t>
      </w:r>
      <w:r w:rsidR="00C53224">
        <w:t>suggest that forest plantations are an</w:t>
      </w:r>
      <w:r w:rsidR="00F767D6" w:rsidRPr="00B7686D">
        <w:t xml:space="preserve"> expensive mitigation option with no financial return. </w:t>
      </w:r>
      <w:r w:rsidR="00C53224">
        <w:t>While Drawdown assumes full harvest only at the end of plantation life-cycles, i</w:t>
      </w:r>
      <w:r w:rsidR="00F767D6" w:rsidRPr="00B7686D">
        <w:t>n reality</w:t>
      </w:r>
      <w:r w:rsidR="001D5EB4">
        <w:t>,</w:t>
      </w:r>
      <w:r w:rsidR="00C53224">
        <w:t xml:space="preserve"> </w:t>
      </w:r>
      <w:r w:rsidR="001D5EB4">
        <w:t>some trees are harvested throughout a plantation life-cycle through continuous thinning</w:t>
      </w:r>
      <w:r w:rsidR="00F767D6" w:rsidRPr="00B7686D">
        <w:t>. Additionally, some species are harvested on much shorter rotations</w:t>
      </w:r>
      <w:r w:rsidR="003656B1">
        <w:t xml:space="preserve"> than others</w:t>
      </w:r>
      <w:r w:rsidR="00F767D6" w:rsidRPr="00B7686D">
        <w:t xml:space="preserve">. </w:t>
      </w:r>
    </w:p>
    <w:p w14:paraId="2AE0776D" w14:textId="77777777" w:rsidR="0033679B" w:rsidRDefault="0033679B" w:rsidP="0033679B">
      <w:pPr>
        <w:spacing w:after="0"/>
      </w:pPr>
    </w:p>
    <w:p w14:paraId="47DE9885" w14:textId="64628A29" w:rsidR="0033679B" w:rsidRDefault="00AC782D" w:rsidP="0033679B">
      <w:pPr>
        <w:spacing w:after="0"/>
      </w:pPr>
      <w:r>
        <w:t>Finally, n</w:t>
      </w:r>
      <w:r w:rsidRPr="00B632C7">
        <w:t xml:space="preserve">ot all afforested plantations are used </w:t>
      </w:r>
      <w:r>
        <w:t>for</w:t>
      </w:r>
      <w:r w:rsidRPr="00B632C7">
        <w:t xml:space="preserve"> timber</w:t>
      </w:r>
      <w:r>
        <w:t>, and data about the</w:t>
      </w:r>
      <w:r w:rsidR="0033679B">
        <w:t xml:space="preserve"> proportions of final products from forest plantations on regional or global scales are currently not available. Similarly, studies documenting the</w:t>
      </w:r>
      <w:r>
        <w:t xml:space="preserve"> amount of carbon stored in final products from commercial forest plantations remain</w:t>
      </w:r>
      <w:r w:rsidR="0033679B">
        <w:t xml:space="preserve"> scarce</w:t>
      </w:r>
      <w:r w:rsidRPr="00B632C7">
        <w:t xml:space="preserve">. </w:t>
      </w:r>
      <w:r w:rsidR="0033679B">
        <w:t>This data would provide valuable information about the amount of carbon that stays stored in biomass (e.g. in timber furniture, construction materials, cardboard, etc.) and allow for more accurate estimates of this solution’s carbon sequestration potential. Note that for this reason, this</w:t>
      </w:r>
      <w:r w:rsidRPr="00B632C7">
        <w:t xml:space="preserve"> solution also connects with other Drawdown solutions </w:t>
      </w:r>
      <w:r w:rsidR="0033679B">
        <w:t>such as</w:t>
      </w:r>
      <w:r w:rsidRPr="00B632C7">
        <w:t xml:space="preserve"> </w:t>
      </w:r>
      <w:r w:rsidRPr="00B7686D">
        <w:rPr>
          <w:i/>
        </w:rPr>
        <w:t>Building with Wood</w:t>
      </w:r>
      <w:r w:rsidRPr="00B632C7">
        <w:t xml:space="preserve">, </w:t>
      </w:r>
      <w:r w:rsidRPr="00B7686D">
        <w:rPr>
          <w:i/>
        </w:rPr>
        <w:t>Recycled Paper</w:t>
      </w:r>
      <w:r w:rsidRPr="00B632C7">
        <w:t xml:space="preserve">, and </w:t>
      </w:r>
      <w:r w:rsidRPr="00B7686D">
        <w:rPr>
          <w:i/>
        </w:rPr>
        <w:t>Clean Cookstoves</w:t>
      </w:r>
      <w:r w:rsidR="0033679B">
        <w:t>.</w:t>
      </w:r>
    </w:p>
    <w:p w14:paraId="00EAC1B9" w14:textId="77777777" w:rsidR="0033679B" w:rsidRDefault="0033679B" w:rsidP="0033679B">
      <w:pPr>
        <w:spacing w:after="0"/>
      </w:pPr>
    </w:p>
    <w:p w14:paraId="4C1A329B" w14:textId="40EC2EEA" w:rsidR="00F767D6" w:rsidRPr="00B7686D" w:rsidRDefault="00F27385" w:rsidP="00B7686D">
      <w:pPr>
        <w:spacing w:after="0"/>
      </w:pPr>
      <w:r>
        <w:lastRenderedPageBreak/>
        <w:t>While accurate data reflecting the complexity of harvest cycles and of related f</w:t>
      </w:r>
      <w:r w:rsidRPr="00B632C7">
        <w:t xml:space="preserve">inancial and </w:t>
      </w:r>
      <w:r>
        <w:t>ecological</w:t>
      </w:r>
      <w:r w:rsidRPr="00B632C7">
        <w:t xml:space="preserve"> consequences</w:t>
      </w:r>
      <w:r>
        <w:t xml:space="preserve"> is currently still lacking, f</w:t>
      </w:r>
      <w:r w:rsidR="00AB0C83">
        <w:t>uture reiterations of this</w:t>
      </w:r>
      <w:r w:rsidR="00F767D6" w:rsidRPr="00B7686D">
        <w:t xml:space="preserve"> model </w:t>
      </w:r>
      <w:r w:rsidR="00AB0C83">
        <w:t>might</w:t>
      </w:r>
      <w:r w:rsidR="00F767D6" w:rsidRPr="00B7686D">
        <w:t xml:space="preserve"> be</w:t>
      </w:r>
      <w:r w:rsidR="00AB0C83">
        <w:t xml:space="preserve"> </w:t>
      </w:r>
      <w:r>
        <w:t>improved through the inclusion of such</w:t>
      </w:r>
      <w:r w:rsidR="00AB0C83">
        <w:t xml:space="preserve"> </w:t>
      </w:r>
      <w:r>
        <w:t>data as it becomes available.</w:t>
      </w:r>
    </w:p>
    <w:p w14:paraId="319DCBD8" w14:textId="325B162B" w:rsidR="006745FF" w:rsidRDefault="006745FF" w:rsidP="001D6F00">
      <w:pPr>
        <w:pStyle w:val="Heading2"/>
        <w:numPr>
          <w:ilvl w:val="1"/>
          <w:numId w:val="4"/>
        </w:numPr>
      </w:pPr>
      <w:bookmarkStart w:id="54" w:name="_Toc18443105"/>
      <w:r w:rsidRPr="551A77D0">
        <w:t>Limitations</w:t>
      </w:r>
      <w:bookmarkEnd w:id="54"/>
    </w:p>
    <w:p w14:paraId="36E2A305" w14:textId="78B0E481" w:rsidR="007F09B9" w:rsidRPr="00B7686D" w:rsidRDefault="00A70C8D" w:rsidP="00B7686D">
      <w:r w:rsidRPr="0078465B">
        <w:rPr>
          <w:rFonts w:ascii="Times" w:eastAsia="Arial" w:hAnsi="Times" w:cs="Arial"/>
          <w:color w:val="000000" w:themeColor="text1"/>
        </w:rPr>
        <w:t>This study could be improved with additional</w:t>
      </w:r>
      <w:r>
        <w:rPr>
          <w:rFonts w:ascii="Times" w:eastAsia="Arial" w:hAnsi="Times" w:cs="Arial"/>
          <w:color w:val="000000" w:themeColor="text1"/>
        </w:rPr>
        <w:t>, more accurate</w:t>
      </w:r>
      <w:r w:rsidRPr="0078465B">
        <w:rPr>
          <w:rFonts w:ascii="Times" w:eastAsia="Arial" w:hAnsi="Times" w:cs="Arial"/>
          <w:color w:val="000000" w:themeColor="text1"/>
        </w:rPr>
        <w:t xml:space="preserve"> data points on financials</w:t>
      </w:r>
      <w:r>
        <w:rPr>
          <w:rFonts w:ascii="Times" w:eastAsia="Arial" w:hAnsi="Times" w:cs="Arial"/>
          <w:color w:val="000000" w:themeColor="text1"/>
        </w:rPr>
        <w:t xml:space="preserve"> and C sequestration parameters, as well as more accurate</w:t>
      </w:r>
      <w:r w:rsidRPr="0078465B">
        <w:rPr>
          <w:rFonts w:ascii="Times" w:eastAsia="Arial" w:hAnsi="Times" w:cs="Arial"/>
          <w:color w:val="000000" w:themeColor="text1"/>
        </w:rPr>
        <w:t xml:space="preserve"> data on current and projected adoption</w:t>
      </w:r>
      <w:r>
        <w:rPr>
          <w:rFonts w:ascii="Times" w:eastAsia="Arial" w:hAnsi="Times" w:cs="Arial"/>
          <w:color w:val="000000" w:themeColor="text1"/>
        </w:rPr>
        <w:t xml:space="preserve"> which focus on forest plantations rather than general afforestation activities. </w:t>
      </w:r>
      <w:r>
        <w:t xml:space="preserve">Another </w:t>
      </w:r>
      <w:r w:rsidR="00B10BA4" w:rsidRPr="00B7686D">
        <w:t>limitation is the use of a single sequestration rate across all climates</w:t>
      </w:r>
      <w:r w:rsidR="008033F1">
        <w:t xml:space="preserve">. In addition </w:t>
      </w:r>
      <w:r w:rsidR="006B328E">
        <w:t>the</w:t>
      </w:r>
      <w:r w:rsidR="00B10BA4" w:rsidRPr="00B7686D">
        <w:t xml:space="preserve"> current version of the model does not account for albedo impacts at temperate and boreal latitudes. It would a</w:t>
      </w:r>
      <w:r w:rsidR="00CA121B">
        <w:t>dditionally</w:t>
      </w:r>
      <w:r w:rsidR="00B10BA4" w:rsidRPr="00B7686D">
        <w:t xml:space="preserve"> be desirable to model the impacts of timber replacing carbon and steel in construction, as these materials are emissions-intensive.</w:t>
      </w:r>
    </w:p>
    <w:p w14:paraId="2139E8E7" w14:textId="767A0E25" w:rsidR="006745FF" w:rsidRDefault="006745FF" w:rsidP="001D6F00">
      <w:pPr>
        <w:pStyle w:val="Heading2"/>
        <w:numPr>
          <w:ilvl w:val="1"/>
          <w:numId w:val="4"/>
        </w:numPr>
      </w:pPr>
      <w:bookmarkStart w:id="55" w:name="_Toc18443106"/>
      <w:r w:rsidRPr="551A77D0">
        <w:t>Benchmarks</w:t>
      </w:r>
      <w:bookmarkEnd w:id="55"/>
    </w:p>
    <w:p w14:paraId="4FB8A65B" w14:textId="356088A7" w:rsidR="00D203E4" w:rsidRDefault="00D203E4" w:rsidP="00D203E4">
      <w:pPr>
        <w:shd w:val="clear" w:color="auto" w:fill="FFFFFF"/>
        <w:spacing w:after="180"/>
      </w:pPr>
      <w:r w:rsidRPr="00B7686D">
        <w:t xml:space="preserve">The IPCC provides a benchmark of 4.0 gigatons of carbon dioxide-equivalent per year in 2030 from afforestation, given a price of $100 per ton of carbon dioxide </w:t>
      </w:r>
      <w:r w:rsidR="00B7686D">
        <w:fldChar w:fldCharType="begin"/>
      </w:r>
      <w:r w:rsidR="00B7686D">
        <w:instrText xml:space="preserve"> ADDIN ZOTERO_ITEM CSL_CITATION {"citationID":"wVBTIveZ","properties":{"formattedCitation":"(Netz et al., 2007)","plainCitation":"(Netz et al., 2007)","noteIndex":0},"citationItems":[{"id":2923,"uris":["http://zotero.org/groups/2241939/items/JGDP2YVX"],"uri":["http://zotero.org/groups/2241939/items/JGDP2YVX"],"itemData":{"id":2923,"type":"article-journal","title":"Climate change 2007: Mitigation. Contribution of Working Group III to the Fourth Assessment Report of the Intergovernmental Panel on Climate Change. Summary for Policymakers.","container-title":"Climate change 2007: Mitigation. Contribution of Working Group III to the Fourth Assessment Report of the Intergovernmental Panel on Climate Change. Summary for Policymakers.","author":[{"family":"Netz","given":"B"},{"family":"Davidson","given":"OR"},{"family":"Bosch","given":"PR"},{"family":"Dave","given":"R"},{"family":"Meyer","given":"LA"},{"literal":"others"}],"issued":{"date-parts":[["2007"]]}}}],"schema":"https://github.com/citation-style-language/schema/raw/master/csl-citation.json"} </w:instrText>
      </w:r>
      <w:r w:rsidR="00B7686D">
        <w:fldChar w:fldCharType="separate"/>
      </w:r>
      <w:r w:rsidR="00B7686D" w:rsidRPr="00B7686D">
        <w:rPr>
          <w:rFonts w:cs="Times New Roman"/>
        </w:rPr>
        <w:t>(Netz et al., 2007)</w:t>
      </w:r>
      <w:r w:rsidR="00B7686D">
        <w:fldChar w:fldCharType="end"/>
      </w:r>
      <w:r w:rsidRPr="00B7686D">
        <w:t xml:space="preserve">. </w:t>
      </w:r>
      <w:r w:rsidR="008E7502">
        <w:t xml:space="preserve">A recent study by </w:t>
      </w:r>
      <w:r w:rsidR="008E7502">
        <w:fldChar w:fldCharType="begin"/>
      </w:r>
      <w:r w:rsidR="008E7502">
        <w:instrText xml:space="preserve"> ADDIN ZOTERO_ITEM CSL_CITATION {"citationID":"j9jzc3Oc","properties":{"formattedCitation":"(Lal et al., 2018)","plainCitation":"(Lal et al., 2018)","noteIndex":0},"citationItems":[{"id":2028,"uris":["http://zotero.org/groups/2241939/items/ZJ5AC9RL"],"uri":["http://zotero.org/groups/2241939/items/ZJ5AC9RL"],"itemData":{"id":2028,"type":"article-journal","title":"The carbon sequestration potential of terrestrial ecosystems","container-title":"Journal of Soil and Water Conservation","page":"145A-152A","volume":"73","issue":"6","source":"Crossref","DOI":"10.2489/jswc.73.6.145A","ISSN":"0022-4561, 1941-3300","language":"en","author":[{"family":"Lal","given":"Rattan"},{"family":"Smith","given":"Pete"},{"family":"Jungkunst","given":"Hermann F."},{"family":"Mitsch","given":"William J."},{"family":"Lehmann","given":"Johannes"},{"family":"Nair","given":"P.K. Ramachandran"},{"family":"McBratney","given":"Alex B."},{"family":"Moraes Sá","given":"João Carlos","non-dropping-particle":"de"},{"family":"Schneider","given":"Julia"},{"family":"Zinn","given":"Yuri L."},{"family":"Skorupa","given":"Alba L.A."},{"family":"Zhang","given":"Hai-Lin"},{"family":"Minasny","given":"Budiman"},{"family":"Srinivasrao","given":"Cherukumalli"},{"family":"Ravindranath","given":"Nijavalli H."}],"issued":{"date-parts":[["2018"]]}}}],"schema":"https://github.com/citation-style-language/schema/raw/master/csl-citation.json"} </w:instrText>
      </w:r>
      <w:r w:rsidR="008E7502">
        <w:fldChar w:fldCharType="separate"/>
      </w:r>
      <w:r w:rsidR="008E7502" w:rsidRPr="008E7502">
        <w:rPr>
          <w:rFonts w:cs="Times New Roman"/>
        </w:rPr>
        <w:t>Lal et al.</w:t>
      </w:r>
      <w:r w:rsidR="008E7502">
        <w:rPr>
          <w:rFonts w:cs="Times New Roman"/>
        </w:rPr>
        <w:t xml:space="preserve"> (</w:t>
      </w:r>
      <w:r w:rsidR="008E7502" w:rsidRPr="008E7502">
        <w:rPr>
          <w:rFonts w:cs="Times New Roman"/>
        </w:rPr>
        <w:t>2018)</w:t>
      </w:r>
      <w:r w:rsidR="008E7502">
        <w:fldChar w:fldCharType="end"/>
      </w:r>
      <w:r w:rsidR="008E7502">
        <w:t xml:space="preserve"> estimates about 500 Mha of degraded and abandoned land available for afforestation activities, and further estimates a </w:t>
      </w:r>
      <w:r w:rsidR="0078017A">
        <w:t xml:space="preserve">technical </w:t>
      </w:r>
      <w:r w:rsidR="008E7502">
        <w:t>mitigation impact of 4.0 – 9.1 Gt CO</w:t>
      </w:r>
      <w:r w:rsidR="008E7502">
        <w:rPr>
          <w:vertAlign w:val="subscript"/>
        </w:rPr>
        <w:t>2</w:t>
      </w:r>
      <w:r w:rsidR="008E7502">
        <w:t xml:space="preserve"> eq. on this land. </w:t>
      </w:r>
      <w:r w:rsidRPr="00B7686D">
        <w:t>The Drawdown model</w:t>
      </w:r>
      <w:r w:rsidR="008E7502">
        <w:t xml:space="preserve">, which limits the adoption of afforested plantations on </w:t>
      </w:r>
      <w:r w:rsidR="0047089D">
        <w:t>degraded and marginal grassland not allocated to other land-use solutions,</w:t>
      </w:r>
      <w:r w:rsidRPr="00B7686D">
        <w:t xml:space="preserve"> shows 0.6</w:t>
      </w:r>
      <w:r w:rsidR="00172CCC">
        <w:t>9</w:t>
      </w:r>
      <w:r w:rsidRPr="00B7686D">
        <w:t>-</w:t>
      </w:r>
      <w:r w:rsidR="00172CCC">
        <w:t>1.78</w:t>
      </w:r>
      <w:r w:rsidRPr="00B7686D">
        <w:t xml:space="preserve"> gigatons of carbon dioxide-equivalent per year in 2030 from </w:t>
      </w:r>
      <w:r w:rsidR="00E449BC">
        <w:rPr>
          <w:i/>
        </w:rPr>
        <w:t>afforestation</w:t>
      </w:r>
      <w:r w:rsidRPr="00B7686D">
        <w:t>. These impact</w:t>
      </w:r>
      <w:r>
        <w:t>s</w:t>
      </w:r>
      <w:r w:rsidRPr="00B7686D">
        <w:t xml:space="preserve"> are lower</w:t>
      </w:r>
      <w:r>
        <w:t xml:space="preserve"> than </w:t>
      </w:r>
      <w:r w:rsidR="0047089D">
        <w:t>the</w:t>
      </w:r>
      <w:r>
        <w:t xml:space="preserve"> benchmarks</w:t>
      </w:r>
      <w:r w:rsidR="0047089D">
        <w:t xml:space="preserve"> presented here – this might be explained by broader definitions of</w:t>
      </w:r>
      <w:r>
        <w:t xml:space="preserve"> afforestation </w:t>
      </w:r>
      <w:r w:rsidR="0047089D">
        <w:t xml:space="preserve">in both presented sources, which </w:t>
      </w:r>
      <w:r>
        <w:t>may include other systems other than forest plantations</w:t>
      </w:r>
      <w:r w:rsidR="0047089D">
        <w:t xml:space="preserve">. </w:t>
      </w:r>
      <w:r w:rsidR="0047089D" w:rsidRPr="0078465B">
        <w:rPr>
          <w:rFonts w:ascii="Times" w:eastAsia="Helvetica Neue" w:hAnsi="Times" w:cs="Helvetica Neue"/>
          <w:color w:val="000000" w:themeColor="text1"/>
          <w:highlight w:val="white"/>
        </w:rPr>
        <w:t xml:space="preserve">The combined impact of Drawdown’s three </w:t>
      </w:r>
      <w:r w:rsidR="003B0395">
        <w:rPr>
          <w:rFonts w:ascii="Times" w:eastAsia="Helvetica Neue" w:hAnsi="Times" w:cs="Helvetica Neue"/>
          <w:color w:val="000000" w:themeColor="text1"/>
          <w:highlight w:val="white"/>
        </w:rPr>
        <w:t>dedicated perennial biomass</w:t>
      </w:r>
      <w:r w:rsidR="0047089D" w:rsidRPr="0078465B">
        <w:rPr>
          <w:rFonts w:ascii="Times" w:eastAsia="Helvetica Neue" w:hAnsi="Times" w:cs="Helvetica Neue"/>
          <w:color w:val="000000" w:themeColor="text1"/>
          <w:highlight w:val="white"/>
        </w:rPr>
        <w:t xml:space="preserve"> solutions </w:t>
      </w:r>
      <w:r w:rsidR="0047089D">
        <w:t>(</w:t>
      </w:r>
      <w:r w:rsidR="003B0395">
        <w:rPr>
          <w:i/>
        </w:rPr>
        <w:t>afforestation</w:t>
      </w:r>
      <w:r w:rsidR="0047089D">
        <w:t>,</w:t>
      </w:r>
      <w:r w:rsidR="0047089D" w:rsidRPr="00B7686D">
        <w:t> </w:t>
      </w:r>
      <w:r w:rsidR="0047089D" w:rsidRPr="00B7686D">
        <w:rPr>
          <w:i/>
        </w:rPr>
        <w:t>bamboo</w:t>
      </w:r>
      <w:r w:rsidR="0047089D" w:rsidRPr="00B7686D">
        <w:t> and </w:t>
      </w:r>
      <w:r w:rsidR="0047089D" w:rsidRPr="00B7686D">
        <w:rPr>
          <w:i/>
        </w:rPr>
        <w:t>perennial biomass</w:t>
      </w:r>
      <w:r w:rsidR="0047089D">
        <w:t>) is</w:t>
      </w:r>
      <w:r w:rsidR="0047089D" w:rsidRPr="00B7686D">
        <w:t xml:space="preserve"> </w:t>
      </w:r>
      <w:r w:rsidR="00172CCC">
        <w:t>1.10-2.76</w:t>
      </w:r>
      <w:r w:rsidR="0047089D" w:rsidRPr="00B7686D">
        <w:t xml:space="preserve"> gigatons of carbon dioxide-equivalent per year</w:t>
      </w:r>
      <w:r w:rsidR="0047089D">
        <w:t xml:space="preserve"> </w:t>
      </w:r>
      <w:r w:rsidR="0047089D" w:rsidRPr="00B632C7">
        <w:t>in 2030</w:t>
      </w:r>
      <w:r w:rsidR="0047089D" w:rsidRPr="00B7686D">
        <w:t>.</w:t>
      </w:r>
      <w:r w:rsidR="0047089D">
        <w:t xml:space="preserve"> Additionally, as mentioned above,</w:t>
      </w:r>
      <w:r>
        <w:t xml:space="preserve"> Project Drawdown models </w:t>
      </w:r>
      <w:r w:rsidR="004C23EF">
        <w:t>projects</w:t>
      </w:r>
      <w:r>
        <w:t xml:space="preserve"> significantly </w:t>
      </w:r>
      <w:r w:rsidRPr="00B7686D">
        <w:t>lower adoption</w:t>
      </w:r>
      <w:r>
        <w:t xml:space="preserve"> </w:t>
      </w:r>
      <w:r w:rsidR="004C23EF">
        <w:t>than several</w:t>
      </w:r>
      <w:r w:rsidRPr="00B7686D">
        <w:t xml:space="preserve"> </w:t>
      </w:r>
      <w:r w:rsidR="004C23EF">
        <w:t>others</w:t>
      </w:r>
      <w:r w:rsidRPr="00B7686D">
        <w:t xml:space="preserve"> due to higher prioritization of other land uses. </w:t>
      </w:r>
      <w:r w:rsidR="0047089D">
        <w:t>Ultimately, Project Drawdown’s estimates are more conservative than other existing benchmarks, which implies that potential impacts of the solution might be higher than projected here.</w:t>
      </w:r>
    </w:p>
    <w:p w14:paraId="08FEA322" w14:textId="2BC50082" w:rsidR="0044153A" w:rsidRDefault="0044153A" w:rsidP="00D203E4">
      <w:pPr>
        <w:shd w:val="clear" w:color="auto" w:fill="FFFFFF"/>
        <w:spacing w:after="180"/>
      </w:pPr>
    </w:p>
    <w:p w14:paraId="3FB134B2" w14:textId="0C3F76B8" w:rsidR="0044153A" w:rsidRDefault="0044153A" w:rsidP="00D203E4">
      <w:pPr>
        <w:shd w:val="clear" w:color="auto" w:fill="FFFFFF"/>
        <w:spacing w:after="180"/>
      </w:pPr>
    </w:p>
    <w:p w14:paraId="79BA3374" w14:textId="7754D556" w:rsidR="0044153A" w:rsidRDefault="0044153A" w:rsidP="00D203E4">
      <w:pPr>
        <w:shd w:val="clear" w:color="auto" w:fill="FFFFFF"/>
        <w:spacing w:after="180"/>
      </w:pPr>
    </w:p>
    <w:p w14:paraId="0C89292D" w14:textId="77777777" w:rsidR="0044153A" w:rsidRDefault="0044153A" w:rsidP="00D203E4">
      <w:pPr>
        <w:shd w:val="clear" w:color="auto" w:fill="FFFFFF"/>
        <w:spacing w:after="180"/>
      </w:pPr>
    </w:p>
    <w:p w14:paraId="79D2C3C7" w14:textId="7E04C54F" w:rsidR="00D203E4" w:rsidRDefault="00172CCC" w:rsidP="00172CCC">
      <w:pPr>
        <w:pStyle w:val="Caption"/>
        <w:keepNext/>
        <w:rPr>
          <w:b/>
          <w:i w:val="0"/>
          <w:sz w:val="20"/>
        </w:rPr>
      </w:pPr>
      <w:bookmarkStart w:id="56" w:name="_Toc18443162"/>
      <w:r>
        <w:lastRenderedPageBreak/>
        <w:t xml:space="preserve">Table </w:t>
      </w:r>
      <w:fldSimple w:instr=" STYLEREF 1 \s ">
        <w:r w:rsidR="00636BAC">
          <w:rPr>
            <w:noProof/>
          </w:rPr>
          <w:t>4</w:t>
        </w:r>
      </w:fldSimple>
      <w:r>
        <w:t>.</w:t>
      </w:r>
      <w:fldSimple w:instr=" SEQ Table \* ARABIC \s 1 ">
        <w:r w:rsidR="00636BAC">
          <w:rPr>
            <w:noProof/>
          </w:rPr>
          <w:t>1</w:t>
        </w:r>
      </w:fldSimple>
      <w:r>
        <w:t xml:space="preserve">: </w:t>
      </w:r>
      <w:r w:rsidR="00D203E4" w:rsidRPr="00B7686D">
        <w:rPr>
          <w:b/>
          <w:sz w:val="20"/>
        </w:rPr>
        <w:t>Benchmarks</w:t>
      </w:r>
      <w:bookmarkEnd w:id="56"/>
    </w:p>
    <w:tbl>
      <w:tblPr>
        <w:tblStyle w:val="TableGrid"/>
        <w:tblW w:w="2799" w:type="pct"/>
        <w:jc w:val="center"/>
        <w:tblLook w:val="04A0" w:firstRow="1" w:lastRow="0" w:firstColumn="1" w:lastColumn="0" w:noHBand="0" w:noVBand="1"/>
      </w:tblPr>
      <w:tblGrid>
        <w:gridCol w:w="2341"/>
        <w:gridCol w:w="1446"/>
        <w:gridCol w:w="1447"/>
      </w:tblGrid>
      <w:tr w:rsidR="00DE7090" w:rsidRPr="006B675D" w14:paraId="45DC86EA" w14:textId="77777777" w:rsidTr="00B368B5">
        <w:trPr>
          <w:cantSplit/>
          <w:trHeight w:val="329"/>
          <w:tblHeader/>
          <w:jc w:val="center"/>
        </w:trPr>
        <w:tc>
          <w:tcPr>
            <w:tcW w:w="2236" w:type="pct"/>
            <w:shd w:val="clear" w:color="auto" w:fill="4F81BD" w:themeFill="accent1"/>
            <w:vAlign w:val="center"/>
          </w:tcPr>
          <w:p w14:paraId="70775669" w14:textId="77777777" w:rsidR="00DE7090" w:rsidRPr="006B675D" w:rsidRDefault="00DE7090" w:rsidP="006F3213">
            <w:pPr>
              <w:jc w:val="center"/>
              <w:rPr>
                <w:b/>
                <w:bCs/>
                <w:color w:val="FFFFFF" w:themeColor="background1"/>
                <w:sz w:val="20"/>
                <w:szCs w:val="20"/>
              </w:rPr>
            </w:pPr>
            <w:r w:rsidRPr="006B675D">
              <w:rPr>
                <w:b/>
                <w:bCs/>
                <w:color w:val="FFFFFF" w:themeColor="background1"/>
                <w:sz w:val="20"/>
                <w:szCs w:val="20"/>
              </w:rPr>
              <w:t>Source and Scenario</w:t>
            </w:r>
          </w:p>
        </w:tc>
        <w:tc>
          <w:tcPr>
            <w:tcW w:w="1381" w:type="pct"/>
            <w:shd w:val="clear" w:color="auto" w:fill="4F81BD" w:themeFill="accent1"/>
            <w:vAlign w:val="center"/>
          </w:tcPr>
          <w:p w14:paraId="2D3AFCEF" w14:textId="173CE7AD" w:rsidR="00DE7090" w:rsidRPr="006B675D" w:rsidRDefault="00DE7090" w:rsidP="006F3213">
            <w:pPr>
              <w:jc w:val="center"/>
              <w:rPr>
                <w:b/>
                <w:color w:val="FFFFFF" w:themeColor="background1"/>
                <w:sz w:val="20"/>
                <w:szCs w:val="20"/>
              </w:rPr>
            </w:pPr>
            <w:r w:rsidRPr="006B675D">
              <w:rPr>
                <w:b/>
                <w:color w:val="FFFFFF" w:themeColor="background1"/>
                <w:sz w:val="20"/>
                <w:szCs w:val="20"/>
              </w:rPr>
              <w:t>New Adoption</w:t>
            </w:r>
            <w:r w:rsidR="00853C9C">
              <w:rPr>
                <w:b/>
                <w:color w:val="FFFFFF" w:themeColor="background1"/>
                <w:sz w:val="20"/>
                <w:szCs w:val="20"/>
              </w:rPr>
              <w:t xml:space="preserve"> in Mha</w:t>
            </w:r>
          </w:p>
        </w:tc>
        <w:tc>
          <w:tcPr>
            <w:tcW w:w="1382" w:type="pct"/>
            <w:shd w:val="clear" w:color="auto" w:fill="4F81BD" w:themeFill="accent1"/>
            <w:vAlign w:val="center"/>
          </w:tcPr>
          <w:p w14:paraId="4B062594" w14:textId="77777777" w:rsidR="00DE7090" w:rsidRPr="006B675D" w:rsidRDefault="00DE7090" w:rsidP="006F3213">
            <w:pPr>
              <w:jc w:val="center"/>
              <w:rPr>
                <w:b/>
                <w:color w:val="FFFFFF" w:themeColor="background1"/>
                <w:sz w:val="20"/>
                <w:szCs w:val="20"/>
              </w:rPr>
            </w:pPr>
            <w:r w:rsidRPr="006B675D">
              <w:rPr>
                <w:b/>
                <w:color w:val="FFFFFF" w:themeColor="background1"/>
                <w:sz w:val="20"/>
                <w:szCs w:val="20"/>
              </w:rPr>
              <w:t>Mitigation Impact (i.e. Gt CO</w:t>
            </w:r>
            <w:r w:rsidRPr="006B675D">
              <w:rPr>
                <w:b/>
                <w:color w:val="FFFFFF" w:themeColor="background1"/>
                <w:sz w:val="20"/>
                <w:szCs w:val="20"/>
                <w:vertAlign w:val="subscript"/>
              </w:rPr>
              <w:t>2-eq</w:t>
            </w:r>
            <w:r w:rsidRPr="006B675D">
              <w:rPr>
                <w:b/>
                <w:color w:val="FFFFFF" w:themeColor="background1"/>
                <w:sz w:val="20"/>
                <w:szCs w:val="20"/>
              </w:rPr>
              <w:t xml:space="preserve"> in 2030)</w:t>
            </w:r>
          </w:p>
        </w:tc>
      </w:tr>
      <w:tr w:rsidR="00DE7090" w:rsidRPr="006B675D" w14:paraId="38B9D1B8" w14:textId="77777777" w:rsidTr="00B368B5">
        <w:trPr>
          <w:trHeight w:val="432"/>
          <w:jc w:val="center"/>
        </w:trPr>
        <w:tc>
          <w:tcPr>
            <w:tcW w:w="2236" w:type="pct"/>
            <w:vAlign w:val="center"/>
          </w:tcPr>
          <w:p w14:paraId="3830AB48" w14:textId="2297F439" w:rsidR="00DE7090" w:rsidRPr="005414F8" w:rsidRDefault="00B368B5" w:rsidP="006F3213">
            <w:pPr>
              <w:jc w:val="center"/>
              <w:rPr>
                <w:sz w:val="20"/>
                <w:szCs w:val="20"/>
              </w:rPr>
            </w:pPr>
            <w:r w:rsidRPr="005414F8">
              <w:rPr>
                <w:sz w:val="20"/>
                <w:szCs w:val="20"/>
              </w:rPr>
              <w:t>Netz (2007)</w:t>
            </w:r>
          </w:p>
        </w:tc>
        <w:tc>
          <w:tcPr>
            <w:tcW w:w="1381" w:type="pct"/>
            <w:vAlign w:val="center"/>
          </w:tcPr>
          <w:p w14:paraId="3E27AEB1" w14:textId="3625C178" w:rsidR="00DE7090" w:rsidRPr="005414F8" w:rsidRDefault="005414F8" w:rsidP="006F3213">
            <w:pPr>
              <w:jc w:val="center"/>
              <w:rPr>
                <w:sz w:val="20"/>
                <w:szCs w:val="20"/>
              </w:rPr>
            </w:pPr>
            <w:r>
              <w:rPr>
                <w:sz w:val="20"/>
                <w:szCs w:val="20"/>
              </w:rPr>
              <w:t>n/a</w:t>
            </w:r>
          </w:p>
        </w:tc>
        <w:tc>
          <w:tcPr>
            <w:tcW w:w="1382" w:type="pct"/>
            <w:vAlign w:val="center"/>
          </w:tcPr>
          <w:p w14:paraId="1365855C" w14:textId="79362E42" w:rsidR="00DE7090" w:rsidRPr="005414F8" w:rsidRDefault="00B368B5" w:rsidP="006F3213">
            <w:pPr>
              <w:jc w:val="center"/>
              <w:rPr>
                <w:sz w:val="20"/>
                <w:szCs w:val="20"/>
              </w:rPr>
            </w:pPr>
            <w:r w:rsidRPr="00B7686D">
              <w:rPr>
                <w:sz w:val="20"/>
                <w:szCs w:val="20"/>
              </w:rPr>
              <w:t>4.0</w:t>
            </w:r>
          </w:p>
        </w:tc>
      </w:tr>
      <w:tr w:rsidR="00B368B5" w:rsidRPr="006B675D" w14:paraId="2FDBA1FE" w14:textId="77777777" w:rsidTr="00B368B5">
        <w:trPr>
          <w:trHeight w:val="432"/>
          <w:jc w:val="center"/>
        </w:trPr>
        <w:tc>
          <w:tcPr>
            <w:tcW w:w="2236" w:type="pct"/>
            <w:vAlign w:val="center"/>
          </w:tcPr>
          <w:p w14:paraId="48D6765D" w14:textId="1B0782C5" w:rsidR="00B368B5" w:rsidRPr="005414F8" w:rsidRDefault="00B368B5" w:rsidP="006F3213">
            <w:pPr>
              <w:jc w:val="center"/>
              <w:rPr>
                <w:sz w:val="20"/>
                <w:szCs w:val="20"/>
              </w:rPr>
            </w:pPr>
            <w:r w:rsidRPr="005414F8">
              <w:rPr>
                <w:sz w:val="20"/>
                <w:szCs w:val="20"/>
              </w:rPr>
              <w:t>Lal (2018)</w:t>
            </w:r>
            <w:r w:rsidR="008F543F">
              <w:rPr>
                <w:sz w:val="20"/>
                <w:szCs w:val="20"/>
              </w:rPr>
              <w:t xml:space="preserve"> technical potential</w:t>
            </w:r>
          </w:p>
        </w:tc>
        <w:tc>
          <w:tcPr>
            <w:tcW w:w="1381" w:type="pct"/>
            <w:vAlign w:val="center"/>
          </w:tcPr>
          <w:p w14:paraId="668796D7" w14:textId="3EEA30B8" w:rsidR="00B368B5" w:rsidRDefault="00B368B5" w:rsidP="006F3213">
            <w:pPr>
              <w:jc w:val="center"/>
              <w:rPr>
                <w:bCs/>
                <w:sz w:val="20"/>
                <w:szCs w:val="20"/>
              </w:rPr>
            </w:pPr>
            <w:r>
              <w:rPr>
                <w:bCs/>
                <w:sz w:val="20"/>
                <w:szCs w:val="20"/>
              </w:rPr>
              <w:t xml:space="preserve">500 </w:t>
            </w:r>
          </w:p>
        </w:tc>
        <w:tc>
          <w:tcPr>
            <w:tcW w:w="1382" w:type="pct"/>
            <w:vAlign w:val="center"/>
          </w:tcPr>
          <w:p w14:paraId="7AB293C3" w14:textId="3FCC4E72" w:rsidR="00B368B5" w:rsidRPr="00B7686D" w:rsidRDefault="005414F8" w:rsidP="006F3213">
            <w:pPr>
              <w:jc w:val="center"/>
              <w:rPr>
                <w:sz w:val="20"/>
                <w:szCs w:val="20"/>
              </w:rPr>
            </w:pPr>
            <w:r>
              <w:rPr>
                <w:sz w:val="20"/>
                <w:szCs w:val="20"/>
              </w:rPr>
              <w:t>4.0 – 9.1</w:t>
            </w:r>
          </w:p>
        </w:tc>
      </w:tr>
      <w:tr w:rsidR="00A337A3" w:rsidRPr="006B675D" w14:paraId="43A7D94A" w14:textId="77777777" w:rsidTr="00A337A3">
        <w:trPr>
          <w:trHeight w:val="329"/>
          <w:jc w:val="center"/>
        </w:trPr>
        <w:tc>
          <w:tcPr>
            <w:tcW w:w="2236" w:type="pct"/>
            <w:vAlign w:val="center"/>
          </w:tcPr>
          <w:p w14:paraId="4BAF5BA1" w14:textId="77777777" w:rsidR="00A337A3" w:rsidRPr="006B675D" w:rsidRDefault="00A337A3" w:rsidP="00A337A3">
            <w:pPr>
              <w:jc w:val="center"/>
              <w:rPr>
                <w:bCs/>
                <w:sz w:val="20"/>
                <w:szCs w:val="20"/>
              </w:rPr>
            </w:pPr>
            <w:r w:rsidRPr="006B675D">
              <w:rPr>
                <w:sz w:val="20"/>
                <w:szCs w:val="20"/>
              </w:rPr>
              <w:t>Project Drawdown – Plausible Scenario (PDS1)</w:t>
            </w:r>
          </w:p>
        </w:tc>
        <w:tc>
          <w:tcPr>
            <w:tcW w:w="1381" w:type="pct"/>
            <w:vAlign w:val="center"/>
          </w:tcPr>
          <w:p w14:paraId="215B1CE3" w14:textId="7B982A77" w:rsidR="00A337A3" w:rsidRPr="00A337A3" w:rsidRDefault="00A337A3" w:rsidP="00A337A3">
            <w:pPr>
              <w:jc w:val="center"/>
              <w:rPr>
                <w:bCs/>
                <w:sz w:val="20"/>
                <w:szCs w:val="20"/>
              </w:rPr>
            </w:pPr>
            <w:r w:rsidRPr="00A337A3">
              <w:rPr>
                <w:sz w:val="20"/>
                <w:szCs w:val="20"/>
              </w:rPr>
              <w:t>352.07</w:t>
            </w:r>
          </w:p>
        </w:tc>
        <w:tc>
          <w:tcPr>
            <w:tcW w:w="1382" w:type="pct"/>
            <w:vAlign w:val="center"/>
          </w:tcPr>
          <w:p w14:paraId="3F6FEB6F" w14:textId="133230CA" w:rsidR="00A337A3" w:rsidRPr="00A337A3" w:rsidRDefault="00A337A3" w:rsidP="00A337A3">
            <w:pPr>
              <w:jc w:val="center"/>
              <w:rPr>
                <w:bCs/>
                <w:sz w:val="20"/>
                <w:szCs w:val="20"/>
              </w:rPr>
            </w:pPr>
            <w:r w:rsidRPr="00A337A3">
              <w:rPr>
                <w:sz w:val="20"/>
                <w:szCs w:val="20"/>
              </w:rPr>
              <w:t xml:space="preserve"> 0.69 </w:t>
            </w:r>
          </w:p>
        </w:tc>
      </w:tr>
      <w:tr w:rsidR="00A337A3" w:rsidRPr="006B675D" w14:paraId="2A1719D7" w14:textId="77777777" w:rsidTr="00A337A3">
        <w:trPr>
          <w:trHeight w:val="329"/>
          <w:jc w:val="center"/>
        </w:trPr>
        <w:tc>
          <w:tcPr>
            <w:tcW w:w="2236" w:type="pct"/>
            <w:vAlign w:val="center"/>
          </w:tcPr>
          <w:p w14:paraId="1947CF2A" w14:textId="77777777" w:rsidR="00A337A3" w:rsidRPr="006B675D" w:rsidRDefault="00A337A3" w:rsidP="00A337A3">
            <w:pPr>
              <w:jc w:val="center"/>
              <w:rPr>
                <w:sz w:val="20"/>
                <w:szCs w:val="20"/>
              </w:rPr>
            </w:pPr>
            <w:r w:rsidRPr="006B675D">
              <w:rPr>
                <w:sz w:val="20"/>
                <w:szCs w:val="20"/>
              </w:rPr>
              <w:t>Project Drawdown – Drawdown Scenario (PDS2)</w:t>
            </w:r>
          </w:p>
        </w:tc>
        <w:tc>
          <w:tcPr>
            <w:tcW w:w="1381" w:type="pct"/>
            <w:vAlign w:val="center"/>
          </w:tcPr>
          <w:p w14:paraId="72E34B95" w14:textId="17A20F58" w:rsidR="00A337A3" w:rsidRPr="00A337A3" w:rsidRDefault="00A337A3" w:rsidP="00A337A3">
            <w:pPr>
              <w:jc w:val="center"/>
              <w:rPr>
                <w:bCs/>
                <w:sz w:val="20"/>
                <w:szCs w:val="20"/>
              </w:rPr>
            </w:pPr>
            <w:r w:rsidRPr="00A337A3">
              <w:rPr>
                <w:sz w:val="20"/>
                <w:szCs w:val="20"/>
              </w:rPr>
              <w:t>435.98</w:t>
            </w:r>
          </w:p>
        </w:tc>
        <w:tc>
          <w:tcPr>
            <w:tcW w:w="1382" w:type="pct"/>
            <w:vAlign w:val="center"/>
          </w:tcPr>
          <w:p w14:paraId="14D77E5B" w14:textId="4985DC33" w:rsidR="00A337A3" w:rsidRPr="00A337A3" w:rsidRDefault="00A337A3" w:rsidP="00A337A3">
            <w:pPr>
              <w:jc w:val="center"/>
              <w:rPr>
                <w:bCs/>
                <w:sz w:val="20"/>
                <w:szCs w:val="20"/>
              </w:rPr>
            </w:pPr>
            <w:r w:rsidRPr="00A337A3">
              <w:rPr>
                <w:sz w:val="20"/>
                <w:szCs w:val="20"/>
              </w:rPr>
              <w:t xml:space="preserve"> 1.63 </w:t>
            </w:r>
          </w:p>
        </w:tc>
      </w:tr>
      <w:tr w:rsidR="00A337A3" w:rsidRPr="006B675D" w14:paraId="08AF7044" w14:textId="77777777" w:rsidTr="00A337A3">
        <w:trPr>
          <w:trHeight w:val="329"/>
          <w:jc w:val="center"/>
        </w:trPr>
        <w:tc>
          <w:tcPr>
            <w:tcW w:w="2236" w:type="pct"/>
            <w:vAlign w:val="center"/>
          </w:tcPr>
          <w:p w14:paraId="53470A19" w14:textId="77777777" w:rsidR="00A337A3" w:rsidRPr="006B675D" w:rsidRDefault="00A337A3" w:rsidP="00A337A3">
            <w:pPr>
              <w:jc w:val="center"/>
              <w:rPr>
                <w:sz w:val="20"/>
                <w:szCs w:val="20"/>
              </w:rPr>
            </w:pPr>
            <w:r w:rsidRPr="006B675D">
              <w:rPr>
                <w:sz w:val="20"/>
                <w:szCs w:val="20"/>
              </w:rPr>
              <w:t>Project Drawdown – Optimum Scenario (PDS3)</w:t>
            </w:r>
          </w:p>
        </w:tc>
        <w:tc>
          <w:tcPr>
            <w:tcW w:w="1381" w:type="pct"/>
            <w:vAlign w:val="center"/>
          </w:tcPr>
          <w:p w14:paraId="675B3560" w14:textId="3F335D0A" w:rsidR="00A337A3" w:rsidRPr="00A337A3" w:rsidRDefault="00A337A3" w:rsidP="00A337A3">
            <w:pPr>
              <w:jc w:val="center"/>
              <w:rPr>
                <w:bCs/>
                <w:sz w:val="20"/>
                <w:szCs w:val="20"/>
              </w:rPr>
            </w:pPr>
            <w:r w:rsidRPr="00A337A3">
              <w:rPr>
                <w:sz w:val="20"/>
                <w:szCs w:val="20"/>
              </w:rPr>
              <w:t>449.31</w:t>
            </w:r>
          </w:p>
        </w:tc>
        <w:tc>
          <w:tcPr>
            <w:tcW w:w="1382" w:type="pct"/>
            <w:vAlign w:val="center"/>
          </w:tcPr>
          <w:p w14:paraId="311B8AFA" w14:textId="2C9B7746" w:rsidR="00A337A3" w:rsidRPr="00A337A3" w:rsidRDefault="00A337A3" w:rsidP="00A337A3">
            <w:pPr>
              <w:jc w:val="center"/>
              <w:rPr>
                <w:bCs/>
                <w:sz w:val="20"/>
                <w:szCs w:val="20"/>
              </w:rPr>
            </w:pPr>
            <w:r w:rsidRPr="00A337A3">
              <w:rPr>
                <w:sz w:val="20"/>
                <w:szCs w:val="20"/>
              </w:rPr>
              <w:t xml:space="preserve"> 1.78 </w:t>
            </w:r>
          </w:p>
        </w:tc>
      </w:tr>
      <w:tr w:rsidR="00B368B5" w:rsidRPr="006B675D" w14:paraId="47F728ED" w14:textId="77777777" w:rsidTr="00B368B5">
        <w:trPr>
          <w:trHeight w:val="329"/>
          <w:jc w:val="center"/>
        </w:trPr>
        <w:tc>
          <w:tcPr>
            <w:tcW w:w="2236" w:type="pct"/>
            <w:vAlign w:val="center"/>
          </w:tcPr>
          <w:p w14:paraId="59E8B6A7" w14:textId="211B82D3" w:rsidR="00B368B5" w:rsidRPr="00172CCC" w:rsidRDefault="00B368B5" w:rsidP="006F3213">
            <w:pPr>
              <w:jc w:val="center"/>
              <w:rPr>
                <w:bCs/>
                <w:iCs/>
                <w:sz w:val="20"/>
                <w:szCs w:val="20"/>
              </w:rPr>
            </w:pPr>
            <w:r w:rsidRPr="00172CCC">
              <w:rPr>
                <w:bCs/>
                <w:iCs/>
                <w:sz w:val="20"/>
                <w:szCs w:val="20"/>
              </w:rPr>
              <w:t xml:space="preserve">Drawdown </w:t>
            </w:r>
            <w:r w:rsidR="006329A0" w:rsidRPr="00172CCC">
              <w:rPr>
                <w:bCs/>
                <w:iCs/>
                <w:sz w:val="20"/>
                <w:szCs w:val="20"/>
              </w:rPr>
              <w:t xml:space="preserve">combined </w:t>
            </w:r>
            <w:r w:rsidR="009D212B" w:rsidRPr="00172CCC">
              <w:rPr>
                <w:bCs/>
                <w:iCs/>
                <w:sz w:val="20"/>
                <w:szCs w:val="20"/>
              </w:rPr>
              <w:t>dedicated perennial biomass</w:t>
            </w:r>
            <w:r w:rsidRPr="00172CCC">
              <w:rPr>
                <w:bCs/>
                <w:iCs/>
                <w:sz w:val="20"/>
                <w:szCs w:val="20"/>
              </w:rPr>
              <w:t xml:space="preserve"> solutions</w:t>
            </w:r>
          </w:p>
        </w:tc>
        <w:tc>
          <w:tcPr>
            <w:tcW w:w="1381" w:type="pct"/>
            <w:vAlign w:val="center"/>
          </w:tcPr>
          <w:p w14:paraId="4FB3F909" w14:textId="5107444C" w:rsidR="00B368B5" w:rsidRPr="00172CCC" w:rsidRDefault="00172CCC" w:rsidP="006F3213">
            <w:pPr>
              <w:jc w:val="center"/>
              <w:rPr>
                <w:bCs/>
                <w:sz w:val="20"/>
                <w:szCs w:val="20"/>
              </w:rPr>
            </w:pPr>
            <w:r w:rsidRPr="00172CCC">
              <w:rPr>
                <w:bCs/>
                <w:sz w:val="20"/>
                <w:szCs w:val="20"/>
              </w:rPr>
              <w:t>1073</w:t>
            </w:r>
          </w:p>
        </w:tc>
        <w:tc>
          <w:tcPr>
            <w:tcW w:w="1382" w:type="pct"/>
            <w:vAlign w:val="center"/>
          </w:tcPr>
          <w:p w14:paraId="4665BC57" w14:textId="25A555A5" w:rsidR="00B368B5" w:rsidRPr="00172CCC" w:rsidRDefault="00172CCC" w:rsidP="006F3213">
            <w:pPr>
              <w:jc w:val="center"/>
              <w:rPr>
                <w:bCs/>
                <w:sz w:val="20"/>
                <w:szCs w:val="20"/>
              </w:rPr>
            </w:pPr>
            <w:r w:rsidRPr="00172CCC">
              <w:rPr>
                <w:bCs/>
                <w:sz w:val="20"/>
                <w:szCs w:val="20"/>
              </w:rPr>
              <w:t>1.10-2.76</w:t>
            </w:r>
          </w:p>
        </w:tc>
      </w:tr>
    </w:tbl>
    <w:p w14:paraId="339E0DEE" w14:textId="77777777" w:rsidR="0024047C" w:rsidRDefault="0024047C" w:rsidP="0024047C"/>
    <w:p w14:paraId="1A2BB0B8" w14:textId="3B1FB6C5" w:rsidR="00F750AB" w:rsidRDefault="0024047C" w:rsidP="00B7686D">
      <w:pPr>
        <w:rPr>
          <w:rFonts w:asciiTheme="majorHAnsi" w:eastAsiaTheme="majorEastAsia" w:hAnsiTheme="majorHAnsi" w:cs="Times New Roman (Headings CS)"/>
          <w:b/>
          <w:bCs/>
          <w:smallCaps/>
          <w:color w:val="4F81BD" w:themeColor="accent1"/>
          <w:sz w:val="36"/>
          <w:szCs w:val="36"/>
        </w:rPr>
      </w:pPr>
      <w:r>
        <w:t xml:space="preserve">In conclusion, </w:t>
      </w:r>
      <w:r w:rsidR="00C8062A">
        <w:t>afforestation</w:t>
      </w:r>
      <w:r>
        <w:t xml:space="preserve"> establishment </w:t>
      </w:r>
      <w:r w:rsidRPr="00D203E4">
        <w:t>is already practiced on a wide scale</w:t>
      </w:r>
      <w:r>
        <w:t xml:space="preserve"> </w:t>
      </w:r>
      <w:r w:rsidRPr="00D203E4">
        <w:t>and represents an important high-carbon land use. It produces products of critical importance and can help reduce pressure on intact forests. Though not a "silver bullet," it is an essential component of land-based mitigation efforts.</w:t>
      </w:r>
      <w:r w:rsidR="00F750AB">
        <w:br w:type="page"/>
      </w:r>
    </w:p>
    <w:p w14:paraId="7454D80C" w14:textId="3048A600" w:rsidR="00434F61" w:rsidRDefault="551A77D0" w:rsidP="001D6F00">
      <w:pPr>
        <w:pStyle w:val="Heading1"/>
        <w:numPr>
          <w:ilvl w:val="0"/>
          <w:numId w:val="4"/>
        </w:numPr>
      </w:pPr>
      <w:bookmarkStart w:id="57" w:name="_Toc18443107"/>
      <w:r>
        <w:lastRenderedPageBreak/>
        <w:t>References</w:t>
      </w:r>
      <w:bookmarkEnd w:id="57"/>
    </w:p>
    <w:p w14:paraId="5B16201F" w14:textId="77777777" w:rsidR="008E7502" w:rsidRPr="008E7502" w:rsidRDefault="00B7686D" w:rsidP="008E7502">
      <w:pPr>
        <w:pStyle w:val="Bibliography"/>
        <w:rPr>
          <w:rFonts w:ascii="Times New Roman" w:hAnsi="Times New Roman" w:cs="Times New Roman"/>
        </w:rPr>
      </w:pPr>
      <w:r>
        <w:fldChar w:fldCharType="begin"/>
      </w:r>
      <w:r w:rsidRPr="008B0FF1">
        <w:instrText xml:space="preserve"> ADDIN ZOTERO_BIBL {"uncited":[],"omitted":[],"custom":[]} CSL_BIBLIOGRAPHY </w:instrText>
      </w:r>
      <w:r>
        <w:fldChar w:fldCharType="separate"/>
      </w:r>
      <w:r w:rsidR="008E7502" w:rsidRPr="008B0FF1">
        <w:rPr>
          <w:rFonts w:ascii="Times New Roman" w:hAnsi="Times New Roman" w:cs="Times New Roman"/>
        </w:rPr>
        <w:t xml:space="preserve">Agyeman, V. K., Marfo, K. A., Kasanga, K. R., Danso, E., Asare, A. B., Yeboah, O. M., &amp; Agyeman, F. (2003). </w:t>
      </w:r>
      <w:r w:rsidR="008E7502" w:rsidRPr="008E7502">
        <w:rPr>
          <w:rFonts w:ascii="Times New Roman" w:hAnsi="Times New Roman" w:cs="Times New Roman"/>
        </w:rPr>
        <w:t xml:space="preserve">Revising the taungya plantation system: new revenue-sharing proposals from Ghana. </w:t>
      </w:r>
      <w:r w:rsidR="008E7502" w:rsidRPr="008E7502">
        <w:rPr>
          <w:rFonts w:ascii="Times New Roman" w:hAnsi="Times New Roman" w:cs="Times New Roman"/>
          <w:i/>
          <w:iCs/>
        </w:rPr>
        <w:t>Unasylva</w:t>
      </w:r>
      <w:r w:rsidR="008E7502" w:rsidRPr="008E7502">
        <w:rPr>
          <w:rFonts w:ascii="Times New Roman" w:hAnsi="Times New Roman" w:cs="Times New Roman"/>
        </w:rPr>
        <w:t xml:space="preserve">, </w:t>
      </w:r>
      <w:r w:rsidR="008E7502" w:rsidRPr="008E7502">
        <w:rPr>
          <w:rFonts w:ascii="Times New Roman" w:hAnsi="Times New Roman" w:cs="Times New Roman"/>
          <w:i/>
          <w:iCs/>
        </w:rPr>
        <w:t>54</w:t>
      </w:r>
      <w:r w:rsidR="008E7502" w:rsidRPr="008E7502">
        <w:rPr>
          <w:rFonts w:ascii="Times New Roman" w:hAnsi="Times New Roman" w:cs="Times New Roman"/>
        </w:rPr>
        <w:t>(1), 40–43.</w:t>
      </w:r>
    </w:p>
    <w:p w14:paraId="7ADB2325"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Bonan, G. B. (2008). Forests and climate change: forcings, feedbacks, and the climate benefits of forests. </w:t>
      </w:r>
      <w:r w:rsidRPr="008E7502">
        <w:rPr>
          <w:rFonts w:ascii="Times New Roman" w:hAnsi="Times New Roman" w:cs="Times New Roman"/>
          <w:i/>
          <w:iCs/>
        </w:rPr>
        <w:t>Science</w:t>
      </w:r>
      <w:r w:rsidRPr="008E7502">
        <w:rPr>
          <w:rFonts w:ascii="Times New Roman" w:hAnsi="Times New Roman" w:cs="Times New Roman"/>
        </w:rPr>
        <w:t xml:space="preserve">, </w:t>
      </w:r>
      <w:r w:rsidRPr="008E7502">
        <w:rPr>
          <w:rFonts w:ascii="Times New Roman" w:hAnsi="Times New Roman" w:cs="Times New Roman"/>
          <w:i/>
          <w:iCs/>
        </w:rPr>
        <w:t>320</w:t>
      </w:r>
      <w:r w:rsidRPr="008E7502">
        <w:rPr>
          <w:rFonts w:ascii="Times New Roman" w:hAnsi="Times New Roman" w:cs="Times New Roman"/>
        </w:rPr>
        <w:t>(5882), 1444–1449.</w:t>
      </w:r>
    </w:p>
    <w:p w14:paraId="43E03322"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Bonner, M. T., Schmidt, S., &amp; Shoo, L. P. (2013). A meta-analytical global comparison of aboveground biomass accumulation between tropical secondary forests and monoculture plantations. </w:t>
      </w:r>
      <w:r w:rsidRPr="008E7502">
        <w:rPr>
          <w:rFonts w:ascii="Times New Roman" w:hAnsi="Times New Roman" w:cs="Times New Roman"/>
          <w:i/>
          <w:iCs/>
        </w:rPr>
        <w:t>Forest Ecology and Management</w:t>
      </w:r>
      <w:r w:rsidRPr="008E7502">
        <w:rPr>
          <w:rFonts w:ascii="Times New Roman" w:hAnsi="Times New Roman" w:cs="Times New Roman"/>
        </w:rPr>
        <w:t xml:space="preserve">, </w:t>
      </w:r>
      <w:r w:rsidRPr="008E7502">
        <w:rPr>
          <w:rFonts w:ascii="Times New Roman" w:hAnsi="Times New Roman" w:cs="Times New Roman"/>
          <w:i/>
          <w:iCs/>
        </w:rPr>
        <w:t>291</w:t>
      </w:r>
      <w:r w:rsidRPr="008E7502">
        <w:rPr>
          <w:rFonts w:ascii="Times New Roman" w:hAnsi="Times New Roman" w:cs="Times New Roman"/>
        </w:rPr>
        <w:t>, 73–86.</w:t>
      </w:r>
    </w:p>
    <w:p w14:paraId="0B168063"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Boyd, E., &amp; others. (2009). Governing the Clean Development Mechanism: global rhetoric versus local realities in carbon sequestration projects. </w:t>
      </w:r>
      <w:r w:rsidRPr="008E7502">
        <w:rPr>
          <w:rFonts w:ascii="Times New Roman" w:hAnsi="Times New Roman" w:cs="Times New Roman"/>
          <w:i/>
          <w:iCs/>
        </w:rPr>
        <w:t>Environment and Planning. A</w:t>
      </w:r>
      <w:r w:rsidRPr="008E7502">
        <w:rPr>
          <w:rFonts w:ascii="Times New Roman" w:hAnsi="Times New Roman" w:cs="Times New Roman"/>
        </w:rPr>
        <w:t xml:space="preserve">, </w:t>
      </w:r>
      <w:r w:rsidRPr="008E7502">
        <w:rPr>
          <w:rFonts w:ascii="Times New Roman" w:hAnsi="Times New Roman" w:cs="Times New Roman"/>
          <w:i/>
          <w:iCs/>
        </w:rPr>
        <w:t>41</w:t>
      </w:r>
      <w:r w:rsidRPr="008E7502">
        <w:rPr>
          <w:rFonts w:ascii="Times New Roman" w:hAnsi="Times New Roman" w:cs="Times New Roman"/>
        </w:rPr>
        <w:t>(10), 2380.</w:t>
      </w:r>
    </w:p>
    <w:p w14:paraId="7948120E"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Brockerhoff, E. G., Jactel, H., Parrotta, J. A., Quine, C. P., &amp; Sayer, J. (2008). Plantation forests and biodiversity: oxymoron or opportunity? </w:t>
      </w:r>
      <w:r w:rsidRPr="008E7502">
        <w:rPr>
          <w:rFonts w:ascii="Times New Roman" w:hAnsi="Times New Roman" w:cs="Times New Roman"/>
          <w:i/>
          <w:iCs/>
        </w:rPr>
        <w:t>Biodiversity and Conservation</w:t>
      </w:r>
      <w:r w:rsidRPr="008E7502">
        <w:rPr>
          <w:rFonts w:ascii="Times New Roman" w:hAnsi="Times New Roman" w:cs="Times New Roman"/>
        </w:rPr>
        <w:t xml:space="preserve">, </w:t>
      </w:r>
      <w:r w:rsidRPr="008E7502">
        <w:rPr>
          <w:rFonts w:ascii="Times New Roman" w:hAnsi="Times New Roman" w:cs="Times New Roman"/>
          <w:i/>
          <w:iCs/>
        </w:rPr>
        <w:t>17</w:t>
      </w:r>
      <w:r w:rsidRPr="008E7502">
        <w:rPr>
          <w:rFonts w:ascii="Times New Roman" w:hAnsi="Times New Roman" w:cs="Times New Roman"/>
        </w:rPr>
        <w:t>(5), 925–951.</w:t>
      </w:r>
    </w:p>
    <w:p w14:paraId="5CE996D9"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Buongiorno, J., &amp; Zhu, S. (2014). Assessing the impact of planted forests on the global forest economy. </w:t>
      </w:r>
      <w:r w:rsidRPr="008E7502">
        <w:rPr>
          <w:rFonts w:ascii="Times New Roman" w:hAnsi="Times New Roman" w:cs="Times New Roman"/>
          <w:i/>
          <w:iCs/>
        </w:rPr>
        <w:t>New Zealand Journal of Forestry Science</w:t>
      </w:r>
      <w:r w:rsidRPr="008E7502">
        <w:rPr>
          <w:rFonts w:ascii="Times New Roman" w:hAnsi="Times New Roman" w:cs="Times New Roman"/>
        </w:rPr>
        <w:t xml:space="preserve">, </w:t>
      </w:r>
      <w:r w:rsidRPr="008E7502">
        <w:rPr>
          <w:rFonts w:ascii="Times New Roman" w:hAnsi="Times New Roman" w:cs="Times New Roman"/>
          <w:i/>
          <w:iCs/>
        </w:rPr>
        <w:t>44</w:t>
      </w:r>
      <w:r w:rsidRPr="008E7502">
        <w:rPr>
          <w:rFonts w:ascii="Times New Roman" w:hAnsi="Times New Roman" w:cs="Times New Roman"/>
        </w:rPr>
        <w:t>(Suppl 1), S2. https://doi.org/10.1186/1179-5395-44-S1-S2</w:t>
      </w:r>
    </w:p>
    <w:p w14:paraId="084CF51A"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Cao, S. (2008). Why large-scale afforestation efforts in China have failed to solve the desertification problem. </w:t>
      </w:r>
      <w:r w:rsidRPr="008E7502">
        <w:rPr>
          <w:rFonts w:ascii="Times New Roman" w:hAnsi="Times New Roman" w:cs="Times New Roman"/>
          <w:i/>
          <w:iCs/>
        </w:rPr>
        <w:t>Environmental Science &amp; Technology</w:t>
      </w:r>
      <w:r w:rsidRPr="008E7502">
        <w:rPr>
          <w:rFonts w:ascii="Times New Roman" w:hAnsi="Times New Roman" w:cs="Times New Roman"/>
        </w:rPr>
        <w:t xml:space="preserve">, </w:t>
      </w:r>
      <w:r w:rsidRPr="008E7502">
        <w:rPr>
          <w:rFonts w:ascii="Times New Roman" w:hAnsi="Times New Roman" w:cs="Times New Roman"/>
          <w:i/>
          <w:iCs/>
        </w:rPr>
        <w:t>42</w:t>
      </w:r>
      <w:r w:rsidRPr="008E7502">
        <w:rPr>
          <w:rFonts w:ascii="Times New Roman" w:hAnsi="Times New Roman" w:cs="Times New Roman"/>
        </w:rPr>
        <w:t>(6), 1826–1831.</w:t>
      </w:r>
    </w:p>
    <w:p w14:paraId="0B639A00"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Chen, G.-S., Yang, Y.-S., Xie, J.-S., Guo, J.-F., Gao, R., &amp; Qian, W. (2005). Conversion of a natural broad-leafed evergreen forest into pure plantation forests in a subtropical area: Effects on carbon storage. </w:t>
      </w:r>
      <w:r w:rsidRPr="008E7502">
        <w:rPr>
          <w:rFonts w:ascii="Times New Roman" w:hAnsi="Times New Roman" w:cs="Times New Roman"/>
          <w:i/>
          <w:iCs/>
        </w:rPr>
        <w:t>Annals of Forest Science</w:t>
      </w:r>
      <w:r w:rsidRPr="008E7502">
        <w:rPr>
          <w:rFonts w:ascii="Times New Roman" w:hAnsi="Times New Roman" w:cs="Times New Roman"/>
        </w:rPr>
        <w:t xml:space="preserve">, </w:t>
      </w:r>
      <w:r w:rsidRPr="008E7502">
        <w:rPr>
          <w:rFonts w:ascii="Times New Roman" w:hAnsi="Times New Roman" w:cs="Times New Roman"/>
          <w:i/>
          <w:iCs/>
        </w:rPr>
        <w:t>62</w:t>
      </w:r>
      <w:r w:rsidRPr="008E7502">
        <w:rPr>
          <w:rFonts w:ascii="Times New Roman" w:hAnsi="Times New Roman" w:cs="Times New Roman"/>
        </w:rPr>
        <w:t>(7), 659–668. https://doi.org/10.1051/forest:2005073</w:t>
      </w:r>
    </w:p>
    <w:p w14:paraId="0717A448"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Chhatre, A., &amp; Agrawal, A. (2009). Trade-offs and synergies between carbon storage and livelihood benefits from forest commons. </w:t>
      </w:r>
      <w:r w:rsidRPr="008E7502">
        <w:rPr>
          <w:rFonts w:ascii="Times New Roman" w:hAnsi="Times New Roman" w:cs="Times New Roman"/>
          <w:i/>
          <w:iCs/>
        </w:rPr>
        <w:t>Proceedings of the National Academy of Sciences</w:t>
      </w:r>
      <w:r w:rsidRPr="008E7502">
        <w:rPr>
          <w:rFonts w:ascii="Times New Roman" w:hAnsi="Times New Roman" w:cs="Times New Roman"/>
        </w:rPr>
        <w:t xml:space="preserve">, </w:t>
      </w:r>
      <w:r w:rsidRPr="008E7502">
        <w:rPr>
          <w:rFonts w:ascii="Times New Roman" w:hAnsi="Times New Roman" w:cs="Times New Roman"/>
          <w:i/>
          <w:iCs/>
        </w:rPr>
        <w:t>106</w:t>
      </w:r>
      <w:r w:rsidRPr="008E7502">
        <w:rPr>
          <w:rFonts w:ascii="Times New Roman" w:hAnsi="Times New Roman" w:cs="Times New Roman"/>
        </w:rPr>
        <w:t>(42), 17667–17670. https://doi.org/10.1073/pnas.0905308106</w:t>
      </w:r>
    </w:p>
    <w:p w14:paraId="31060D10"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lastRenderedPageBreak/>
        <w:t xml:space="preserve">Coomes, O. T., Grimard, F., Potvin, C., &amp; Sima, P. (2008). The fate of the tropical forest: Carbon or cattle? </w:t>
      </w:r>
      <w:r w:rsidRPr="008E7502">
        <w:rPr>
          <w:rFonts w:ascii="Times New Roman" w:hAnsi="Times New Roman" w:cs="Times New Roman"/>
          <w:i/>
          <w:iCs/>
        </w:rPr>
        <w:t>Ecological Economics</w:t>
      </w:r>
      <w:r w:rsidRPr="008E7502">
        <w:rPr>
          <w:rFonts w:ascii="Times New Roman" w:hAnsi="Times New Roman" w:cs="Times New Roman"/>
        </w:rPr>
        <w:t xml:space="preserve">, </w:t>
      </w:r>
      <w:r w:rsidRPr="008E7502">
        <w:rPr>
          <w:rFonts w:ascii="Times New Roman" w:hAnsi="Times New Roman" w:cs="Times New Roman"/>
          <w:i/>
          <w:iCs/>
        </w:rPr>
        <w:t>65</w:t>
      </w:r>
      <w:r w:rsidRPr="008E7502">
        <w:rPr>
          <w:rFonts w:ascii="Times New Roman" w:hAnsi="Times New Roman" w:cs="Times New Roman"/>
        </w:rPr>
        <w:t>(2), 207–212.</w:t>
      </w:r>
    </w:p>
    <w:p w14:paraId="502FED69"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Cox, S., Crews, T., &amp; Jackson, W. (2014). From genetics and breeding to agronomy and ecology. </w:t>
      </w:r>
      <w:r w:rsidRPr="008E7502">
        <w:rPr>
          <w:rFonts w:ascii="Times New Roman" w:hAnsi="Times New Roman" w:cs="Times New Roman"/>
          <w:i/>
          <w:iCs/>
        </w:rPr>
        <w:t>Perennial Crops for Food Security: Proceedings of the FAO Expert Workshop</w:t>
      </w:r>
      <w:r w:rsidRPr="008E7502">
        <w:rPr>
          <w:rFonts w:ascii="Times New Roman" w:hAnsi="Times New Roman" w:cs="Times New Roman"/>
        </w:rPr>
        <w:t>, 158–168. Retrieved from https://landinstitute.org/wp-content/uploads/2014/11/PF_FAO14_ch12.pdf</w:t>
      </w:r>
    </w:p>
    <w:p w14:paraId="59B3C3BD"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Cubbage, F., Mac Donagh, P., Sawinski Júnior, J., Rubilar, R., Donoso, P., Ferreira, A., … Alvarez, J. (2007). Timber investment returns for selected plantations and native forests in South America and the Southern United States. </w:t>
      </w:r>
      <w:r w:rsidRPr="008E7502">
        <w:rPr>
          <w:rFonts w:ascii="Times New Roman" w:hAnsi="Times New Roman" w:cs="Times New Roman"/>
          <w:i/>
          <w:iCs/>
        </w:rPr>
        <w:t>New Forests</w:t>
      </w:r>
      <w:r w:rsidRPr="008E7502">
        <w:rPr>
          <w:rFonts w:ascii="Times New Roman" w:hAnsi="Times New Roman" w:cs="Times New Roman"/>
        </w:rPr>
        <w:t xml:space="preserve">, </w:t>
      </w:r>
      <w:r w:rsidRPr="008E7502">
        <w:rPr>
          <w:rFonts w:ascii="Times New Roman" w:hAnsi="Times New Roman" w:cs="Times New Roman"/>
          <w:i/>
          <w:iCs/>
        </w:rPr>
        <w:t>33</w:t>
      </w:r>
      <w:r w:rsidRPr="008E7502">
        <w:rPr>
          <w:rFonts w:ascii="Times New Roman" w:hAnsi="Times New Roman" w:cs="Times New Roman"/>
        </w:rPr>
        <w:t>(3), 237–255. https://doi.org/10.1007/s11056-006-9025-4</w:t>
      </w:r>
    </w:p>
    <w:p w14:paraId="60690765"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Dale, V. H., Joyce, L. A., McNulty, S., Neilson, R. P., Ayres, M. P., Flannigan, M. D., … others. (2001). Climate change and forest disturbances: climate change can affect forests by altering the frequency, intensity, duration, and timing of fire, drought, introduced species, insect and pathogen outbreaks, hurricanes, windstorms, ice storms, or landslides. </w:t>
      </w:r>
      <w:r w:rsidRPr="008E7502">
        <w:rPr>
          <w:rFonts w:ascii="Times New Roman" w:hAnsi="Times New Roman" w:cs="Times New Roman"/>
          <w:i/>
          <w:iCs/>
        </w:rPr>
        <w:t>BioScience</w:t>
      </w:r>
      <w:r w:rsidRPr="008E7502">
        <w:rPr>
          <w:rFonts w:ascii="Times New Roman" w:hAnsi="Times New Roman" w:cs="Times New Roman"/>
        </w:rPr>
        <w:t xml:space="preserve">, </w:t>
      </w:r>
      <w:r w:rsidRPr="008E7502">
        <w:rPr>
          <w:rFonts w:ascii="Times New Roman" w:hAnsi="Times New Roman" w:cs="Times New Roman"/>
          <w:i/>
          <w:iCs/>
        </w:rPr>
        <w:t>51</w:t>
      </w:r>
      <w:r w:rsidRPr="008E7502">
        <w:rPr>
          <w:rFonts w:ascii="Times New Roman" w:hAnsi="Times New Roman" w:cs="Times New Roman"/>
        </w:rPr>
        <w:t>(9), 723–734.</w:t>
      </w:r>
    </w:p>
    <w:p w14:paraId="384D9073"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Dunne, D. (2018). Mapped: Where ‘afforestation’ is taking place around the world. Retrieved from CarbonBrief - Clear on Climate website: https://www.carbonbrief.org/mapped-where-afforestation-is-taking-place-around-the-world?utm_source=NEW+Weekly+Briefing&amp;utm_campaign=86febf2fdd-Carbon_Brief_Weekly_12_10_2018&amp;utm_medium=email&amp;utm_term=0_b6e0a2d2ef-86febf2fdd-303546961&amp;ct=t(Carbon_Brief_Weekly_12_10_2018)&amp;goal=0_b6e0a2d2ef-86febf2fdd-303546961</w:t>
      </w:r>
    </w:p>
    <w:p w14:paraId="12AB4EB1"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Evans, J. (Ed.). (2009). </w:t>
      </w:r>
      <w:r w:rsidRPr="008E7502">
        <w:rPr>
          <w:rFonts w:ascii="Times New Roman" w:hAnsi="Times New Roman" w:cs="Times New Roman"/>
          <w:i/>
          <w:iCs/>
        </w:rPr>
        <w:t>Planted forests: uses, impacts, and sustainability</w:t>
      </w:r>
      <w:r w:rsidRPr="008E7502">
        <w:rPr>
          <w:rFonts w:ascii="Times New Roman" w:hAnsi="Times New Roman" w:cs="Times New Roman"/>
        </w:rPr>
        <w:t>. Wallingford, UK ; Cambridge, MA: Published jointly by Food and Agriculture Organization of the United Nations and Cabi Pub.</w:t>
      </w:r>
    </w:p>
    <w:p w14:paraId="50F697A5"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FAO. (2010). </w:t>
      </w:r>
      <w:r w:rsidRPr="008E7502">
        <w:rPr>
          <w:rFonts w:ascii="Times New Roman" w:hAnsi="Times New Roman" w:cs="Times New Roman"/>
          <w:i/>
          <w:iCs/>
        </w:rPr>
        <w:t>Global forest resources assessment 2015: How are the world’s forests changing?</w:t>
      </w:r>
      <w:r w:rsidRPr="008E7502">
        <w:rPr>
          <w:rFonts w:ascii="Times New Roman" w:hAnsi="Times New Roman" w:cs="Times New Roman"/>
        </w:rPr>
        <w:t xml:space="preserve"> Food and Agriculture Organization of the United Nations.</w:t>
      </w:r>
    </w:p>
    <w:p w14:paraId="1F246963"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lastRenderedPageBreak/>
        <w:t>FAO. (2016). Global Forest Resources Assessment 2015. How are the World’s Forests Changing? (Second edition) - a-i4793e.pdf. Retrieved October 26, 2016, from http://www.fao.org/3/a-i4793e.pdf</w:t>
      </w:r>
    </w:p>
    <w:p w14:paraId="52EBC9A4"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Farley, K. A. (2010). Pathways to forest transition: Local case studies from the Ecuadorian Andes. </w:t>
      </w:r>
      <w:r w:rsidRPr="008E7502">
        <w:rPr>
          <w:rFonts w:ascii="Times New Roman" w:hAnsi="Times New Roman" w:cs="Times New Roman"/>
          <w:i/>
          <w:iCs/>
        </w:rPr>
        <w:t>Journal of Latin American Geography</w:t>
      </w:r>
      <w:r w:rsidRPr="008E7502">
        <w:rPr>
          <w:rFonts w:ascii="Times New Roman" w:hAnsi="Times New Roman" w:cs="Times New Roman"/>
        </w:rPr>
        <w:t xml:space="preserve">, </w:t>
      </w:r>
      <w:r w:rsidRPr="008E7502">
        <w:rPr>
          <w:rFonts w:ascii="Times New Roman" w:hAnsi="Times New Roman" w:cs="Times New Roman"/>
          <w:i/>
          <w:iCs/>
        </w:rPr>
        <w:t>9</w:t>
      </w:r>
      <w:r w:rsidRPr="008E7502">
        <w:rPr>
          <w:rFonts w:ascii="Times New Roman" w:hAnsi="Times New Roman" w:cs="Times New Roman"/>
        </w:rPr>
        <w:t>(2), 7–26.</w:t>
      </w:r>
    </w:p>
    <w:p w14:paraId="3AA367C7"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Farley, K. A., Piñeiro, G., Palmer, S. M., Jobbágy, E. G., &amp; Jackson, R. B. (2008). Stream acidification and base cation losses with grassland afforestation. </w:t>
      </w:r>
      <w:r w:rsidRPr="008E7502">
        <w:rPr>
          <w:rFonts w:ascii="Times New Roman" w:hAnsi="Times New Roman" w:cs="Times New Roman"/>
          <w:i/>
          <w:iCs/>
        </w:rPr>
        <w:t>Water Resources Research</w:t>
      </w:r>
      <w:r w:rsidRPr="008E7502">
        <w:rPr>
          <w:rFonts w:ascii="Times New Roman" w:hAnsi="Times New Roman" w:cs="Times New Roman"/>
        </w:rPr>
        <w:t xml:space="preserve">, </w:t>
      </w:r>
      <w:r w:rsidRPr="008E7502">
        <w:rPr>
          <w:rFonts w:ascii="Times New Roman" w:hAnsi="Times New Roman" w:cs="Times New Roman"/>
          <w:i/>
          <w:iCs/>
        </w:rPr>
        <w:t>44</w:t>
      </w:r>
      <w:r w:rsidRPr="008E7502">
        <w:rPr>
          <w:rFonts w:ascii="Times New Roman" w:hAnsi="Times New Roman" w:cs="Times New Roman"/>
        </w:rPr>
        <w:t>(7). Retrieved from http://onlinelibrary.wiley.com/doi/10.1029/2007WR006659/full</w:t>
      </w:r>
    </w:p>
    <w:p w14:paraId="29D116E9"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Gibbs, H. K., Brown, S., Niles, J. O., &amp; Foley, J. A. (2007). Monitoring and estimating tropical forest carbon stocks: making REDD a reality. </w:t>
      </w:r>
      <w:r w:rsidRPr="008E7502">
        <w:rPr>
          <w:rFonts w:ascii="Times New Roman" w:hAnsi="Times New Roman" w:cs="Times New Roman"/>
          <w:i/>
          <w:iCs/>
        </w:rPr>
        <w:t>Environmental Research Letters</w:t>
      </w:r>
      <w:r w:rsidRPr="008E7502">
        <w:rPr>
          <w:rFonts w:ascii="Times New Roman" w:hAnsi="Times New Roman" w:cs="Times New Roman"/>
        </w:rPr>
        <w:t xml:space="preserve">, </w:t>
      </w:r>
      <w:r w:rsidRPr="008E7502">
        <w:rPr>
          <w:rFonts w:ascii="Times New Roman" w:hAnsi="Times New Roman" w:cs="Times New Roman"/>
          <w:i/>
          <w:iCs/>
        </w:rPr>
        <w:t>2</w:t>
      </w:r>
      <w:r w:rsidRPr="008E7502">
        <w:rPr>
          <w:rFonts w:ascii="Times New Roman" w:hAnsi="Times New Roman" w:cs="Times New Roman"/>
        </w:rPr>
        <w:t>(4), 045023.</w:t>
      </w:r>
    </w:p>
    <w:p w14:paraId="5568A569"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Huang, L., Liu, J., Shao, Q., &amp; Xu, X. (2012). Carbon sequestration by forestation across China: past, present, and future. </w:t>
      </w:r>
      <w:r w:rsidRPr="008E7502">
        <w:rPr>
          <w:rFonts w:ascii="Times New Roman" w:hAnsi="Times New Roman" w:cs="Times New Roman"/>
          <w:i/>
          <w:iCs/>
        </w:rPr>
        <w:t>Renewable and Sustainable Energy Reviews</w:t>
      </w:r>
      <w:r w:rsidRPr="008E7502">
        <w:rPr>
          <w:rFonts w:ascii="Times New Roman" w:hAnsi="Times New Roman" w:cs="Times New Roman"/>
        </w:rPr>
        <w:t xml:space="preserve">, </w:t>
      </w:r>
      <w:r w:rsidRPr="008E7502">
        <w:rPr>
          <w:rFonts w:ascii="Times New Roman" w:hAnsi="Times New Roman" w:cs="Times New Roman"/>
          <w:i/>
          <w:iCs/>
        </w:rPr>
        <w:t>16</w:t>
      </w:r>
      <w:r w:rsidRPr="008E7502">
        <w:rPr>
          <w:rFonts w:ascii="Times New Roman" w:hAnsi="Times New Roman" w:cs="Times New Roman"/>
        </w:rPr>
        <w:t>(2), 1291–1299.</w:t>
      </w:r>
    </w:p>
    <w:p w14:paraId="2A9E92E6"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Jackson, R. B., Jobbágy, E. G., Avissar, R., Roy, S. B., Barrett, D. J., Cook, C. W., … Murray, B. C. (2005). Trading water for carbon with biological carbon sequestration. </w:t>
      </w:r>
      <w:r w:rsidRPr="008E7502">
        <w:rPr>
          <w:rFonts w:ascii="Times New Roman" w:hAnsi="Times New Roman" w:cs="Times New Roman"/>
          <w:i/>
          <w:iCs/>
        </w:rPr>
        <w:t>Science</w:t>
      </w:r>
      <w:r w:rsidRPr="008E7502">
        <w:rPr>
          <w:rFonts w:ascii="Times New Roman" w:hAnsi="Times New Roman" w:cs="Times New Roman"/>
        </w:rPr>
        <w:t xml:space="preserve">, </w:t>
      </w:r>
      <w:r w:rsidRPr="008E7502">
        <w:rPr>
          <w:rFonts w:ascii="Times New Roman" w:hAnsi="Times New Roman" w:cs="Times New Roman"/>
          <w:i/>
          <w:iCs/>
        </w:rPr>
        <w:t>310</w:t>
      </w:r>
      <w:r w:rsidRPr="008E7502">
        <w:rPr>
          <w:rFonts w:ascii="Times New Roman" w:hAnsi="Times New Roman" w:cs="Times New Roman"/>
        </w:rPr>
        <w:t>(5756), 1944–1947.</w:t>
      </w:r>
    </w:p>
    <w:p w14:paraId="20764EA8"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Jacobson, Michael G., Greene, John L., Straka, Thomas J., Daniels, Steven E., &amp; Kilgore, Michael A. (2009). Influence and Effectiveness of Financial Incentive Programs in Promoting Sustainable Forestry in the South. </w:t>
      </w:r>
      <w:r w:rsidRPr="008E7502">
        <w:rPr>
          <w:rFonts w:ascii="Times New Roman" w:hAnsi="Times New Roman" w:cs="Times New Roman"/>
          <w:i/>
          <w:iCs/>
        </w:rPr>
        <w:t>Southern Journal of Applied Forestry</w:t>
      </w:r>
      <w:r w:rsidRPr="008E7502">
        <w:rPr>
          <w:rFonts w:ascii="Times New Roman" w:hAnsi="Times New Roman" w:cs="Times New Roman"/>
        </w:rPr>
        <w:t xml:space="preserve">, </w:t>
      </w:r>
      <w:r w:rsidRPr="008E7502">
        <w:rPr>
          <w:rFonts w:ascii="Times New Roman" w:hAnsi="Times New Roman" w:cs="Times New Roman"/>
          <w:i/>
          <w:iCs/>
        </w:rPr>
        <w:t>33</w:t>
      </w:r>
      <w:r w:rsidRPr="008E7502">
        <w:rPr>
          <w:rFonts w:ascii="Times New Roman" w:hAnsi="Times New Roman" w:cs="Times New Roman"/>
        </w:rPr>
        <w:t>(1), 35–41.</w:t>
      </w:r>
    </w:p>
    <w:p w14:paraId="75B45958"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Jobbagy, E. G., &amp; Jackson, R. B. (2004). Groundwater use and salinization with grassland afforestation. </w:t>
      </w:r>
      <w:r w:rsidRPr="008E7502">
        <w:rPr>
          <w:rFonts w:ascii="Times New Roman" w:hAnsi="Times New Roman" w:cs="Times New Roman"/>
          <w:i/>
          <w:iCs/>
        </w:rPr>
        <w:t>Global Change Biology</w:t>
      </w:r>
      <w:r w:rsidRPr="008E7502">
        <w:rPr>
          <w:rFonts w:ascii="Times New Roman" w:hAnsi="Times New Roman" w:cs="Times New Roman"/>
        </w:rPr>
        <w:t xml:space="preserve">, </w:t>
      </w:r>
      <w:r w:rsidRPr="008E7502">
        <w:rPr>
          <w:rFonts w:ascii="Times New Roman" w:hAnsi="Times New Roman" w:cs="Times New Roman"/>
          <w:i/>
          <w:iCs/>
        </w:rPr>
        <w:t>10</w:t>
      </w:r>
      <w:r w:rsidRPr="008E7502">
        <w:rPr>
          <w:rFonts w:ascii="Times New Roman" w:hAnsi="Times New Roman" w:cs="Times New Roman"/>
        </w:rPr>
        <w:t>(8), 1299–1312.</w:t>
      </w:r>
    </w:p>
    <w:p w14:paraId="22D48EC4"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Kreidenweis, U., Humpenöder, F., Stevanović, M., Bodirsky, B. L., Kriegler, E., Lotze-Campen, H., &amp; Popp, A. (2016). Afforestation to mitigate climate change: impacts on food prices under consideration of albedo effects. </w:t>
      </w:r>
      <w:r w:rsidRPr="008E7502">
        <w:rPr>
          <w:rFonts w:ascii="Times New Roman" w:hAnsi="Times New Roman" w:cs="Times New Roman"/>
          <w:i/>
          <w:iCs/>
        </w:rPr>
        <w:t>Environmental Research Letters</w:t>
      </w:r>
      <w:r w:rsidRPr="008E7502">
        <w:rPr>
          <w:rFonts w:ascii="Times New Roman" w:hAnsi="Times New Roman" w:cs="Times New Roman"/>
        </w:rPr>
        <w:t xml:space="preserve">, </w:t>
      </w:r>
      <w:r w:rsidRPr="008E7502">
        <w:rPr>
          <w:rFonts w:ascii="Times New Roman" w:hAnsi="Times New Roman" w:cs="Times New Roman"/>
          <w:i/>
          <w:iCs/>
        </w:rPr>
        <w:t>11</w:t>
      </w:r>
      <w:r w:rsidRPr="008E7502">
        <w:rPr>
          <w:rFonts w:ascii="Times New Roman" w:hAnsi="Times New Roman" w:cs="Times New Roman"/>
        </w:rPr>
        <w:t>(8), 085001. https://doi.org/10.1088/1748-9326/11/8/085001</w:t>
      </w:r>
    </w:p>
    <w:p w14:paraId="4F75AA2D"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lastRenderedPageBreak/>
        <w:t xml:space="preserve">Lal, R., Smith, P., Jungkunst, H. F., Mitsch, W. J., Lehmann, J., Nair, P. K. R., … Ravindranath, N. H. (2018). The carbon sequestration potential of terrestrial ecosystems. </w:t>
      </w:r>
      <w:r w:rsidRPr="008E7502">
        <w:rPr>
          <w:rFonts w:ascii="Times New Roman" w:hAnsi="Times New Roman" w:cs="Times New Roman"/>
          <w:i/>
          <w:iCs/>
        </w:rPr>
        <w:t>Journal of Soil and Water Conservation</w:t>
      </w:r>
      <w:r w:rsidRPr="008E7502">
        <w:rPr>
          <w:rFonts w:ascii="Times New Roman" w:hAnsi="Times New Roman" w:cs="Times New Roman"/>
        </w:rPr>
        <w:t xml:space="preserve">, </w:t>
      </w:r>
      <w:r w:rsidRPr="008E7502">
        <w:rPr>
          <w:rFonts w:ascii="Times New Roman" w:hAnsi="Times New Roman" w:cs="Times New Roman"/>
          <w:i/>
          <w:iCs/>
        </w:rPr>
        <w:t>73</w:t>
      </w:r>
      <w:r w:rsidRPr="008E7502">
        <w:rPr>
          <w:rFonts w:ascii="Times New Roman" w:hAnsi="Times New Roman" w:cs="Times New Roman"/>
        </w:rPr>
        <w:t>(6), 145A-152A. https://doi.org/10.2489/jswc.73.6.145A</w:t>
      </w:r>
    </w:p>
    <w:p w14:paraId="700E6A4B" w14:textId="77777777" w:rsidR="008E7502" w:rsidRPr="008E7502" w:rsidRDefault="008E7502" w:rsidP="008E7502">
      <w:pPr>
        <w:pStyle w:val="Bibliography"/>
        <w:rPr>
          <w:rFonts w:ascii="Times New Roman" w:hAnsi="Times New Roman" w:cs="Times New Roman"/>
          <w:lang w:val="fr-FR"/>
        </w:rPr>
      </w:pPr>
      <w:r w:rsidRPr="008B0FF1">
        <w:rPr>
          <w:rFonts w:ascii="Times New Roman" w:hAnsi="Times New Roman" w:cs="Times New Roman"/>
        </w:rPr>
        <w:t xml:space="preserve">Lamb, D., Erskine, P. D., &amp; Parrotta, J. A. (2005). </w:t>
      </w:r>
      <w:r w:rsidRPr="008E7502">
        <w:rPr>
          <w:rFonts w:ascii="Times New Roman" w:hAnsi="Times New Roman" w:cs="Times New Roman"/>
        </w:rPr>
        <w:t xml:space="preserve">Restoration of Degraded Tropical Forest Landscapes. </w:t>
      </w:r>
      <w:r w:rsidRPr="008E7502">
        <w:rPr>
          <w:rFonts w:ascii="Times New Roman" w:hAnsi="Times New Roman" w:cs="Times New Roman"/>
          <w:i/>
          <w:iCs/>
          <w:lang w:val="fr-FR"/>
        </w:rPr>
        <w:t>Science</w:t>
      </w:r>
      <w:r w:rsidRPr="008E7502">
        <w:rPr>
          <w:rFonts w:ascii="Times New Roman" w:hAnsi="Times New Roman" w:cs="Times New Roman"/>
          <w:lang w:val="fr-FR"/>
        </w:rPr>
        <w:t xml:space="preserve">, </w:t>
      </w:r>
      <w:r w:rsidRPr="008E7502">
        <w:rPr>
          <w:rFonts w:ascii="Times New Roman" w:hAnsi="Times New Roman" w:cs="Times New Roman"/>
          <w:i/>
          <w:iCs/>
          <w:lang w:val="fr-FR"/>
        </w:rPr>
        <w:t>310</w:t>
      </w:r>
      <w:r w:rsidRPr="008E7502">
        <w:rPr>
          <w:rFonts w:ascii="Times New Roman" w:hAnsi="Times New Roman" w:cs="Times New Roman"/>
          <w:lang w:val="fr-FR"/>
        </w:rPr>
        <w:t>(5754), 1628–1632. https://doi.org/10.1126/science.1111773</w:t>
      </w:r>
    </w:p>
    <w:p w14:paraId="7410B94D"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lang w:val="fr-FR"/>
        </w:rPr>
        <w:t xml:space="preserve">Lambin, E. F., &amp; Meyfroidt, P. (2011). </w:t>
      </w:r>
      <w:r w:rsidRPr="008E7502">
        <w:rPr>
          <w:rFonts w:ascii="Times New Roman" w:hAnsi="Times New Roman" w:cs="Times New Roman"/>
        </w:rPr>
        <w:t xml:space="preserve">Global land use change, economic globalization, and the looming land scarcity. </w:t>
      </w:r>
      <w:r w:rsidRPr="008E7502">
        <w:rPr>
          <w:rFonts w:ascii="Times New Roman" w:hAnsi="Times New Roman" w:cs="Times New Roman"/>
          <w:i/>
          <w:iCs/>
        </w:rPr>
        <w:t>Proceedings of the National Academy of Sciences</w:t>
      </w:r>
      <w:r w:rsidRPr="008E7502">
        <w:rPr>
          <w:rFonts w:ascii="Times New Roman" w:hAnsi="Times New Roman" w:cs="Times New Roman"/>
        </w:rPr>
        <w:t xml:space="preserve">, </w:t>
      </w:r>
      <w:r w:rsidRPr="008E7502">
        <w:rPr>
          <w:rFonts w:ascii="Times New Roman" w:hAnsi="Times New Roman" w:cs="Times New Roman"/>
          <w:i/>
          <w:iCs/>
        </w:rPr>
        <w:t>108</w:t>
      </w:r>
      <w:r w:rsidRPr="008E7502">
        <w:rPr>
          <w:rFonts w:ascii="Times New Roman" w:hAnsi="Times New Roman" w:cs="Times New Roman"/>
        </w:rPr>
        <w:t>(9), 3465–3472.</w:t>
      </w:r>
    </w:p>
    <w:p w14:paraId="40A1BB21" w14:textId="77777777" w:rsidR="008E7502" w:rsidRPr="008B0FF1" w:rsidRDefault="008E7502" w:rsidP="008E7502">
      <w:pPr>
        <w:pStyle w:val="Bibliography"/>
        <w:rPr>
          <w:rFonts w:ascii="Times New Roman" w:hAnsi="Times New Roman" w:cs="Times New Roman"/>
        </w:rPr>
      </w:pPr>
      <w:r w:rsidRPr="008E7502">
        <w:rPr>
          <w:rFonts w:ascii="Times New Roman" w:hAnsi="Times New Roman" w:cs="Times New Roman"/>
        </w:rPr>
        <w:t xml:space="preserve">Liao, C., Luo, Y., Fang, C., &amp; Li, B. (2010). Ecosystem Carbon Stock Influenced by Plantation Practice: Implications for Planting Forests as a Measure of Climate Change Mitigation. </w:t>
      </w:r>
      <w:r w:rsidRPr="008B0FF1">
        <w:rPr>
          <w:rFonts w:ascii="Times New Roman" w:hAnsi="Times New Roman" w:cs="Times New Roman"/>
          <w:i/>
          <w:iCs/>
        </w:rPr>
        <w:t>PLoS ONE</w:t>
      </w:r>
      <w:r w:rsidRPr="008B0FF1">
        <w:rPr>
          <w:rFonts w:ascii="Times New Roman" w:hAnsi="Times New Roman" w:cs="Times New Roman"/>
        </w:rPr>
        <w:t xml:space="preserve">, </w:t>
      </w:r>
      <w:r w:rsidRPr="008B0FF1">
        <w:rPr>
          <w:rFonts w:ascii="Times New Roman" w:hAnsi="Times New Roman" w:cs="Times New Roman"/>
          <w:i/>
          <w:iCs/>
        </w:rPr>
        <w:t>5</w:t>
      </w:r>
      <w:r w:rsidRPr="008B0FF1">
        <w:rPr>
          <w:rFonts w:ascii="Times New Roman" w:hAnsi="Times New Roman" w:cs="Times New Roman"/>
        </w:rPr>
        <w:t>(5), e10867. https://doi.org/10.1371/journal.pone.0010867</w:t>
      </w:r>
    </w:p>
    <w:p w14:paraId="1794BA15" w14:textId="77777777" w:rsidR="008E7502" w:rsidRPr="008E7502" w:rsidRDefault="008E7502" w:rsidP="008E7502">
      <w:pPr>
        <w:pStyle w:val="Bibliography"/>
        <w:rPr>
          <w:rFonts w:ascii="Times New Roman" w:hAnsi="Times New Roman" w:cs="Times New Roman"/>
        </w:rPr>
      </w:pPr>
      <w:r w:rsidRPr="008B0FF1">
        <w:rPr>
          <w:rFonts w:ascii="Times New Roman" w:hAnsi="Times New Roman" w:cs="Times New Roman"/>
        </w:rPr>
        <w:t xml:space="preserve">Luyssaert, S., Schulze, E.-D., Börner, A., Knohl, A., Hessenmöller, D., Law, B. E., … </w:t>
      </w:r>
      <w:r w:rsidRPr="008E7502">
        <w:rPr>
          <w:rFonts w:ascii="Times New Roman" w:hAnsi="Times New Roman" w:cs="Times New Roman"/>
        </w:rPr>
        <w:t xml:space="preserve">Grace, J. (2008). Old-growth forests as global carbon sinks. </w:t>
      </w:r>
      <w:r w:rsidRPr="008E7502">
        <w:rPr>
          <w:rFonts w:ascii="Times New Roman" w:hAnsi="Times New Roman" w:cs="Times New Roman"/>
          <w:i/>
          <w:iCs/>
        </w:rPr>
        <w:t>Nature</w:t>
      </w:r>
      <w:r w:rsidRPr="008E7502">
        <w:rPr>
          <w:rFonts w:ascii="Times New Roman" w:hAnsi="Times New Roman" w:cs="Times New Roman"/>
        </w:rPr>
        <w:t xml:space="preserve">, </w:t>
      </w:r>
      <w:r w:rsidRPr="008E7502">
        <w:rPr>
          <w:rFonts w:ascii="Times New Roman" w:hAnsi="Times New Roman" w:cs="Times New Roman"/>
          <w:i/>
          <w:iCs/>
        </w:rPr>
        <w:t>455</w:t>
      </w:r>
      <w:r w:rsidRPr="008E7502">
        <w:rPr>
          <w:rFonts w:ascii="Times New Roman" w:hAnsi="Times New Roman" w:cs="Times New Roman"/>
        </w:rPr>
        <w:t>(7210), 213–215. https://doi.org/10.1038/nature07276</w:t>
      </w:r>
    </w:p>
    <w:p w14:paraId="3FB369FB" w14:textId="77777777" w:rsidR="008E7502" w:rsidRPr="008B0FF1" w:rsidRDefault="008E7502" w:rsidP="008E7502">
      <w:pPr>
        <w:pStyle w:val="Bibliography"/>
        <w:rPr>
          <w:rFonts w:ascii="Times New Roman" w:hAnsi="Times New Roman" w:cs="Times New Roman"/>
          <w:lang w:val="pl-PL"/>
        </w:rPr>
      </w:pPr>
      <w:r w:rsidRPr="008E7502">
        <w:rPr>
          <w:rFonts w:ascii="Times New Roman" w:hAnsi="Times New Roman" w:cs="Times New Roman"/>
        </w:rPr>
        <w:t xml:space="preserve">Martin, P. A., Newton, A. C., &amp; Bullock, J. M. (2013). Carbon pools recover more quickly than plant biodiversity in tropical secondary forests. </w:t>
      </w:r>
      <w:r w:rsidRPr="008B0FF1">
        <w:rPr>
          <w:rFonts w:ascii="Times New Roman" w:hAnsi="Times New Roman" w:cs="Times New Roman"/>
          <w:i/>
          <w:iCs/>
          <w:lang w:val="pl-PL"/>
        </w:rPr>
        <w:t>Proc. R. Soc. B</w:t>
      </w:r>
      <w:r w:rsidRPr="008B0FF1">
        <w:rPr>
          <w:rFonts w:ascii="Times New Roman" w:hAnsi="Times New Roman" w:cs="Times New Roman"/>
          <w:lang w:val="pl-PL"/>
        </w:rPr>
        <w:t xml:space="preserve">, </w:t>
      </w:r>
      <w:r w:rsidRPr="008B0FF1">
        <w:rPr>
          <w:rFonts w:ascii="Times New Roman" w:hAnsi="Times New Roman" w:cs="Times New Roman"/>
          <w:i/>
          <w:iCs/>
          <w:lang w:val="pl-PL"/>
        </w:rPr>
        <w:t>280</w:t>
      </w:r>
      <w:r w:rsidRPr="008B0FF1">
        <w:rPr>
          <w:rFonts w:ascii="Times New Roman" w:hAnsi="Times New Roman" w:cs="Times New Roman"/>
          <w:lang w:val="pl-PL"/>
        </w:rPr>
        <w:t>(1773), 20132236. https://doi.org/10.1098/rspb.2013.2236</w:t>
      </w:r>
    </w:p>
    <w:p w14:paraId="60F59E6B" w14:textId="77777777" w:rsidR="008E7502" w:rsidRPr="008E7502" w:rsidRDefault="008E7502" w:rsidP="008E7502">
      <w:pPr>
        <w:pStyle w:val="Bibliography"/>
        <w:rPr>
          <w:rFonts w:ascii="Times New Roman" w:hAnsi="Times New Roman" w:cs="Times New Roman"/>
        </w:rPr>
      </w:pPr>
      <w:r w:rsidRPr="008B0FF1">
        <w:rPr>
          <w:rFonts w:ascii="Times New Roman" w:hAnsi="Times New Roman" w:cs="Times New Roman"/>
          <w:lang w:val="pl-PL"/>
        </w:rPr>
        <w:t xml:space="preserve">McGrath, J. M., &amp; Lobell, D. B. (2013). </w:t>
      </w:r>
      <w:r w:rsidRPr="008E7502">
        <w:rPr>
          <w:rFonts w:ascii="Times New Roman" w:hAnsi="Times New Roman" w:cs="Times New Roman"/>
        </w:rPr>
        <w:t xml:space="preserve">Regional disparities in the CO2 fertilization effect and implications for crop yields. </w:t>
      </w:r>
      <w:r w:rsidRPr="008E7502">
        <w:rPr>
          <w:rFonts w:ascii="Times New Roman" w:hAnsi="Times New Roman" w:cs="Times New Roman"/>
          <w:i/>
          <w:iCs/>
        </w:rPr>
        <w:t>Environmental Research Letters</w:t>
      </w:r>
      <w:r w:rsidRPr="008E7502">
        <w:rPr>
          <w:rFonts w:ascii="Times New Roman" w:hAnsi="Times New Roman" w:cs="Times New Roman"/>
        </w:rPr>
        <w:t xml:space="preserve">, </w:t>
      </w:r>
      <w:r w:rsidRPr="008E7502">
        <w:rPr>
          <w:rFonts w:ascii="Times New Roman" w:hAnsi="Times New Roman" w:cs="Times New Roman"/>
          <w:i/>
          <w:iCs/>
        </w:rPr>
        <w:t>8</w:t>
      </w:r>
      <w:r w:rsidRPr="008E7502">
        <w:rPr>
          <w:rFonts w:ascii="Times New Roman" w:hAnsi="Times New Roman" w:cs="Times New Roman"/>
        </w:rPr>
        <w:t>(1), 014054.</w:t>
      </w:r>
    </w:p>
    <w:p w14:paraId="49CB5FB6"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Mengak, M. (2009). Growing Loblolly Pine With Wildlife Food Plots, Hunting Lease Assumptions And Liability Issues. Retrieved October 31, 2016, from http://www2.hcmuaf.edu.vn/data/nmduc/2008_forest%20proceedings(1).pdf</w:t>
      </w:r>
    </w:p>
    <w:p w14:paraId="1A23B817"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Netz, B., Davidson, O., Bosch, P., Dave, R., Meyer, L., &amp; others. (2007). Climate change 2007: Mitigation. Contribution of Working Group III to the Fourth Assessment Report of the Intergovernmental Panel on Climate Change. Summary for Policymakers. </w:t>
      </w:r>
      <w:r w:rsidRPr="008E7502">
        <w:rPr>
          <w:rFonts w:ascii="Times New Roman" w:hAnsi="Times New Roman" w:cs="Times New Roman"/>
          <w:i/>
          <w:iCs/>
        </w:rPr>
        <w:t>Climate Change 2007: Mitigation. Contribution of Working Group III to the Fourth Assessment Report of the Intergovernmental Panel on Climate Change. Summary for Policymakers.</w:t>
      </w:r>
    </w:p>
    <w:p w14:paraId="6759FE34"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lastRenderedPageBreak/>
        <w:t xml:space="preserve">Nosetto, M. D., Jobbágy, E. G., &amp; Paruelo, J. M. (2006). Carbon sequestration in semi-arid rangelands: comparison of Pinus ponderosa plantations and grazing exclusion in NW Patagonia. </w:t>
      </w:r>
      <w:r w:rsidRPr="008E7502">
        <w:rPr>
          <w:rFonts w:ascii="Times New Roman" w:hAnsi="Times New Roman" w:cs="Times New Roman"/>
          <w:i/>
          <w:iCs/>
        </w:rPr>
        <w:t>Journal of Arid Environments</w:t>
      </w:r>
      <w:r w:rsidRPr="008E7502">
        <w:rPr>
          <w:rFonts w:ascii="Times New Roman" w:hAnsi="Times New Roman" w:cs="Times New Roman"/>
        </w:rPr>
        <w:t xml:space="preserve">, </w:t>
      </w:r>
      <w:r w:rsidRPr="008E7502">
        <w:rPr>
          <w:rFonts w:ascii="Times New Roman" w:hAnsi="Times New Roman" w:cs="Times New Roman"/>
          <w:i/>
          <w:iCs/>
        </w:rPr>
        <w:t>67</w:t>
      </w:r>
      <w:r w:rsidRPr="008E7502">
        <w:rPr>
          <w:rFonts w:ascii="Times New Roman" w:hAnsi="Times New Roman" w:cs="Times New Roman"/>
        </w:rPr>
        <w:t>(1), 142–156.</w:t>
      </w:r>
    </w:p>
    <w:p w14:paraId="027A0568"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Oren, R., Ellsworth, D. S., Johnsen, K. H., Phillips, N., Ewers, B. E., Maier, C., … others. (2001). Soil fertility limits carbon sequestration by forest ecosystems in a CO2-enriched atmosphere. </w:t>
      </w:r>
      <w:r w:rsidRPr="008E7502">
        <w:rPr>
          <w:rFonts w:ascii="Times New Roman" w:hAnsi="Times New Roman" w:cs="Times New Roman"/>
          <w:i/>
          <w:iCs/>
        </w:rPr>
        <w:t>Nature</w:t>
      </w:r>
      <w:r w:rsidRPr="008E7502">
        <w:rPr>
          <w:rFonts w:ascii="Times New Roman" w:hAnsi="Times New Roman" w:cs="Times New Roman"/>
        </w:rPr>
        <w:t xml:space="preserve">, </w:t>
      </w:r>
      <w:r w:rsidRPr="008E7502">
        <w:rPr>
          <w:rFonts w:ascii="Times New Roman" w:hAnsi="Times New Roman" w:cs="Times New Roman"/>
          <w:i/>
          <w:iCs/>
        </w:rPr>
        <w:t>411</w:t>
      </w:r>
      <w:r w:rsidRPr="008E7502">
        <w:rPr>
          <w:rFonts w:ascii="Times New Roman" w:hAnsi="Times New Roman" w:cs="Times New Roman"/>
        </w:rPr>
        <w:t>(6836), 469–472.</w:t>
      </w:r>
    </w:p>
    <w:p w14:paraId="1E2E2B91"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Paquette, A., &amp; Messier, C. (2009). The role of plantations in managing the world’s forests in the Anthropocene. </w:t>
      </w:r>
      <w:r w:rsidRPr="008E7502">
        <w:rPr>
          <w:rFonts w:ascii="Times New Roman" w:hAnsi="Times New Roman" w:cs="Times New Roman"/>
          <w:i/>
          <w:iCs/>
        </w:rPr>
        <w:t>Frontiers in Ecology and the Environment</w:t>
      </w:r>
      <w:r w:rsidRPr="008E7502">
        <w:rPr>
          <w:rFonts w:ascii="Times New Roman" w:hAnsi="Times New Roman" w:cs="Times New Roman"/>
        </w:rPr>
        <w:t xml:space="preserve">, </w:t>
      </w:r>
      <w:r w:rsidRPr="008E7502">
        <w:rPr>
          <w:rFonts w:ascii="Times New Roman" w:hAnsi="Times New Roman" w:cs="Times New Roman"/>
          <w:i/>
          <w:iCs/>
        </w:rPr>
        <w:t>8</w:t>
      </w:r>
      <w:r w:rsidRPr="008E7502">
        <w:rPr>
          <w:rFonts w:ascii="Times New Roman" w:hAnsi="Times New Roman" w:cs="Times New Roman"/>
        </w:rPr>
        <w:t>(1), 27–34.</w:t>
      </w:r>
    </w:p>
    <w:p w14:paraId="6C4A29C6"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Ravindranath, N. H., Somashekhar, B. S., &amp; Murthy, I. K. (2008). Forest conservation, afforestation and reforestation in India: implications for forest carbon stocks. </w:t>
      </w:r>
      <w:r w:rsidRPr="008E7502">
        <w:rPr>
          <w:rFonts w:ascii="Times New Roman" w:hAnsi="Times New Roman" w:cs="Times New Roman"/>
          <w:i/>
          <w:iCs/>
        </w:rPr>
        <w:t>Current Science</w:t>
      </w:r>
      <w:r w:rsidRPr="008E7502">
        <w:rPr>
          <w:rFonts w:ascii="Times New Roman" w:hAnsi="Times New Roman" w:cs="Times New Roman"/>
        </w:rPr>
        <w:t xml:space="preserve">, </w:t>
      </w:r>
      <w:r w:rsidRPr="008E7502">
        <w:rPr>
          <w:rFonts w:ascii="Times New Roman" w:hAnsi="Times New Roman" w:cs="Times New Roman"/>
          <w:i/>
          <w:iCs/>
        </w:rPr>
        <w:t>95</w:t>
      </w:r>
      <w:r w:rsidRPr="008E7502">
        <w:rPr>
          <w:rFonts w:ascii="Times New Roman" w:hAnsi="Times New Roman" w:cs="Times New Roman"/>
        </w:rPr>
        <w:t>(2), 216–222.</w:t>
      </w:r>
    </w:p>
    <w:p w14:paraId="74318870"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Rudel, T. K. (2009). Tree farms: driving forces and regional patterns in the global expansion of forest plantations. </w:t>
      </w:r>
      <w:r w:rsidRPr="008E7502">
        <w:rPr>
          <w:rFonts w:ascii="Times New Roman" w:hAnsi="Times New Roman" w:cs="Times New Roman"/>
          <w:i/>
          <w:iCs/>
        </w:rPr>
        <w:t>Land Use Policy</w:t>
      </w:r>
      <w:r w:rsidRPr="008E7502">
        <w:rPr>
          <w:rFonts w:ascii="Times New Roman" w:hAnsi="Times New Roman" w:cs="Times New Roman"/>
        </w:rPr>
        <w:t xml:space="preserve">, </w:t>
      </w:r>
      <w:r w:rsidRPr="008E7502">
        <w:rPr>
          <w:rFonts w:ascii="Times New Roman" w:hAnsi="Times New Roman" w:cs="Times New Roman"/>
          <w:i/>
          <w:iCs/>
        </w:rPr>
        <w:t>26</w:t>
      </w:r>
      <w:r w:rsidRPr="008E7502">
        <w:rPr>
          <w:rFonts w:ascii="Times New Roman" w:hAnsi="Times New Roman" w:cs="Times New Roman"/>
        </w:rPr>
        <w:t>(3), 545–550.</w:t>
      </w:r>
    </w:p>
    <w:p w14:paraId="2B4C261A"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Schirmer, J., &amp; Bull, L. (2014). Assessing the likelihood of widespread landholder adoption of afforestation and reforestation projects. </w:t>
      </w:r>
      <w:r w:rsidRPr="008E7502">
        <w:rPr>
          <w:rFonts w:ascii="Times New Roman" w:hAnsi="Times New Roman" w:cs="Times New Roman"/>
          <w:i/>
          <w:iCs/>
        </w:rPr>
        <w:t>Global Environmental Change</w:t>
      </w:r>
      <w:r w:rsidRPr="008E7502">
        <w:rPr>
          <w:rFonts w:ascii="Times New Roman" w:hAnsi="Times New Roman" w:cs="Times New Roman"/>
        </w:rPr>
        <w:t xml:space="preserve">, </w:t>
      </w:r>
      <w:r w:rsidRPr="008E7502">
        <w:rPr>
          <w:rFonts w:ascii="Times New Roman" w:hAnsi="Times New Roman" w:cs="Times New Roman"/>
          <w:i/>
          <w:iCs/>
        </w:rPr>
        <w:t>24</w:t>
      </w:r>
      <w:r w:rsidRPr="008E7502">
        <w:rPr>
          <w:rFonts w:ascii="Times New Roman" w:hAnsi="Times New Roman" w:cs="Times New Roman"/>
        </w:rPr>
        <w:t>, 306–320.</w:t>
      </w:r>
    </w:p>
    <w:p w14:paraId="235E7F33"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Schneider, T., Pohnan, E., &amp; others. (2012). Assessing Rainforestation: the social and ecological effects of smallholder-based native species reforestation in the Philippines. </w:t>
      </w:r>
      <w:r w:rsidRPr="008E7502">
        <w:rPr>
          <w:rFonts w:ascii="Times New Roman" w:hAnsi="Times New Roman" w:cs="Times New Roman"/>
          <w:i/>
          <w:iCs/>
        </w:rPr>
        <w:t>Tropical Resources: Bulletin of the Yale Tropical Resources Institute</w:t>
      </w:r>
      <w:r w:rsidRPr="008E7502">
        <w:rPr>
          <w:rFonts w:ascii="Times New Roman" w:hAnsi="Times New Roman" w:cs="Times New Roman"/>
        </w:rPr>
        <w:t xml:space="preserve">, </w:t>
      </w:r>
      <w:r w:rsidRPr="008E7502">
        <w:rPr>
          <w:rFonts w:ascii="Times New Roman" w:hAnsi="Times New Roman" w:cs="Times New Roman"/>
          <w:i/>
          <w:iCs/>
        </w:rPr>
        <w:t>31</w:t>
      </w:r>
      <w:r w:rsidRPr="008E7502">
        <w:rPr>
          <w:rFonts w:ascii="Times New Roman" w:hAnsi="Times New Roman" w:cs="Times New Roman"/>
        </w:rPr>
        <w:t>, 78–85.</w:t>
      </w:r>
    </w:p>
    <w:p w14:paraId="7B429380"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Smith, P. (2014). </w:t>
      </w:r>
      <w:r w:rsidRPr="008E7502">
        <w:rPr>
          <w:rFonts w:ascii="Times New Roman" w:hAnsi="Times New Roman" w:cs="Times New Roman"/>
          <w:i/>
          <w:iCs/>
        </w:rPr>
        <w:t>Climate Change 2014 Mitigation of Climate Change: Working Group III Contribution to the Fifth Assessment Report of the Intergovernmental Panel on Climate Change</w:t>
      </w:r>
      <w:r w:rsidRPr="008E7502">
        <w:rPr>
          <w:rFonts w:ascii="Times New Roman" w:hAnsi="Times New Roman" w:cs="Times New Roman"/>
        </w:rPr>
        <w:t>. https://doi.org/10.1017/CBO9781107415416</w:t>
      </w:r>
    </w:p>
    <w:p w14:paraId="44219CBF"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Sohngen, B., &amp; Mendelsohn, R. (2003). An optimal control model of forest carbon sequestration. </w:t>
      </w:r>
      <w:r w:rsidRPr="008E7502">
        <w:rPr>
          <w:rFonts w:ascii="Times New Roman" w:hAnsi="Times New Roman" w:cs="Times New Roman"/>
          <w:i/>
          <w:iCs/>
        </w:rPr>
        <w:t>American Journal of Agricultural Economics</w:t>
      </w:r>
      <w:r w:rsidRPr="008E7502">
        <w:rPr>
          <w:rFonts w:ascii="Times New Roman" w:hAnsi="Times New Roman" w:cs="Times New Roman"/>
        </w:rPr>
        <w:t xml:space="preserve">, </w:t>
      </w:r>
      <w:r w:rsidRPr="008E7502">
        <w:rPr>
          <w:rFonts w:ascii="Times New Roman" w:hAnsi="Times New Roman" w:cs="Times New Roman"/>
          <w:i/>
          <w:iCs/>
        </w:rPr>
        <w:t>85</w:t>
      </w:r>
      <w:r w:rsidRPr="008E7502">
        <w:rPr>
          <w:rFonts w:ascii="Times New Roman" w:hAnsi="Times New Roman" w:cs="Times New Roman"/>
        </w:rPr>
        <w:t>(2), 448–457.</w:t>
      </w:r>
    </w:p>
    <w:p w14:paraId="58871FFB"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Thomas, S., Dargusch, P., Harrison, S., &amp; Herbohn, J. (2010). Why are there so few afforestation and reforestation Clean Development Mechanism projects? </w:t>
      </w:r>
      <w:r w:rsidRPr="008E7502">
        <w:rPr>
          <w:rFonts w:ascii="Times New Roman" w:hAnsi="Times New Roman" w:cs="Times New Roman"/>
          <w:i/>
          <w:iCs/>
        </w:rPr>
        <w:t>Land Use Policy</w:t>
      </w:r>
      <w:r w:rsidRPr="008E7502">
        <w:rPr>
          <w:rFonts w:ascii="Times New Roman" w:hAnsi="Times New Roman" w:cs="Times New Roman"/>
        </w:rPr>
        <w:t xml:space="preserve">, </w:t>
      </w:r>
      <w:r w:rsidRPr="008E7502">
        <w:rPr>
          <w:rFonts w:ascii="Times New Roman" w:hAnsi="Times New Roman" w:cs="Times New Roman"/>
          <w:i/>
          <w:iCs/>
        </w:rPr>
        <w:t>27</w:t>
      </w:r>
      <w:r w:rsidRPr="008E7502">
        <w:rPr>
          <w:rFonts w:ascii="Times New Roman" w:hAnsi="Times New Roman" w:cs="Times New Roman"/>
        </w:rPr>
        <w:t>(3), 880–887.</w:t>
      </w:r>
    </w:p>
    <w:p w14:paraId="52E2BCCB"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Thornley, J. H. M., &amp; Cannell, M. G. R. (2000). Managing forests for wood yield and carbon storage: a theoretical study. </w:t>
      </w:r>
      <w:r w:rsidRPr="008E7502">
        <w:rPr>
          <w:rFonts w:ascii="Times New Roman" w:hAnsi="Times New Roman" w:cs="Times New Roman"/>
          <w:i/>
          <w:iCs/>
        </w:rPr>
        <w:t>Tree Physiology</w:t>
      </w:r>
      <w:r w:rsidRPr="008E7502">
        <w:rPr>
          <w:rFonts w:ascii="Times New Roman" w:hAnsi="Times New Roman" w:cs="Times New Roman"/>
        </w:rPr>
        <w:t xml:space="preserve">, </w:t>
      </w:r>
      <w:r w:rsidRPr="008E7502">
        <w:rPr>
          <w:rFonts w:ascii="Times New Roman" w:hAnsi="Times New Roman" w:cs="Times New Roman"/>
          <w:i/>
          <w:iCs/>
        </w:rPr>
        <w:t>20</w:t>
      </w:r>
      <w:r w:rsidRPr="008E7502">
        <w:rPr>
          <w:rFonts w:ascii="Times New Roman" w:hAnsi="Times New Roman" w:cs="Times New Roman"/>
        </w:rPr>
        <w:t>(7), 477–484. https://doi.org/10.1093/treephys/20.7.477</w:t>
      </w:r>
    </w:p>
    <w:p w14:paraId="5F71A511"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lastRenderedPageBreak/>
        <w:t xml:space="preserve">Uchida, E., Xu, J., &amp; Rozelle, S. (2005). Grain for Green: Cost-Effectiveness and Sustainability of China’s Conservation Set-Aside Program. </w:t>
      </w:r>
      <w:r w:rsidRPr="008E7502">
        <w:rPr>
          <w:rFonts w:ascii="Times New Roman" w:hAnsi="Times New Roman" w:cs="Times New Roman"/>
          <w:i/>
          <w:iCs/>
        </w:rPr>
        <w:t>Land Economics</w:t>
      </w:r>
      <w:r w:rsidRPr="008E7502">
        <w:rPr>
          <w:rFonts w:ascii="Times New Roman" w:hAnsi="Times New Roman" w:cs="Times New Roman"/>
        </w:rPr>
        <w:t xml:space="preserve">, </w:t>
      </w:r>
      <w:r w:rsidRPr="008E7502">
        <w:rPr>
          <w:rFonts w:ascii="Times New Roman" w:hAnsi="Times New Roman" w:cs="Times New Roman"/>
          <w:i/>
          <w:iCs/>
        </w:rPr>
        <w:t>81</w:t>
      </w:r>
      <w:r w:rsidRPr="008E7502">
        <w:rPr>
          <w:rFonts w:ascii="Times New Roman" w:hAnsi="Times New Roman" w:cs="Times New Roman"/>
        </w:rPr>
        <w:t>(2), 247–264. https://doi.org/10.3368/le.81.2.247</w:t>
      </w:r>
    </w:p>
    <w:p w14:paraId="25D6578B"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van Minnen, J. G., Strengers, B. J., Eickhout, B., Swart, R. J., &amp; Leemans, R. (2008). Quantifying the effectiveness of climate change mitigation through forest plantations and carbon sequestration with an integrated land-use model. </w:t>
      </w:r>
      <w:r w:rsidRPr="008E7502">
        <w:rPr>
          <w:rFonts w:ascii="Times New Roman" w:hAnsi="Times New Roman" w:cs="Times New Roman"/>
          <w:i/>
          <w:iCs/>
        </w:rPr>
        <w:t>Carbon Balance and Management</w:t>
      </w:r>
      <w:r w:rsidRPr="008E7502">
        <w:rPr>
          <w:rFonts w:ascii="Times New Roman" w:hAnsi="Times New Roman" w:cs="Times New Roman"/>
        </w:rPr>
        <w:t xml:space="preserve">, </w:t>
      </w:r>
      <w:r w:rsidRPr="008E7502">
        <w:rPr>
          <w:rFonts w:ascii="Times New Roman" w:hAnsi="Times New Roman" w:cs="Times New Roman"/>
          <w:i/>
          <w:iCs/>
        </w:rPr>
        <w:t>3</w:t>
      </w:r>
      <w:r w:rsidRPr="008E7502">
        <w:rPr>
          <w:rFonts w:ascii="Times New Roman" w:hAnsi="Times New Roman" w:cs="Times New Roman"/>
        </w:rPr>
        <w:t>(3), 1–20.</w:t>
      </w:r>
    </w:p>
    <w:p w14:paraId="2AE92539" w14:textId="77777777" w:rsidR="008E7502" w:rsidRPr="008E7502" w:rsidRDefault="008E7502" w:rsidP="008E7502">
      <w:pPr>
        <w:pStyle w:val="Bibliography"/>
        <w:rPr>
          <w:rFonts w:ascii="Times New Roman" w:hAnsi="Times New Roman" w:cs="Times New Roman"/>
        </w:rPr>
      </w:pPr>
      <w:r w:rsidRPr="008E7502">
        <w:rPr>
          <w:rFonts w:ascii="Times New Roman" w:hAnsi="Times New Roman" w:cs="Times New Roman"/>
        </w:rPr>
        <w:t xml:space="preserve">Zomer, R. J., Trabucco, A., Coe, R., &amp; Place, F. (2009). </w:t>
      </w:r>
      <w:r w:rsidRPr="008E7502">
        <w:rPr>
          <w:rFonts w:ascii="Times New Roman" w:hAnsi="Times New Roman" w:cs="Times New Roman"/>
          <w:i/>
          <w:iCs/>
        </w:rPr>
        <w:t>Trees on Farm: Analysis of Global Extent and Geographic Patterns of Agroforestry</w:t>
      </w:r>
      <w:r w:rsidRPr="008E7502">
        <w:rPr>
          <w:rFonts w:ascii="Times New Roman" w:hAnsi="Times New Roman" w:cs="Times New Roman"/>
        </w:rPr>
        <w:t xml:space="preserve"> (No. ICRAF Working Paper no. 89). Retrieved from World Agroforestry Centre website: http://www.worldagroforestry.org/sites/default/files/WP89_text_only.pdf</w:t>
      </w:r>
    </w:p>
    <w:p w14:paraId="6E150B97" w14:textId="06BA401A" w:rsidR="00B7686D" w:rsidRPr="00B7686D" w:rsidRDefault="00B7686D" w:rsidP="00B7686D">
      <w:r>
        <w:fldChar w:fldCharType="end"/>
      </w:r>
    </w:p>
    <w:p w14:paraId="02EABFF3" w14:textId="7C6A34E3" w:rsidR="006745FF" w:rsidRPr="003A0234" w:rsidRDefault="006745FF" w:rsidP="001D6F00">
      <w:pPr>
        <w:pStyle w:val="Heading1"/>
        <w:numPr>
          <w:ilvl w:val="0"/>
          <w:numId w:val="4"/>
        </w:numPr>
      </w:pPr>
      <w:bookmarkStart w:id="58" w:name="_Toc18443108"/>
      <w:r w:rsidRPr="00BB79D6">
        <w:t>Glossary</w:t>
      </w:r>
      <w:bookmarkEnd w:id="58"/>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w:t>
      </w:r>
      <w:r w:rsidRPr="00BB79D6">
        <w:lastRenderedPageBreak/>
        <w:t xml:space="preserve">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lastRenderedPageBreak/>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w:t>
      </w:r>
      <w:r w:rsidRPr="00BB79D6">
        <w:lastRenderedPageBreak/>
        <w:t>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lastRenderedPageBreak/>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0957" w14:textId="77777777" w:rsidR="001820C3" w:rsidRDefault="001820C3" w:rsidP="00D26F59">
      <w:pPr>
        <w:spacing w:after="0"/>
      </w:pPr>
      <w:r>
        <w:separator/>
      </w:r>
    </w:p>
  </w:endnote>
  <w:endnote w:type="continuationSeparator" w:id="0">
    <w:p w14:paraId="458C0CA1" w14:textId="77777777" w:rsidR="001820C3" w:rsidRDefault="001820C3"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EFADC" w14:textId="77777777" w:rsidR="006F3213" w:rsidRPr="00F26176" w:rsidRDefault="006F3213"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11</w:t>
    </w:r>
    <w:r>
      <w:rPr>
        <w:caps/>
        <w:noProof/>
        <w:color w:val="4F81B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6F3213" w:rsidRPr="00F26176" w:rsidRDefault="006F3213"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111AF" w14:textId="77777777" w:rsidR="001820C3" w:rsidRDefault="001820C3" w:rsidP="00D26F59">
      <w:pPr>
        <w:spacing w:after="0"/>
      </w:pPr>
      <w:r>
        <w:separator/>
      </w:r>
    </w:p>
  </w:footnote>
  <w:footnote w:type="continuationSeparator" w:id="0">
    <w:p w14:paraId="61DDAE9B" w14:textId="77777777" w:rsidR="001820C3" w:rsidRDefault="001820C3" w:rsidP="00D26F59">
      <w:pPr>
        <w:spacing w:after="0"/>
      </w:pPr>
      <w:r>
        <w:continuationSeparator/>
      </w:r>
    </w:p>
  </w:footnote>
  <w:footnote w:id="1">
    <w:p w14:paraId="4758728F" w14:textId="77777777" w:rsidR="006F3213" w:rsidRDefault="006F3213" w:rsidP="002D744F">
      <w:pPr>
        <w:pStyle w:val="FootnoteText"/>
      </w:pPr>
      <w:r>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314C35E" w14:textId="2FE355C0" w:rsidR="006F3213" w:rsidRDefault="006F3213">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C79C0"/>
    <w:multiLevelType w:val="multilevel"/>
    <w:tmpl w:val="3A8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CC72B8"/>
    <w:multiLevelType w:val="hybridMultilevel"/>
    <w:tmpl w:val="CF5C7E92"/>
    <w:lvl w:ilvl="0" w:tplc="325C44F0">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E0AB2"/>
    <w:multiLevelType w:val="hybridMultilevel"/>
    <w:tmpl w:val="22D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E40479"/>
    <w:multiLevelType w:val="hybridMultilevel"/>
    <w:tmpl w:val="28280ACE"/>
    <w:lvl w:ilvl="0" w:tplc="E41475C8">
      <w:start w:val="1"/>
      <w:numFmt w:val="decimal"/>
      <w:lvlText w:val="Assumption %1:"/>
      <w:lvlJc w:val="left"/>
      <w:pPr>
        <w:ind w:left="2520" w:hanging="360"/>
      </w:pPr>
      <w:rPr>
        <w:rFonts w:hint="default"/>
        <w:b/>
        <w:u w:val="single"/>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5B6F09A9"/>
    <w:multiLevelType w:val="multilevel"/>
    <w:tmpl w:val="71EE25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FDF2AE2"/>
    <w:multiLevelType w:val="multilevel"/>
    <w:tmpl w:val="9C0AD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544F7A"/>
    <w:multiLevelType w:val="hybridMultilevel"/>
    <w:tmpl w:val="9FD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929E2"/>
    <w:multiLevelType w:val="hybridMultilevel"/>
    <w:tmpl w:val="1A02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9"/>
  </w:num>
  <w:num w:numId="5">
    <w:abstractNumId w:val="9"/>
    <w:lvlOverride w:ilvl="0">
      <w:startOverride w:val="2"/>
    </w:lvlOverride>
    <w:lvlOverride w:ilvl="1">
      <w:startOverride w:val="1"/>
    </w:lvlOverride>
  </w:num>
  <w:num w:numId="6">
    <w:abstractNumId w:val="8"/>
  </w:num>
  <w:num w:numId="7">
    <w:abstractNumId w:val="11"/>
  </w:num>
  <w:num w:numId="8">
    <w:abstractNumId w:val="2"/>
  </w:num>
  <w:num w:numId="9">
    <w:abstractNumId w:val="13"/>
  </w:num>
  <w:num w:numId="10">
    <w:abstractNumId w:val="15"/>
  </w:num>
  <w:num w:numId="11">
    <w:abstractNumId w:val="6"/>
  </w:num>
  <w:num w:numId="12">
    <w:abstractNumId w:val="5"/>
  </w:num>
  <w:num w:numId="13">
    <w:abstractNumId w:val="14"/>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685"/>
    <w:rsid w:val="00000959"/>
    <w:rsid w:val="0000143C"/>
    <w:rsid w:val="00001AF3"/>
    <w:rsid w:val="00014CE5"/>
    <w:rsid w:val="0001506B"/>
    <w:rsid w:val="000178CE"/>
    <w:rsid w:val="00020C02"/>
    <w:rsid w:val="00020C6F"/>
    <w:rsid w:val="00024F11"/>
    <w:rsid w:val="00025E1E"/>
    <w:rsid w:val="00027B88"/>
    <w:rsid w:val="0003210E"/>
    <w:rsid w:val="000329B3"/>
    <w:rsid w:val="000330C6"/>
    <w:rsid w:val="00034A49"/>
    <w:rsid w:val="00035EEC"/>
    <w:rsid w:val="000376D1"/>
    <w:rsid w:val="000403FC"/>
    <w:rsid w:val="00040956"/>
    <w:rsid w:val="00041201"/>
    <w:rsid w:val="00042FF5"/>
    <w:rsid w:val="00046BE7"/>
    <w:rsid w:val="000509B9"/>
    <w:rsid w:val="00051132"/>
    <w:rsid w:val="000518B6"/>
    <w:rsid w:val="00053842"/>
    <w:rsid w:val="00054158"/>
    <w:rsid w:val="00056ED1"/>
    <w:rsid w:val="00057050"/>
    <w:rsid w:val="000663BB"/>
    <w:rsid w:val="000671D1"/>
    <w:rsid w:val="0007039F"/>
    <w:rsid w:val="00074EEC"/>
    <w:rsid w:val="0007548B"/>
    <w:rsid w:val="00075F31"/>
    <w:rsid w:val="00081B33"/>
    <w:rsid w:val="00081F00"/>
    <w:rsid w:val="000828F9"/>
    <w:rsid w:val="000829DC"/>
    <w:rsid w:val="000856B7"/>
    <w:rsid w:val="000875B5"/>
    <w:rsid w:val="00087D3B"/>
    <w:rsid w:val="000904AA"/>
    <w:rsid w:val="00090E57"/>
    <w:rsid w:val="000919A0"/>
    <w:rsid w:val="0009232E"/>
    <w:rsid w:val="0009271D"/>
    <w:rsid w:val="0009541F"/>
    <w:rsid w:val="000971F9"/>
    <w:rsid w:val="000A099E"/>
    <w:rsid w:val="000A21B4"/>
    <w:rsid w:val="000A234D"/>
    <w:rsid w:val="000A6F40"/>
    <w:rsid w:val="000B0D98"/>
    <w:rsid w:val="000B1609"/>
    <w:rsid w:val="000B1629"/>
    <w:rsid w:val="000B1918"/>
    <w:rsid w:val="000B3EE3"/>
    <w:rsid w:val="000C192C"/>
    <w:rsid w:val="000C1CD4"/>
    <w:rsid w:val="000C281B"/>
    <w:rsid w:val="000C3205"/>
    <w:rsid w:val="000C3F49"/>
    <w:rsid w:val="000C4098"/>
    <w:rsid w:val="000C6FC4"/>
    <w:rsid w:val="000C7A55"/>
    <w:rsid w:val="000D19DD"/>
    <w:rsid w:val="000D2D92"/>
    <w:rsid w:val="000D30DE"/>
    <w:rsid w:val="000D3855"/>
    <w:rsid w:val="000D542B"/>
    <w:rsid w:val="000D7BC5"/>
    <w:rsid w:val="000E594F"/>
    <w:rsid w:val="000E60CC"/>
    <w:rsid w:val="000E71B9"/>
    <w:rsid w:val="000F131E"/>
    <w:rsid w:val="000F3209"/>
    <w:rsid w:val="00101408"/>
    <w:rsid w:val="00102257"/>
    <w:rsid w:val="00103D8E"/>
    <w:rsid w:val="00103E9E"/>
    <w:rsid w:val="00105ED1"/>
    <w:rsid w:val="00106690"/>
    <w:rsid w:val="0010700D"/>
    <w:rsid w:val="001073C8"/>
    <w:rsid w:val="00111C82"/>
    <w:rsid w:val="00112479"/>
    <w:rsid w:val="001127CC"/>
    <w:rsid w:val="00113D12"/>
    <w:rsid w:val="0011542F"/>
    <w:rsid w:val="0011630B"/>
    <w:rsid w:val="001220F4"/>
    <w:rsid w:val="00123A28"/>
    <w:rsid w:val="00124262"/>
    <w:rsid w:val="00124C49"/>
    <w:rsid w:val="00125B80"/>
    <w:rsid w:val="001275F2"/>
    <w:rsid w:val="00130C9A"/>
    <w:rsid w:val="00130CA7"/>
    <w:rsid w:val="00132C49"/>
    <w:rsid w:val="00135D11"/>
    <w:rsid w:val="00136093"/>
    <w:rsid w:val="00137B82"/>
    <w:rsid w:val="00140F1E"/>
    <w:rsid w:val="001420E0"/>
    <w:rsid w:val="001514D9"/>
    <w:rsid w:val="001521C2"/>
    <w:rsid w:val="00152E5D"/>
    <w:rsid w:val="00153C1F"/>
    <w:rsid w:val="001621AD"/>
    <w:rsid w:val="00164DE1"/>
    <w:rsid w:val="00165DE4"/>
    <w:rsid w:val="0016616D"/>
    <w:rsid w:val="00167DB7"/>
    <w:rsid w:val="001701E5"/>
    <w:rsid w:val="00171D24"/>
    <w:rsid w:val="00172CCC"/>
    <w:rsid w:val="00174920"/>
    <w:rsid w:val="001759D2"/>
    <w:rsid w:val="00176B3E"/>
    <w:rsid w:val="001811A2"/>
    <w:rsid w:val="001820C3"/>
    <w:rsid w:val="00182F1F"/>
    <w:rsid w:val="0018657D"/>
    <w:rsid w:val="00187504"/>
    <w:rsid w:val="0019025A"/>
    <w:rsid w:val="001976F7"/>
    <w:rsid w:val="001A1AB8"/>
    <w:rsid w:val="001A1C4C"/>
    <w:rsid w:val="001A1F63"/>
    <w:rsid w:val="001A5214"/>
    <w:rsid w:val="001A6333"/>
    <w:rsid w:val="001A67EC"/>
    <w:rsid w:val="001A6EB0"/>
    <w:rsid w:val="001A7377"/>
    <w:rsid w:val="001A7AF4"/>
    <w:rsid w:val="001B0853"/>
    <w:rsid w:val="001B1300"/>
    <w:rsid w:val="001B202A"/>
    <w:rsid w:val="001B3003"/>
    <w:rsid w:val="001B58F5"/>
    <w:rsid w:val="001B5B28"/>
    <w:rsid w:val="001B6745"/>
    <w:rsid w:val="001B7170"/>
    <w:rsid w:val="001C0786"/>
    <w:rsid w:val="001C2B6F"/>
    <w:rsid w:val="001C3DC0"/>
    <w:rsid w:val="001C49CB"/>
    <w:rsid w:val="001C5872"/>
    <w:rsid w:val="001D163A"/>
    <w:rsid w:val="001D17E8"/>
    <w:rsid w:val="001D2DCA"/>
    <w:rsid w:val="001D5EB4"/>
    <w:rsid w:val="001D6F00"/>
    <w:rsid w:val="001E0D21"/>
    <w:rsid w:val="001E0FF2"/>
    <w:rsid w:val="001E1408"/>
    <w:rsid w:val="001E31F8"/>
    <w:rsid w:val="001E5939"/>
    <w:rsid w:val="001E5E85"/>
    <w:rsid w:val="001F277D"/>
    <w:rsid w:val="001F2EFC"/>
    <w:rsid w:val="001F3053"/>
    <w:rsid w:val="001F3124"/>
    <w:rsid w:val="001F3AB9"/>
    <w:rsid w:val="001F6FB0"/>
    <w:rsid w:val="0020012E"/>
    <w:rsid w:val="002019DF"/>
    <w:rsid w:val="00202788"/>
    <w:rsid w:val="0020317B"/>
    <w:rsid w:val="00204354"/>
    <w:rsid w:val="002054FC"/>
    <w:rsid w:val="0021041A"/>
    <w:rsid w:val="0021082B"/>
    <w:rsid w:val="00215F04"/>
    <w:rsid w:val="00216B08"/>
    <w:rsid w:val="00217B33"/>
    <w:rsid w:val="00221954"/>
    <w:rsid w:val="00223B3A"/>
    <w:rsid w:val="00225057"/>
    <w:rsid w:val="0022752F"/>
    <w:rsid w:val="00227C4B"/>
    <w:rsid w:val="0023178B"/>
    <w:rsid w:val="00231B81"/>
    <w:rsid w:val="00232AAA"/>
    <w:rsid w:val="00233C0E"/>
    <w:rsid w:val="00233E87"/>
    <w:rsid w:val="002356CB"/>
    <w:rsid w:val="0024047C"/>
    <w:rsid w:val="002476A8"/>
    <w:rsid w:val="00255D19"/>
    <w:rsid w:val="0025682F"/>
    <w:rsid w:val="00260326"/>
    <w:rsid w:val="002603E9"/>
    <w:rsid w:val="0026327C"/>
    <w:rsid w:val="00264D1A"/>
    <w:rsid w:val="00266635"/>
    <w:rsid w:val="0026755E"/>
    <w:rsid w:val="00270442"/>
    <w:rsid w:val="00272912"/>
    <w:rsid w:val="00272A49"/>
    <w:rsid w:val="00273816"/>
    <w:rsid w:val="00274997"/>
    <w:rsid w:val="00274B56"/>
    <w:rsid w:val="0027558D"/>
    <w:rsid w:val="0027708C"/>
    <w:rsid w:val="00282C09"/>
    <w:rsid w:val="002848CD"/>
    <w:rsid w:val="002856D5"/>
    <w:rsid w:val="00287458"/>
    <w:rsid w:val="002878CC"/>
    <w:rsid w:val="00287F21"/>
    <w:rsid w:val="00290D71"/>
    <w:rsid w:val="00291D3C"/>
    <w:rsid w:val="0029303E"/>
    <w:rsid w:val="0029366D"/>
    <w:rsid w:val="0029411A"/>
    <w:rsid w:val="002977FF"/>
    <w:rsid w:val="002A4E84"/>
    <w:rsid w:val="002A5415"/>
    <w:rsid w:val="002A54C6"/>
    <w:rsid w:val="002A5556"/>
    <w:rsid w:val="002A62C7"/>
    <w:rsid w:val="002B4E23"/>
    <w:rsid w:val="002B7A52"/>
    <w:rsid w:val="002C0282"/>
    <w:rsid w:val="002C4F7B"/>
    <w:rsid w:val="002D31CB"/>
    <w:rsid w:val="002D36CD"/>
    <w:rsid w:val="002D402C"/>
    <w:rsid w:val="002D4B9E"/>
    <w:rsid w:val="002D5027"/>
    <w:rsid w:val="002D5C14"/>
    <w:rsid w:val="002D5C7D"/>
    <w:rsid w:val="002D5F48"/>
    <w:rsid w:val="002D6588"/>
    <w:rsid w:val="002D733C"/>
    <w:rsid w:val="002D73F4"/>
    <w:rsid w:val="002D744F"/>
    <w:rsid w:val="002E1555"/>
    <w:rsid w:val="002E2ABB"/>
    <w:rsid w:val="002E49AA"/>
    <w:rsid w:val="002E5432"/>
    <w:rsid w:val="002E69FF"/>
    <w:rsid w:val="002F0DB3"/>
    <w:rsid w:val="002F3A87"/>
    <w:rsid w:val="002F5AB5"/>
    <w:rsid w:val="002F5E3B"/>
    <w:rsid w:val="0030099E"/>
    <w:rsid w:val="00300CEE"/>
    <w:rsid w:val="0030231B"/>
    <w:rsid w:val="00303670"/>
    <w:rsid w:val="0030434F"/>
    <w:rsid w:val="00304550"/>
    <w:rsid w:val="00304F88"/>
    <w:rsid w:val="003069EE"/>
    <w:rsid w:val="00312CDC"/>
    <w:rsid w:val="00314627"/>
    <w:rsid w:val="00315043"/>
    <w:rsid w:val="00316546"/>
    <w:rsid w:val="0031717C"/>
    <w:rsid w:val="00317E9E"/>
    <w:rsid w:val="0032353F"/>
    <w:rsid w:val="00325AF7"/>
    <w:rsid w:val="003260E9"/>
    <w:rsid w:val="003264E8"/>
    <w:rsid w:val="00327B08"/>
    <w:rsid w:val="0033049E"/>
    <w:rsid w:val="003310C7"/>
    <w:rsid w:val="003317ED"/>
    <w:rsid w:val="00331EFB"/>
    <w:rsid w:val="00333492"/>
    <w:rsid w:val="00333748"/>
    <w:rsid w:val="00334191"/>
    <w:rsid w:val="00334CEA"/>
    <w:rsid w:val="0033679B"/>
    <w:rsid w:val="00337A6B"/>
    <w:rsid w:val="00341625"/>
    <w:rsid w:val="00344262"/>
    <w:rsid w:val="0034584F"/>
    <w:rsid w:val="0034746E"/>
    <w:rsid w:val="00354636"/>
    <w:rsid w:val="00356A26"/>
    <w:rsid w:val="00356A92"/>
    <w:rsid w:val="003600C4"/>
    <w:rsid w:val="003631DE"/>
    <w:rsid w:val="00363713"/>
    <w:rsid w:val="00364F2E"/>
    <w:rsid w:val="003656B1"/>
    <w:rsid w:val="00367667"/>
    <w:rsid w:val="0037089C"/>
    <w:rsid w:val="00371CEC"/>
    <w:rsid w:val="003727F8"/>
    <w:rsid w:val="00374564"/>
    <w:rsid w:val="0038334F"/>
    <w:rsid w:val="003855B8"/>
    <w:rsid w:val="003922A1"/>
    <w:rsid w:val="00394573"/>
    <w:rsid w:val="00395868"/>
    <w:rsid w:val="0039653B"/>
    <w:rsid w:val="00396BC8"/>
    <w:rsid w:val="003975D2"/>
    <w:rsid w:val="00397EDB"/>
    <w:rsid w:val="003A0234"/>
    <w:rsid w:val="003A0E98"/>
    <w:rsid w:val="003A2697"/>
    <w:rsid w:val="003A3A41"/>
    <w:rsid w:val="003A4CBC"/>
    <w:rsid w:val="003A4F65"/>
    <w:rsid w:val="003A7929"/>
    <w:rsid w:val="003A7FE2"/>
    <w:rsid w:val="003B0395"/>
    <w:rsid w:val="003B2BDF"/>
    <w:rsid w:val="003B34CD"/>
    <w:rsid w:val="003B4C27"/>
    <w:rsid w:val="003C025A"/>
    <w:rsid w:val="003C04AF"/>
    <w:rsid w:val="003C28B2"/>
    <w:rsid w:val="003C3040"/>
    <w:rsid w:val="003C3271"/>
    <w:rsid w:val="003C4B87"/>
    <w:rsid w:val="003C4DD0"/>
    <w:rsid w:val="003C65F3"/>
    <w:rsid w:val="003C69B0"/>
    <w:rsid w:val="003C7139"/>
    <w:rsid w:val="003D2054"/>
    <w:rsid w:val="003D4138"/>
    <w:rsid w:val="003D7B2A"/>
    <w:rsid w:val="003E0AE3"/>
    <w:rsid w:val="003E33CF"/>
    <w:rsid w:val="003E4CB4"/>
    <w:rsid w:val="003E6A5B"/>
    <w:rsid w:val="003E7854"/>
    <w:rsid w:val="003E7C7A"/>
    <w:rsid w:val="003F0CA3"/>
    <w:rsid w:val="003F1112"/>
    <w:rsid w:val="003F3B98"/>
    <w:rsid w:val="003F5CF3"/>
    <w:rsid w:val="003F71ED"/>
    <w:rsid w:val="003F7794"/>
    <w:rsid w:val="004057C8"/>
    <w:rsid w:val="00405E15"/>
    <w:rsid w:val="004132E0"/>
    <w:rsid w:val="00415730"/>
    <w:rsid w:val="00416A4B"/>
    <w:rsid w:val="004173E6"/>
    <w:rsid w:val="00423E77"/>
    <w:rsid w:val="00424673"/>
    <w:rsid w:val="0042751F"/>
    <w:rsid w:val="00427529"/>
    <w:rsid w:val="004276A3"/>
    <w:rsid w:val="00432794"/>
    <w:rsid w:val="00433358"/>
    <w:rsid w:val="00433BE9"/>
    <w:rsid w:val="00434E96"/>
    <w:rsid w:val="00434F61"/>
    <w:rsid w:val="004370DC"/>
    <w:rsid w:val="004371B5"/>
    <w:rsid w:val="0043732B"/>
    <w:rsid w:val="00440C2C"/>
    <w:rsid w:val="0044137C"/>
    <w:rsid w:val="0044153A"/>
    <w:rsid w:val="00442AA4"/>
    <w:rsid w:val="00442BA3"/>
    <w:rsid w:val="00442F4B"/>
    <w:rsid w:val="00445B57"/>
    <w:rsid w:val="00445B97"/>
    <w:rsid w:val="004471D7"/>
    <w:rsid w:val="00447C5C"/>
    <w:rsid w:val="004511D5"/>
    <w:rsid w:val="004515CA"/>
    <w:rsid w:val="0045189F"/>
    <w:rsid w:val="0045676A"/>
    <w:rsid w:val="004575C6"/>
    <w:rsid w:val="00457ABC"/>
    <w:rsid w:val="00457E57"/>
    <w:rsid w:val="00462A33"/>
    <w:rsid w:val="0047089D"/>
    <w:rsid w:val="0047128C"/>
    <w:rsid w:val="0047419B"/>
    <w:rsid w:val="00476B7B"/>
    <w:rsid w:val="00481F8C"/>
    <w:rsid w:val="00482293"/>
    <w:rsid w:val="00482F10"/>
    <w:rsid w:val="004834B4"/>
    <w:rsid w:val="00483FFA"/>
    <w:rsid w:val="0048534E"/>
    <w:rsid w:val="004858E0"/>
    <w:rsid w:val="00486C75"/>
    <w:rsid w:val="00486CBB"/>
    <w:rsid w:val="00486EC5"/>
    <w:rsid w:val="00487017"/>
    <w:rsid w:val="00490F36"/>
    <w:rsid w:val="00492F5E"/>
    <w:rsid w:val="004941B3"/>
    <w:rsid w:val="00496526"/>
    <w:rsid w:val="00497BBE"/>
    <w:rsid w:val="004A0408"/>
    <w:rsid w:val="004A1471"/>
    <w:rsid w:val="004A1E9B"/>
    <w:rsid w:val="004A2BBF"/>
    <w:rsid w:val="004A4DFA"/>
    <w:rsid w:val="004A5470"/>
    <w:rsid w:val="004A6074"/>
    <w:rsid w:val="004B1A0B"/>
    <w:rsid w:val="004B1E4D"/>
    <w:rsid w:val="004B1FD2"/>
    <w:rsid w:val="004B298E"/>
    <w:rsid w:val="004B45D0"/>
    <w:rsid w:val="004B4859"/>
    <w:rsid w:val="004B4939"/>
    <w:rsid w:val="004B5DFA"/>
    <w:rsid w:val="004B75B7"/>
    <w:rsid w:val="004C1365"/>
    <w:rsid w:val="004C1461"/>
    <w:rsid w:val="004C23EF"/>
    <w:rsid w:val="004C2EA3"/>
    <w:rsid w:val="004C41F3"/>
    <w:rsid w:val="004C7B75"/>
    <w:rsid w:val="004D1414"/>
    <w:rsid w:val="004D1553"/>
    <w:rsid w:val="004D345F"/>
    <w:rsid w:val="004D5520"/>
    <w:rsid w:val="004D7369"/>
    <w:rsid w:val="004E3E5E"/>
    <w:rsid w:val="004E4047"/>
    <w:rsid w:val="004E4194"/>
    <w:rsid w:val="004E5B1D"/>
    <w:rsid w:val="004E5C1B"/>
    <w:rsid w:val="004F05F2"/>
    <w:rsid w:val="004F1696"/>
    <w:rsid w:val="004F3130"/>
    <w:rsid w:val="004F40D8"/>
    <w:rsid w:val="004F5425"/>
    <w:rsid w:val="004F762E"/>
    <w:rsid w:val="00503591"/>
    <w:rsid w:val="00503777"/>
    <w:rsid w:val="00503F11"/>
    <w:rsid w:val="00506286"/>
    <w:rsid w:val="005072C2"/>
    <w:rsid w:val="005141EF"/>
    <w:rsid w:val="00516850"/>
    <w:rsid w:val="005251A9"/>
    <w:rsid w:val="005262F7"/>
    <w:rsid w:val="00526B1D"/>
    <w:rsid w:val="005279FF"/>
    <w:rsid w:val="00531D98"/>
    <w:rsid w:val="0053240D"/>
    <w:rsid w:val="005341AC"/>
    <w:rsid w:val="00535AC0"/>
    <w:rsid w:val="00536F2C"/>
    <w:rsid w:val="00540434"/>
    <w:rsid w:val="00540530"/>
    <w:rsid w:val="00540F4D"/>
    <w:rsid w:val="005414F8"/>
    <w:rsid w:val="00541BED"/>
    <w:rsid w:val="00541D39"/>
    <w:rsid w:val="00542221"/>
    <w:rsid w:val="005439EC"/>
    <w:rsid w:val="0055383D"/>
    <w:rsid w:val="00555211"/>
    <w:rsid w:val="00557A3B"/>
    <w:rsid w:val="00557CD7"/>
    <w:rsid w:val="00561650"/>
    <w:rsid w:val="005637A9"/>
    <w:rsid w:val="00564C96"/>
    <w:rsid w:val="00570C51"/>
    <w:rsid w:val="005710EE"/>
    <w:rsid w:val="00571C64"/>
    <w:rsid w:val="00573DA2"/>
    <w:rsid w:val="00576A18"/>
    <w:rsid w:val="00576AE8"/>
    <w:rsid w:val="005800EF"/>
    <w:rsid w:val="00583D3A"/>
    <w:rsid w:val="00584C53"/>
    <w:rsid w:val="00584CBD"/>
    <w:rsid w:val="00584ECC"/>
    <w:rsid w:val="00586AA5"/>
    <w:rsid w:val="00587154"/>
    <w:rsid w:val="00591491"/>
    <w:rsid w:val="005927F0"/>
    <w:rsid w:val="00592C39"/>
    <w:rsid w:val="00592D80"/>
    <w:rsid w:val="005A0833"/>
    <w:rsid w:val="005A0AE6"/>
    <w:rsid w:val="005A6986"/>
    <w:rsid w:val="005B36F6"/>
    <w:rsid w:val="005B7A11"/>
    <w:rsid w:val="005C01A0"/>
    <w:rsid w:val="005C372B"/>
    <w:rsid w:val="005C4A51"/>
    <w:rsid w:val="005C4E34"/>
    <w:rsid w:val="005C6EC2"/>
    <w:rsid w:val="005C77F5"/>
    <w:rsid w:val="005C7922"/>
    <w:rsid w:val="005D026A"/>
    <w:rsid w:val="005D1079"/>
    <w:rsid w:val="005D1439"/>
    <w:rsid w:val="005D2724"/>
    <w:rsid w:val="005D2C9C"/>
    <w:rsid w:val="005D4414"/>
    <w:rsid w:val="005D49A8"/>
    <w:rsid w:val="005E1274"/>
    <w:rsid w:val="005E18C1"/>
    <w:rsid w:val="005E40E9"/>
    <w:rsid w:val="005E60CA"/>
    <w:rsid w:val="005F08CD"/>
    <w:rsid w:val="005F1E2F"/>
    <w:rsid w:val="005F349F"/>
    <w:rsid w:val="005F38E3"/>
    <w:rsid w:val="005F6F5D"/>
    <w:rsid w:val="00602DC8"/>
    <w:rsid w:val="00602DF7"/>
    <w:rsid w:val="006035E9"/>
    <w:rsid w:val="0060672D"/>
    <w:rsid w:val="00606AD0"/>
    <w:rsid w:val="00606EAF"/>
    <w:rsid w:val="0061098C"/>
    <w:rsid w:val="00613D4E"/>
    <w:rsid w:val="006140AF"/>
    <w:rsid w:val="00615927"/>
    <w:rsid w:val="006207E6"/>
    <w:rsid w:val="006235B0"/>
    <w:rsid w:val="00624612"/>
    <w:rsid w:val="006255E9"/>
    <w:rsid w:val="00627196"/>
    <w:rsid w:val="00630CD1"/>
    <w:rsid w:val="00631D39"/>
    <w:rsid w:val="00631F1C"/>
    <w:rsid w:val="006329A0"/>
    <w:rsid w:val="00633441"/>
    <w:rsid w:val="00635618"/>
    <w:rsid w:val="0063594A"/>
    <w:rsid w:val="00635CF6"/>
    <w:rsid w:val="00636BAC"/>
    <w:rsid w:val="00637C03"/>
    <w:rsid w:val="00640665"/>
    <w:rsid w:val="006414AD"/>
    <w:rsid w:val="0064645A"/>
    <w:rsid w:val="00647556"/>
    <w:rsid w:val="0065045A"/>
    <w:rsid w:val="00652209"/>
    <w:rsid w:val="00652B00"/>
    <w:rsid w:val="00652B19"/>
    <w:rsid w:val="00654D87"/>
    <w:rsid w:val="0065579A"/>
    <w:rsid w:val="00655B1D"/>
    <w:rsid w:val="00662E9B"/>
    <w:rsid w:val="006638AD"/>
    <w:rsid w:val="0066561B"/>
    <w:rsid w:val="00665842"/>
    <w:rsid w:val="00666260"/>
    <w:rsid w:val="00666AAB"/>
    <w:rsid w:val="0066753A"/>
    <w:rsid w:val="0066787A"/>
    <w:rsid w:val="00671B58"/>
    <w:rsid w:val="006745FF"/>
    <w:rsid w:val="0067661A"/>
    <w:rsid w:val="00682F7B"/>
    <w:rsid w:val="00683100"/>
    <w:rsid w:val="006856C3"/>
    <w:rsid w:val="00686965"/>
    <w:rsid w:val="0069014F"/>
    <w:rsid w:val="00691AF6"/>
    <w:rsid w:val="0069370D"/>
    <w:rsid w:val="00693D04"/>
    <w:rsid w:val="00694F98"/>
    <w:rsid w:val="00695682"/>
    <w:rsid w:val="00695E13"/>
    <w:rsid w:val="006A0A73"/>
    <w:rsid w:val="006A0CB8"/>
    <w:rsid w:val="006A106E"/>
    <w:rsid w:val="006A33F6"/>
    <w:rsid w:val="006A4070"/>
    <w:rsid w:val="006A4A08"/>
    <w:rsid w:val="006A7503"/>
    <w:rsid w:val="006B20C0"/>
    <w:rsid w:val="006B267A"/>
    <w:rsid w:val="006B328E"/>
    <w:rsid w:val="006B3E46"/>
    <w:rsid w:val="006B675D"/>
    <w:rsid w:val="006B766D"/>
    <w:rsid w:val="006C273F"/>
    <w:rsid w:val="006C4B1C"/>
    <w:rsid w:val="006D0443"/>
    <w:rsid w:val="006D402F"/>
    <w:rsid w:val="006D4142"/>
    <w:rsid w:val="006D50D6"/>
    <w:rsid w:val="006D51C1"/>
    <w:rsid w:val="006D6012"/>
    <w:rsid w:val="006D6758"/>
    <w:rsid w:val="006D6A94"/>
    <w:rsid w:val="006D7313"/>
    <w:rsid w:val="006E1B82"/>
    <w:rsid w:val="006E1D3C"/>
    <w:rsid w:val="006E32FC"/>
    <w:rsid w:val="006E6C65"/>
    <w:rsid w:val="006F2600"/>
    <w:rsid w:val="006F3213"/>
    <w:rsid w:val="006F389B"/>
    <w:rsid w:val="006F505C"/>
    <w:rsid w:val="006F6334"/>
    <w:rsid w:val="00701EEB"/>
    <w:rsid w:val="00705041"/>
    <w:rsid w:val="007052A3"/>
    <w:rsid w:val="00705BBE"/>
    <w:rsid w:val="007066D1"/>
    <w:rsid w:val="007102BE"/>
    <w:rsid w:val="007150D8"/>
    <w:rsid w:val="0071547F"/>
    <w:rsid w:val="00717861"/>
    <w:rsid w:val="00720F26"/>
    <w:rsid w:val="00720F3A"/>
    <w:rsid w:val="007219F0"/>
    <w:rsid w:val="0072606A"/>
    <w:rsid w:val="00730427"/>
    <w:rsid w:val="007306E5"/>
    <w:rsid w:val="00731454"/>
    <w:rsid w:val="007349BF"/>
    <w:rsid w:val="0073597C"/>
    <w:rsid w:val="007365E2"/>
    <w:rsid w:val="00736D2D"/>
    <w:rsid w:val="00740504"/>
    <w:rsid w:val="00741067"/>
    <w:rsid w:val="0074611A"/>
    <w:rsid w:val="007500D3"/>
    <w:rsid w:val="00750711"/>
    <w:rsid w:val="007509CF"/>
    <w:rsid w:val="00751DF9"/>
    <w:rsid w:val="007520DC"/>
    <w:rsid w:val="00753F11"/>
    <w:rsid w:val="007546AE"/>
    <w:rsid w:val="007546C9"/>
    <w:rsid w:val="00754767"/>
    <w:rsid w:val="00756A15"/>
    <w:rsid w:val="00756A61"/>
    <w:rsid w:val="007572FB"/>
    <w:rsid w:val="007576C6"/>
    <w:rsid w:val="00761959"/>
    <w:rsid w:val="00762877"/>
    <w:rsid w:val="007631C9"/>
    <w:rsid w:val="00763862"/>
    <w:rsid w:val="00763931"/>
    <w:rsid w:val="00767F96"/>
    <w:rsid w:val="0077310E"/>
    <w:rsid w:val="0077499B"/>
    <w:rsid w:val="0078017A"/>
    <w:rsid w:val="007819F6"/>
    <w:rsid w:val="00784338"/>
    <w:rsid w:val="0078609A"/>
    <w:rsid w:val="007864AB"/>
    <w:rsid w:val="00787EB8"/>
    <w:rsid w:val="00791571"/>
    <w:rsid w:val="00792CF6"/>
    <w:rsid w:val="0079350D"/>
    <w:rsid w:val="007953FC"/>
    <w:rsid w:val="0079646D"/>
    <w:rsid w:val="00796958"/>
    <w:rsid w:val="007A2A18"/>
    <w:rsid w:val="007A58F9"/>
    <w:rsid w:val="007A5AC1"/>
    <w:rsid w:val="007B6910"/>
    <w:rsid w:val="007B6F43"/>
    <w:rsid w:val="007C28E3"/>
    <w:rsid w:val="007C53CF"/>
    <w:rsid w:val="007C645A"/>
    <w:rsid w:val="007D1608"/>
    <w:rsid w:val="007D2C50"/>
    <w:rsid w:val="007D2C6A"/>
    <w:rsid w:val="007D371C"/>
    <w:rsid w:val="007D39D5"/>
    <w:rsid w:val="007D41F1"/>
    <w:rsid w:val="007D4C43"/>
    <w:rsid w:val="007D5233"/>
    <w:rsid w:val="007D571C"/>
    <w:rsid w:val="007E0AA7"/>
    <w:rsid w:val="007E25D1"/>
    <w:rsid w:val="007E2DF4"/>
    <w:rsid w:val="007E7A8B"/>
    <w:rsid w:val="007F010B"/>
    <w:rsid w:val="007F09B9"/>
    <w:rsid w:val="007F1A54"/>
    <w:rsid w:val="007F218C"/>
    <w:rsid w:val="007F5394"/>
    <w:rsid w:val="008006D0"/>
    <w:rsid w:val="00801004"/>
    <w:rsid w:val="0080134C"/>
    <w:rsid w:val="008033F1"/>
    <w:rsid w:val="008035E4"/>
    <w:rsid w:val="008067F0"/>
    <w:rsid w:val="00807D37"/>
    <w:rsid w:val="0081046D"/>
    <w:rsid w:val="00811099"/>
    <w:rsid w:val="008113FA"/>
    <w:rsid w:val="00814996"/>
    <w:rsid w:val="00814EF4"/>
    <w:rsid w:val="00816B5C"/>
    <w:rsid w:val="008203FB"/>
    <w:rsid w:val="00820B5E"/>
    <w:rsid w:val="00822F08"/>
    <w:rsid w:val="00826C41"/>
    <w:rsid w:val="00826FE9"/>
    <w:rsid w:val="008274C2"/>
    <w:rsid w:val="00827BFA"/>
    <w:rsid w:val="00831D33"/>
    <w:rsid w:val="008324D7"/>
    <w:rsid w:val="008332CA"/>
    <w:rsid w:val="00834437"/>
    <w:rsid w:val="0083647A"/>
    <w:rsid w:val="008368CA"/>
    <w:rsid w:val="00837784"/>
    <w:rsid w:val="008426F6"/>
    <w:rsid w:val="00843A10"/>
    <w:rsid w:val="00843F48"/>
    <w:rsid w:val="0084434C"/>
    <w:rsid w:val="0084641A"/>
    <w:rsid w:val="00847D79"/>
    <w:rsid w:val="0085286D"/>
    <w:rsid w:val="00853C53"/>
    <w:rsid w:val="00853C9C"/>
    <w:rsid w:val="008542B3"/>
    <w:rsid w:val="00855355"/>
    <w:rsid w:val="00855934"/>
    <w:rsid w:val="00857471"/>
    <w:rsid w:val="00861E8E"/>
    <w:rsid w:val="00861FE7"/>
    <w:rsid w:val="008627CC"/>
    <w:rsid w:val="00870831"/>
    <w:rsid w:val="00873CAF"/>
    <w:rsid w:val="00876319"/>
    <w:rsid w:val="008806DE"/>
    <w:rsid w:val="00880C37"/>
    <w:rsid w:val="0088139D"/>
    <w:rsid w:val="00882559"/>
    <w:rsid w:val="008841FC"/>
    <w:rsid w:val="00885835"/>
    <w:rsid w:val="00885F4E"/>
    <w:rsid w:val="00891B4E"/>
    <w:rsid w:val="008A0C4E"/>
    <w:rsid w:val="008A274C"/>
    <w:rsid w:val="008A28A1"/>
    <w:rsid w:val="008A3236"/>
    <w:rsid w:val="008A4D47"/>
    <w:rsid w:val="008A535D"/>
    <w:rsid w:val="008A7600"/>
    <w:rsid w:val="008B0855"/>
    <w:rsid w:val="008B0FF1"/>
    <w:rsid w:val="008B1493"/>
    <w:rsid w:val="008B187E"/>
    <w:rsid w:val="008B4104"/>
    <w:rsid w:val="008B4447"/>
    <w:rsid w:val="008B48E7"/>
    <w:rsid w:val="008B51BA"/>
    <w:rsid w:val="008B7C9F"/>
    <w:rsid w:val="008B7E2F"/>
    <w:rsid w:val="008C597F"/>
    <w:rsid w:val="008C66EA"/>
    <w:rsid w:val="008D0C0D"/>
    <w:rsid w:val="008D1491"/>
    <w:rsid w:val="008D2F41"/>
    <w:rsid w:val="008D6D1A"/>
    <w:rsid w:val="008D791A"/>
    <w:rsid w:val="008E075E"/>
    <w:rsid w:val="008E07B3"/>
    <w:rsid w:val="008E25C5"/>
    <w:rsid w:val="008E6B1D"/>
    <w:rsid w:val="008E7502"/>
    <w:rsid w:val="008F2ACC"/>
    <w:rsid w:val="008F32E5"/>
    <w:rsid w:val="008F3794"/>
    <w:rsid w:val="008F38B4"/>
    <w:rsid w:val="008F543F"/>
    <w:rsid w:val="008F7C51"/>
    <w:rsid w:val="009014D2"/>
    <w:rsid w:val="00905FBB"/>
    <w:rsid w:val="00906DC3"/>
    <w:rsid w:val="009073DB"/>
    <w:rsid w:val="00907B1B"/>
    <w:rsid w:val="00910DE0"/>
    <w:rsid w:val="0091271A"/>
    <w:rsid w:val="0091496E"/>
    <w:rsid w:val="00915F37"/>
    <w:rsid w:val="00916330"/>
    <w:rsid w:val="00917E9F"/>
    <w:rsid w:val="00923F5D"/>
    <w:rsid w:val="00926C81"/>
    <w:rsid w:val="009278CF"/>
    <w:rsid w:val="0093067B"/>
    <w:rsid w:val="00930DE7"/>
    <w:rsid w:val="00931AD9"/>
    <w:rsid w:val="00931C71"/>
    <w:rsid w:val="009323F1"/>
    <w:rsid w:val="00933557"/>
    <w:rsid w:val="00933FD7"/>
    <w:rsid w:val="00934BBC"/>
    <w:rsid w:val="00936B09"/>
    <w:rsid w:val="00937635"/>
    <w:rsid w:val="00937CEB"/>
    <w:rsid w:val="00937E4C"/>
    <w:rsid w:val="00937FED"/>
    <w:rsid w:val="00941642"/>
    <w:rsid w:val="00941CA1"/>
    <w:rsid w:val="00941CE1"/>
    <w:rsid w:val="00943247"/>
    <w:rsid w:val="0094349E"/>
    <w:rsid w:val="00946E21"/>
    <w:rsid w:val="009470AC"/>
    <w:rsid w:val="00951B63"/>
    <w:rsid w:val="00954872"/>
    <w:rsid w:val="00954CF1"/>
    <w:rsid w:val="0095610E"/>
    <w:rsid w:val="009564E3"/>
    <w:rsid w:val="0096211B"/>
    <w:rsid w:val="00962133"/>
    <w:rsid w:val="00962201"/>
    <w:rsid w:val="009632EC"/>
    <w:rsid w:val="009661B7"/>
    <w:rsid w:val="00966563"/>
    <w:rsid w:val="00967E71"/>
    <w:rsid w:val="00970306"/>
    <w:rsid w:val="00975091"/>
    <w:rsid w:val="00975179"/>
    <w:rsid w:val="009777E1"/>
    <w:rsid w:val="00977F6D"/>
    <w:rsid w:val="009801F1"/>
    <w:rsid w:val="00981A95"/>
    <w:rsid w:val="00982379"/>
    <w:rsid w:val="00983E39"/>
    <w:rsid w:val="00992B8D"/>
    <w:rsid w:val="0099599B"/>
    <w:rsid w:val="00996E91"/>
    <w:rsid w:val="00996F9E"/>
    <w:rsid w:val="00997045"/>
    <w:rsid w:val="009975A9"/>
    <w:rsid w:val="00997F1E"/>
    <w:rsid w:val="009A15A9"/>
    <w:rsid w:val="009A3447"/>
    <w:rsid w:val="009A4537"/>
    <w:rsid w:val="009A4712"/>
    <w:rsid w:val="009B0D2B"/>
    <w:rsid w:val="009B2DF7"/>
    <w:rsid w:val="009B472D"/>
    <w:rsid w:val="009B61AF"/>
    <w:rsid w:val="009B7C4C"/>
    <w:rsid w:val="009C03EB"/>
    <w:rsid w:val="009C0F77"/>
    <w:rsid w:val="009C30D4"/>
    <w:rsid w:val="009C373D"/>
    <w:rsid w:val="009C57FB"/>
    <w:rsid w:val="009C5E27"/>
    <w:rsid w:val="009C6824"/>
    <w:rsid w:val="009C7B04"/>
    <w:rsid w:val="009D118F"/>
    <w:rsid w:val="009D212B"/>
    <w:rsid w:val="009D3B78"/>
    <w:rsid w:val="009D4EA1"/>
    <w:rsid w:val="009D5B1C"/>
    <w:rsid w:val="009E054C"/>
    <w:rsid w:val="009E0FCE"/>
    <w:rsid w:val="009E1A47"/>
    <w:rsid w:val="009E1F1A"/>
    <w:rsid w:val="009E210F"/>
    <w:rsid w:val="009E435F"/>
    <w:rsid w:val="009E4F7D"/>
    <w:rsid w:val="009E6074"/>
    <w:rsid w:val="009E6E89"/>
    <w:rsid w:val="009F306A"/>
    <w:rsid w:val="009F37FE"/>
    <w:rsid w:val="009F4361"/>
    <w:rsid w:val="009F49FC"/>
    <w:rsid w:val="009F536B"/>
    <w:rsid w:val="009F5599"/>
    <w:rsid w:val="00A0251D"/>
    <w:rsid w:val="00A02DFA"/>
    <w:rsid w:val="00A0321D"/>
    <w:rsid w:val="00A0399A"/>
    <w:rsid w:val="00A07B5E"/>
    <w:rsid w:val="00A112AB"/>
    <w:rsid w:val="00A1150A"/>
    <w:rsid w:val="00A11CF5"/>
    <w:rsid w:val="00A15761"/>
    <w:rsid w:val="00A16C94"/>
    <w:rsid w:val="00A17182"/>
    <w:rsid w:val="00A2204D"/>
    <w:rsid w:val="00A24354"/>
    <w:rsid w:val="00A26C98"/>
    <w:rsid w:val="00A30010"/>
    <w:rsid w:val="00A332D0"/>
    <w:rsid w:val="00A337A3"/>
    <w:rsid w:val="00A3451A"/>
    <w:rsid w:val="00A34C76"/>
    <w:rsid w:val="00A35BB5"/>
    <w:rsid w:val="00A42843"/>
    <w:rsid w:val="00A42AE6"/>
    <w:rsid w:val="00A43969"/>
    <w:rsid w:val="00A44196"/>
    <w:rsid w:val="00A44819"/>
    <w:rsid w:val="00A45217"/>
    <w:rsid w:val="00A46495"/>
    <w:rsid w:val="00A46689"/>
    <w:rsid w:val="00A50CA2"/>
    <w:rsid w:val="00A52E22"/>
    <w:rsid w:val="00A53CDF"/>
    <w:rsid w:val="00A550A1"/>
    <w:rsid w:val="00A5526A"/>
    <w:rsid w:val="00A5758D"/>
    <w:rsid w:val="00A63C99"/>
    <w:rsid w:val="00A63DB2"/>
    <w:rsid w:val="00A65656"/>
    <w:rsid w:val="00A6665A"/>
    <w:rsid w:val="00A67518"/>
    <w:rsid w:val="00A67A59"/>
    <w:rsid w:val="00A7030F"/>
    <w:rsid w:val="00A70C8D"/>
    <w:rsid w:val="00A70D18"/>
    <w:rsid w:val="00A71D5A"/>
    <w:rsid w:val="00A74071"/>
    <w:rsid w:val="00A768E0"/>
    <w:rsid w:val="00A80C95"/>
    <w:rsid w:val="00A81205"/>
    <w:rsid w:val="00A81909"/>
    <w:rsid w:val="00A8560C"/>
    <w:rsid w:val="00A85F6D"/>
    <w:rsid w:val="00A87030"/>
    <w:rsid w:val="00A87D0F"/>
    <w:rsid w:val="00A907B8"/>
    <w:rsid w:val="00A911CE"/>
    <w:rsid w:val="00A91E04"/>
    <w:rsid w:val="00A93B1D"/>
    <w:rsid w:val="00A93BEF"/>
    <w:rsid w:val="00A94FB8"/>
    <w:rsid w:val="00A950F1"/>
    <w:rsid w:val="00A95567"/>
    <w:rsid w:val="00A957B7"/>
    <w:rsid w:val="00AA0215"/>
    <w:rsid w:val="00AA228F"/>
    <w:rsid w:val="00AA402A"/>
    <w:rsid w:val="00AA4C22"/>
    <w:rsid w:val="00AA5224"/>
    <w:rsid w:val="00AA5CF0"/>
    <w:rsid w:val="00AA6414"/>
    <w:rsid w:val="00AA78C0"/>
    <w:rsid w:val="00AB01A1"/>
    <w:rsid w:val="00AB0540"/>
    <w:rsid w:val="00AB0721"/>
    <w:rsid w:val="00AB0C83"/>
    <w:rsid w:val="00AB149D"/>
    <w:rsid w:val="00AB3B71"/>
    <w:rsid w:val="00AB71E0"/>
    <w:rsid w:val="00AB783D"/>
    <w:rsid w:val="00AC07CF"/>
    <w:rsid w:val="00AC39B5"/>
    <w:rsid w:val="00AC493E"/>
    <w:rsid w:val="00AC513C"/>
    <w:rsid w:val="00AC5EAC"/>
    <w:rsid w:val="00AC74AB"/>
    <w:rsid w:val="00AC782D"/>
    <w:rsid w:val="00AD1B9D"/>
    <w:rsid w:val="00AD307C"/>
    <w:rsid w:val="00AD3ABE"/>
    <w:rsid w:val="00AD4CF8"/>
    <w:rsid w:val="00AD5C1A"/>
    <w:rsid w:val="00AD748A"/>
    <w:rsid w:val="00AE1C1F"/>
    <w:rsid w:val="00AE2E5D"/>
    <w:rsid w:val="00AE3632"/>
    <w:rsid w:val="00AE3F8B"/>
    <w:rsid w:val="00AE6228"/>
    <w:rsid w:val="00AE705C"/>
    <w:rsid w:val="00AE72D4"/>
    <w:rsid w:val="00AE749D"/>
    <w:rsid w:val="00AE7870"/>
    <w:rsid w:val="00AE7A86"/>
    <w:rsid w:val="00AE7EFC"/>
    <w:rsid w:val="00AF0AA6"/>
    <w:rsid w:val="00AF1049"/>
    <w:rsid w:val="00AF1F5E"/>
    <w:rsid w:val="00AF234E"/>
    <w:rsid w:val="00AF507B"/>
    <w:rsid w:val="00AF6022"/>
    <w:rsid w:val="00AF78D3"/>
    <w:rsid w:val="00AF7DA5"/>
    <w:rsid w:val="00AF7DE4"/>
    <w:rsid w:val="00B052F4"/>
    <w:rsid w:val="00B10BA4"/>
    <w:rsid w:val="00B13E10"/>
    <w:rsid w:val="00B144E5"/>
    <w:rsid w:val="00B16888"/>
    <w:rsid w:val="00B2043C"/>
    <w:rsid w:val="00B21D56"/>
    <w:rsid w:val="00B23CB9"/>
    <w:rsid w:val="00B24F59"/>
    <w:rsid w:val="00B251A2"/>
    <w:rsid w:val="00B261E0"/>
    <w:rsid w:val="00B26611"/>
    <w:rsid w:val="00B31BC4"/>
    <w:rsid w:val="00B34A39"/>
    <w:rsid w:val="00B36063"/>
    <w:rsid w:val="00B368B5"/>
    <w:rsid w:val="00B3783E"/>
    <w:rsid w:val="00B404A4"/>
    <w:rsid w:val="00B43EF7"/>
    <w:rsid w:val="00B44DE6"/>
    <w:rsid w:val="00B45C11"/>
    <w:rsid w:val="00B46B9B"/>
    <w:rsid w:val="00B502A3"/>
    <w:rsid w:val="00B51ACB"/>
    <w:rsid w:val="00B5320C"/>
    <w:rsid w:val="00B5684D"/>
    <w:rsid w:val="00B6183A"/>
    <w:rsid w:val="00B61E5D"/>
    <w:rsid w:val="00B6274D"/>
    <w:rsid w:val="00B63D0E"/>
    <w:rsid w:val="00B65A3B"/>
    <w:rsid w:val="00B65BF1"/>
    <w:rsid w:val="00B667C4"/>
    <w:rsid w:val="00B675F4"/>
    <w:rsid w:val="00B70F6D"/>
    <w:rsid w:val="00B7202B"/>
    <w:rsid w:val="00B74118"/>
    <w:rsid w:val="00B7446E"/>
    <w:rsid w:val="00B74FA8"/>
    <w:rsid w:val="00B756A0"/>
    <w:rsid w:val="00B7686D"/>
    <w:rsid w:val="00B76D3C"/>
    <w:rsid w:val="00B77691"/>
    <w:rsid w:val="00B77A66"/>
    <w:rsid w:val="00B826D7"/>
    <w:rsid w:val="00B87C7D"/>
    <w:rsid w:val="00B926E4"/>
    <w:rsid w:val="00B94069"/>
    <w:rsid w:val="00B945AD"/>
    <w:rsid w:val="00B945E7"/>
    <w:rsid w:val="00B94EC1"/>
    <w:rsid w:val="00B94F2A"/>
    <w:rsid w:val="00B952BF"/>
    <w:rsid w:val="00B96AE0"/>
    <w:rsid w:val="00B972DB"/>
    <w:rsid w:val="00BA5A29"/>
    <w:rsid w:val="00BB1972"/>
    <w:rsid w:val="00BB2393"/>
    <w:rsid w:val="00BB272F"/>
    <w:rsid w:val="00BB2771"/>
    <w:rsid w:val="00BB49BE"/>
    <w:rsid w:val="00BB5D8F"/>
    <w:rsid w:val="00BB79D6"/>
    <w:rsid w:val="00BC4CC9"/>
    <w:rsid w:val="00BC7AF3"/>
    <w:rsid w:val="00BD03D0"/>
    <w:rsid w:val="00BD136D"/>
    <w:rsid w:val="00BD1FF6"/>
    <w:rsid w:val="00BD4917"/>
    <w:rsid w:val="00BD5090"/>
    <w:rsid w:val="00BD662B"/>
    <w:rsid w:val="00BD663E"/>
    <w:rsid w:val="00BD67B3"/>
    <w:rsid w:val="00BD6B65"/>
    <w:rsid w:val="00BD7079"/>
    <w:rsid w:val="00BE2EE4"/>
    <w:rsid w:val="00BE5134"/>
    <w:rsid w:val="00BE7265"/>
    <w:rsid w:val="00BF69D5"/>
    <w:rsid w:val="00BF7755"/>
    <w:rsid w:val="00C002D1"/>
    <w:rsid w:val="00C04501"/>
    <w:rsid w:val="00C05214"/>
    <w:rsid w:val="00C05713"/>
    <w:rsid w:val="00C057BF"/>
    <w:rsid w:val="00C110B5"/>
    <w:rsid w:val="00C11378"/>
    <w:rsid w:val="00C1412D"/>
    <w:rsid w:val="00C15067"/>
    <w:rsid w:val="00C15903"/>
    <w:rsid w:val="00C16C86"/>
    <w:rsid w:val="00C21692"/>
    <w:rsid w:val="00C23CAC"/>
    <w:rsid w:val="00C24415"/>
    <w:rsid w:val="00C36B63"/>
    <w:rsid w:val="00C36FE3"/>
    <w:rsid w:val="00C430E6"/>
    <w:rsid w:val="00C44058"/>
    <w:rsid w:val="00C456D4"/>
    <w:rsid w:val="00C45A08"/>
    <w:rsid w:val="00C50418"/>
    <w:rsid w:val="00C53224"/>
    <w:rsid w:val="00C53A13"/>
    <w:rsid w:val="00C54147"/>
    <w:rsid w:val="00C57FAA"/>
    <w:rsid w:val="00C61A43"/>
    <w:rsid w:val="00C6507C"/>
    <w:rsid w:val="00C666E5"/>
    <w:rsid w:val="00C7056E"/>
    <w:rsid w:val="00C70809"/>
    <w:rsid w:val="00C73BC2"/>
    <w:rsid w:val="00C7716C"/>
    <w:rsid w:val="00C8062A"/>
    <w:rsid w:val="00C81588"/>
    <w:rsid w:val="00C81D5E"/>
    <w:rsid w:val="00C81D94"/>
    <w:rsid w:val="00C83D57"/>
    <w:rsid w:val="00C86113"/>
    <w:rsid w:val="00C904CD"/>
    <w:rsid w:val="00C95A46"/>
    <w:rsid w:val="00CA121B"/>
    <w:rsid w:val="00CA2EB1"/>
    <w:rsid w:val="00CA50CF"/>
    <w:rsid w:val="00CB0317"/>
    <w:rsid w:val="00CB11FC"/>
    <w:rsid w:val="00CB4B81"/>
    <w:rsid w:val="00CB593D"/>
    <w:rsid w:val="00CB603A"/>
    <w:rsid w:val="00CB69EE"/>
    <w:rsid w:val="00CC3B2F"/>
    <w:rsid w:val="00CC4342"/>
    <w:rsid w:val="00CC7169"/>
    <w:rsid w:val="00CD0CDB"/>
    <w:rsid w:val="00CD13B3"/>
    <w:rsid w:val="00CD1855"/>
    <w:rsid w:val="00CD1975"/>
    <w:rsid w:val="00CD58A6"/>
    <w:rsid w:val="00CD5DB5"/>
    <w:rsid w:val="00CD6A82"/>
    <w:rsid w:val="00CD77D2"/>
    <w:rsid w:val="00CE030D"/>
    <w:rsid w:val="00CE1213"/>
    <w:rsid w:val="00CE2FEA"/>
    <w:rsid w:val="00CE38A3"/>
    <w:rsid w:val="00CF042D"/>
    <w:rsid w:val="00CF5DE1"/>
    <w:rsid w:val="00CF66F5"/>
    <w:rsid w:val="00CF6B3C"/>
    <w:rsid w:val="00D1007B"/>
    <w:rsid w:val="00D115EA"/>
    <w:rsid w:val="00D14B14"/>
    <w:rsid w:val="00D1508C"/>
    <w:rsid w:val="00D158BC"/>
    <w:rsid w:val="00D17435"/>
    <w:rsid w:val="00D201BF"/>
    <w:rsid w:val="00D203E4"/>
    <w:rsid w:val="00D2050B"/>
    <w:rsid w:val="00D2180D"/>
    <w:rsid w:val="00D219C8"/>
    <w:rsid w:val="00D25FC7"/>
    <w:rsid w:val="00D26F59"/>
    <w:rsid w:val="00D27A30"/>
    <w:rsid w:val="00D27C35"/>
    <w:rsid w:val="00D30E16"/>
    <w:rsid w:val="00D344F6"/>
    <w:rsid w:val="00D34DF6"/>
    <w:rsid w:val="00D35237"/>
    <w:rsid w:val="00D35569"/>
    <w:rsid w:val="00D36A8B"/>
    <w:rsid w:val="00D36C42"/>
    <w:rsid w:val="00D40DFC"/>
    <w:rsid w:val="00D43DC8"/>
    <w:rsid w:val="00D4582D"/>
    <w:rsid w:val="00D45F43"/>
    <w:rsid w:val="00D46390"/>
    <w:rsid w:val="00D47D29"/>
    <w:rsid w:val="00D51DDB"/>
    <w:rsid w:val="00D541B8"/>
    <w:rsid w:val="00D56ACE"/>
    <w:rsid w:val="00D6471D"/>
    <w:rsid w:val="00D64FC9"/>
    <w:rsid w:val="00D67F83"/>
    <w:rsid w:val="00D7024C"/>
    <w:rsid w:val="00D72D0B"/>
    <w:rsid w:val="00D74BCD"/>
    <w:rsid w:val="00D7602A"/>
    <w:rsid w:val="00D8083C"/>
    <w:rsid w:val="00D85366"/>
    <w:rsid w:val="00D862AE"/>
    <w:rsid w:val="00D9073E"/>
    <w:rsid w:val="00D92ECF"/>
    <w:rsid w:val="00D93BC3"/>
    <w:rsid w:val="00D97B6A"/>
    <w:rsid w:val="00DA06FE"/>
    <w:rsid w:val="00DA1392"/>
    <w:rsid w:val="00DA3F8A"/>
    <w:rsid w:val="00DA44EB"/>
    <w:rsid w:val="00DA57F1"/>
    <w:rsid w:val="00DA639B"/>
    <w:rsid w:val="00DB06A7"/>
    <w:rsid w:val="00DB4CC8"/>
    <w:rsid w:val="00DC0925"/>
    <w:rsid w:val="00DC149A"/>
    <w:rsid w:val="00DC1888"/>
    <w:rsid w:val="00DC42AA"/>
    <w:rsid w:val="00DC73E0"/>
    <w:rsid w:val="00DD014C"/>
    <w:rsid w:val="00DD2BFC"/>
    <w:rsid w:val="00DD34C2"/>
    <w:rsid w:val="00DD43B9"/>
    <w:rsid w:val="00DD5DFE"/>
    <w:rsid w:val="00DE0616"/>
    <w:rsid w:val="00DE242C"/>
    <w:rsid w:val="00DE40D9"/>
    <w:rsid w:val="00DE7090"/>
    <w:rsid w:val="00DF0516"/>
    <w:rsid w:val="00DF0D64"/>
    <w:rsid w:val="00DF3833"/>
    <w:rsid w:val="00DF4904"/>
    <w:rsid w:val="00DF5D64"/>
    <w:rsid w:val="00E020F9"/>
    <w:rsid w:val="00E02566"/>
    <w:rsid w:val="00E03C0E"/>
    <w:rsid w:val="00E054EE"/>
    <w:rsid w:val="00E07D68"/>
    <w:rsid w:val="00E1136D"/>
    <w:rsid w:val="00E116B4"/>
    <w:rsid w:val="00E116D7"/>
    <w:rsid w:val="00E11CD2"/>
    <w:rsid w:val="00E12CAB"/>
    <w:rsid w:val="00E131B4"/>
    <w:rsid w:val="00E131D5"/>
    <w:rsid w:val="00E143B3"/>
    <w:rsid w:val="00E14F94"/>
    <w:rsid w:val="00E160BD"/>
    <w:rsid w:val="00E17450"/>
    <w:rsid w:val="00E17F7E"/>
    <w:rsid w:val="00E23241"/>
    <w:rsid w:val="00E24751"/>
    <w:rsid w:val="00E25618"/>
    <w:rsid w:val="00E25B57"/>
    <w:rsid w:val="00E25CC9"/>
    <w:rsid w:val="00E2663F"/>
    <w:rsid w:val="00E2775F"/>
    <w:rsid w:val="00E27891"/>
    <w:rsid w:val="00E27AC5"/>
    <w:rsid w:val="00E30692"/>
    <w:rsid w:val="00E322BB"/>
    <w:rsid w:val="00E33621"/>
    <w:rsid w:val="00E33AD2"/>
    <w:rsid w:val="00E359AD"/>
    <w:rsid w:val="00E367F4"/>
    <w:rsid w:val="00E36AAB"/>
    <w:rsid w:val="00E40378"/>
    <w:rsid w:val="00E42200"/>
    <w:rsid w:val="00E439FB"/>
    <w:rsid w:val="00E43DEA"/>
    <w:rsid w:val="00E449BC"/>
    <w:rsid w:val="00E51050"/>
    <w:rsid w:val="00E5304D"/>
    <w:rsid w:val="00E53AB0"/>
    <w:rsid w:val="00E546B0"/>
    <w:rsid w:val="00E55C10"/>
    <w:rsid w:val="00E62D9D"/>
    <w:rsid w:val="00E6531F"/>
    <w:rsid w:val="00E65E41"/>
    <w:rsid w:val="00E74BD5"/>
    <w:rsid w:val="00E75922"/>
    <w:rsid w:val="00E80359"/>
    <w:rsid w:val="00E805A1"/>
    <w:rsid w:val="00E815C8"/>
    <w:rsid w:val="00E81F8C"/>
    <w:rsid w:val="00E82D62"/>
    <w:rsid w:val="00E8320F"/>
    <w:rsid w:val="00E844EA"/>
    <w:rsid w:val="00E85E1D"/>
    <w:rsid w:val="00E91D24"/>
    <w:rsid w:val="00E9782A"/>
    <w:rsid w:val="00E978D4"/>
    <w:rsid w:val="00E97B6E"/>
    <w:rsid w:val="00EA1F4F"/>
    <w:rsid w:val="00EA240E"/>
    <w:rsid w:val="00EA31F8"/>
    <w:rsid w:val="00EA34EF"/>
    <w:rsid w:val="00EA462F"/>
    <w:rsid w:val="00EA466A"/>
    <w:rsid w:val="00EA6720"/>
    <w:rsid w:val="00EB0AAF"/>
    <w:rsid w:val="00EB20B3"/>
    <w:rsid w:val="00EB2232"/>
    <w:rsid w:val="00EB2375"/>
    <w:rsid w:val="00EB247F"/>
    <w:rsid w:val="00EB419F"/>
    <w:rsid w:val="00EB45DE"/>
    <w:rsid w:val="00EC57B8"/>
    <w:rsid w:val="00EC6304"/>
    <w:rsid w:val="00EC6717"/>
    <w:rsid w:val="00EC74AA"/>
    <w:rsid w:val="00ED509F"/>
    <w:rsid w:val="00ED5C72"/>
    <w:rsid w:val="00ED7489"/>
    <w:rsid w:val="00EE0097"/>
    <w:rsid w:val="00EE0272"/>
    <w:rsid w:val="00EE04A8"/>
    <w:rsid w:val="00EE139B"/>
    <w:rsid w:val="00EE2350"/>
    <w:rsid w:val="00EE274A"/>
    <w:rsid w:val="00EE281D"/>
    <w:rsid w:val="00EF095C"/>
    <w:rsid w:val="00EF1970"/>
    <w:rsid w:val="00EF21F4"/>
    <w:rsid w:val="00EF2247"/>
    <w:rsid w:val="00EF432C"/>
    <w:rsid w:val="00EF5507"/>
    <w:rsid w:val="00EF769E"/>
    <w:rsid w:val="00F01183"/>
    <w:rsid w:val="00F01A0F"/>
    <w:rsid w:val="00F02AA2"/>
    <w:rsid w:val="00F05491"/>
    <w:rsid w:val="00F0595F"/>
    <w:rsid w:val="00F0598F"/>
    <w:rsid w:val="00F0616B"/>
    <w:rsid w:val="00F06F88"/>
    <w:rsid w:val="00F120BE"/>
    <w:rsid w:val="00F15AEE"/>
    <w:rsid w:val="00F16746"/>
    <w:rsid w:val="00F253D1"/>
    <w:rsid w:val="00F254E9"/>
    <w:rsid w:val="00F26176"/>
    <w:rsid w:val="00F27385"/>
    <w:rsid w:val="00F32317"/>
    <w:rsid w:val="00F33260"/>
    <w:rsid w:val="00F346F2"/>
    <w:rsid w:val="00F35ED1"/>
    <w:rsid w:val="00F36CE6"/>
    <w:rsid w:val="00F41AB4"/>
    <w:rsid w:val="00F432A1"/>
    <w:rsid w:val="00F4393C"/>
    <w:rsid w:val="00F440D3"/>
    <w:rsid w:val="00F4499C"/>
    <w:rsid w:val="00F44C6D"/>
    <w:rsid w:val="00F46737"/>
    <w:rsid w:val="00F501EA"/>
    <w:rsid w:val="00F506DA"/>
    <w:rsid w:val="00F52595"/>
    <w:rsid w:val="00F52A24"/>
    <w:rsid w:val="00F53092"/>
    <w:rsid w:val="00F530FC"/>
    <w:rsid w:val="00F576AF"/>
    <w:rsid w:val="00F60132"/>
    <w:rsid w:val="00F61DCA"/>
    <w:rsid w:val="00F647EC"/>
    <w:rsid w:val="00F64BF0"/>
    <w:rsid w:val="00F65586"/>
    <w:rsid w:val="00F66567"/>
    <w:rsid w:val="00F66D25"/>
    <w:rsid w:val="00F67954"/>
    <w:rsid w:val="00F67F37"/>
    <w:rsid w:val="00F71936"/>
    <w:rsid w:val="00F73235"/>
    <w:rsid w:val="00F73C9C"/>
    <w:rsid w:val="00F74517"/>
    <w:rsid w:val="00F750AB"/>
    <w:rsid w:val="00F76747"/>
    <w:rsid w:val="00F767D6"/>
    <w:rsid w:val="00F820DF"/>
    <w:rsid w:val="00F84DB6"/>
    <w:rsid w:val="00F85048"/>
    <w:rsid w:val="00F85E58"/>
    <w:rsid w:val="00F85FFB"/>
    <w:rsid w:val="00F90D56"/>
    <w:rsid w:val="00F93576"/>
    <w:rsid w:val="00F96DC9"/>
    <w:rsid w:val="00F96F8A"/>
    <w:rsid w:val="00FA2194"/>
    <w:rsid w:val="00FA3B2A"/>
    <w:rsid w:val="00FA4479"/>
    <w:rsid w:val="00FA4754"/>
    <w:rsid w:val="00FA47C2"/>
    <w:rsid w:val="00FA4843"/>
    <w:rsid w:val="00FA5114"/>
    <w:rsid w:val="00FA5F15"/>
    <w:rsid w:val="00FA6897"/>
    <w:rsid w:val="00FA7C26"/>
    <w:rsid w:val="00FA7FC8"/>
    <w:rsid w:val="00FB2C53"/>
    <w:rsid w:val="00FB2DC0"/>
    <w:rsid w:val="00FB3AB3"/>
    <w:rsid w:val="00FB649C"/>
    <w:rsid w:val="00FB6771"/>
    <w:rsid w:val="00FC0A65"/>
    <w:rsid w:val="00FC2156"/>
    <w:rsid w:val="00FC2C8B"/>
    <w:rsid w:val="00FC3AB5"/>
    <w:rsid w:val="00FC47C7"/>
    <w:rsid w:val="00FC7355"/>
    <w:rsid w:val="00FD0307"/>
    <w:rsid w:val="00FD0790"/>
    <w:rsid w:val="00FD0996"/>
    <w:rsid w:val="00FD181E"/>
    <w:rsid w:val="00FD2788"/>
    <w:rsid w:val="00FD3C6F"/>
    <w:rsid w:val="00FD4360"/>
    <w:rsid w:val="00FD53CB"/>
    <w:rsid w:val="00FD5877"/>
    <w:rsid w:val="00FD77AF"/>
    <w:rsid w:val="00FD7CC0"/>
    <w:rsid w:val="00FE05E4"/>
    <w:rsid w:val="00FE45E3"/>
    <w:rsid w:val="00FE53D4"/>
    <w:rsid w:val="00FE712D"/>
    <w:rsid w:val="00FE71B5"/>
    <w:rsid w:val="00FE7871"/>
    <w:rsid w:val="00FF038A"/>
    <w:rsid w:val="00FF2D98"/>
    <w:rsid w:val="00FF3CAA"/>
    <w:rsid w:val="00FF46C5"/>
    <w:rsid w:val="00FF471A"/>
    <w:rsid w:val="00FF47F5"/>
    <w:rsid w:val="00FF5986"/>
    <w:rsid w:val="19B34150"/>
    <w:rsid w:val="1F978269"/>
    <w:rsid w:val="2135B0AA"/>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3"/>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36">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4061105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48247794">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45247690">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9862797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226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drawdown.org"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5" Type="http://schemas.openxmlformats.org/officeDocument/2006/relationships/settings" Target="settings.xml"/><Relationship Id="rId15" Type="http://schemas.openxmlformats.org/officeDocument/2006/relationships/hyperlink" Target="http://www.drawdown.org" TargetMode="External"/><Relationship Id="rId23" Type="http://schemas.openxmlformats.org/officeDocument/2006/relationships/theme" Target="theme/theme1.xml"/><Relationship Id="rId10" Type="http://schemas.openxmlformats.org/officeDocument/2006/relationships/hyperlink" Target="mailto:info@drawdown.org"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Afforestation-Summary%20Adoption_Aug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Afforestation-Summary%20Adoption_Aug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Afforestation-Summary%20Adoption_Aug201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Afforestation-Summary%20Adoption_Aug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in Mha"</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0329798131343959"/>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290.46233630669172</c:v>
                </c:pt>
                <c:pt idx="1">
                  <c:v>290.46233630669172</c:v>
                </c:pt>
                <c:pt idx="2">
                  <c:v>290.46233630669172</c:v>
                </c:pt>
                <c:pt idx="3">
                  <c:v>290.46233630669172</c:v>
                </c:pt>
                <c:pt idx="4">
                  <c:v>290.46233630669172</c:v>
                </c:pt>
                <c:pt idx="5">
                  <c:v>290.46233630669172</c:v>
                </c:pt>
                <c:pt idx="6">
                  <c:v>290.46233630669172</c:v>
                </c:pt>
                <c:pt idx="7">
                  <c:v>290.46233630669172</c:v>
                </c:pt>
                <c:pt idx="8">
                  <c:v>290.46233630669172</c:v>
                </c:pt>
                <c:pt idx="9">
                  <c:v>290.46233630669172</c:v>
                </c:pt>
                <c:pt idx="10">
                  <c:v>290.46233630669172</c:v>
                </c:pt>
                <c:pt idx="11">
                  <c:v>290.46233630669172</c:v>
                </c:pt>
                <c:pt idx="12">
                  <c:v>290.46233630669172</c:v>
                </c:pt>
                <c:pt idx="13">
                  <c:v>290.46233630669172</c:v>
                </c:pt>
                <c:pt idx="14">
                  <c:v>290.46233630669172</c:v>
                </c:pt>
                <c:pt idx="15">
                  <c:v>290.46233630669172</c:v>
                </c:pt>
                <c:pt idx="16">
                  <c:v>290.46233630669172</c:v>
                </c:pt>
                <c:pt idx="17">
                  <c:v>290.46233630669172</c:v>
                </c:pt>
                <c:pt idx="18">
                  <c:v>290.46233630669172</c:v>
                </c:pt>
                <c:pt idx="19">
                  <c:v>290.46233630669172</c:v>
                </c:pt>
                <c:pt idx="20">
                  <c:v>290.46233630669172</c:v>
                </c:pt>
                <c:pt idx="21">
                  <c:v>290.46233630669172</c:v>
                </c:pt>
                <c:pt idx="22">
                  <c:v>290.46233630669172</c:v>
                </c:pt>
                <c:pt idx="23">
                  <c:v>290.46233630669172</c:v>
                </c:pt>
                <c:pt idx="24">
                  <c:v>290.46233630669172</c:v>
                </c:pt>
                <c:pt idx="25">
                  <c:v>290.46233630669172</c:v>
                </c:pt>
                <c:pt idx="26">
                  <c:v>290.46233630669172</c:v>
                </c:pt>
                <c:pt idx="27">
                  <c:v>290.46233630669172</c:v>
                </c:pt>
                <c:pt idx="28">
                  <c:v>290.46233630669172</c:v>
                </c:pt>
                <c:pt idx="29">
                  <c:v>290.46233630669172</c:v>
                </c:pt>
                <c:pt idx="30">
                  <c:v>290.46233630669172</c:v>
                </c:pt>
                <c:pt idx="31">
                  <c:v>290.46233630669172</c:v>
                </c:pt>
                <c:pt idx="32">
                  <c:v>290.46233630669172</c:v>
                </c:pt>
                <c:pt idx="33">
                  <c:v>290.46233630669172</c:v>
                </c:pt>
                <c:pt idx="34">
                  <c:v>290.46233630669172</c:v>
                </c:pt>
                <c:pt idx="35">
                  <c:v>290.46233630669172</c:v>
                </c:pt>
                <c:pt idx="36">
                  <c:v>290.46233630669172</c:v>
                </c:pt>
                <c:pt idx="37">
                  <c:v>290.46233630669172</c:v>
                </c:pt>
                <c:pt idx="38">
                  <c:v>290.46233630669172</c:v>
                </c:pt>
                <c:pt idx="39">
                  <c:v>290.46233630669172</c:v>
                </c:pt>
                <c:pt idx="40">
                  <c:v>290.46233630669172</c:v>
                </c:pt>
                <c:pt idx="41">
                  <c:v>290.46233630669172</c:v>
                </c:pt>
                <c:pt idx="42">
                  <c:v>290.46233630669172</c:v>
                </c:pt>
                <c:pt idx="43">
                  <c:v>290.46233630669172</c:v>
                </c:pt>
                <c:pt idx="44">
                  <c:v>290.46233630669172</c:v>
                </c:pt>
                <c:pt idx="45">
                  <c:v>290.46233630669172</c:v>
                </c:pt>
              </c:numCache>
            </c:numRef>
          </c:val>
          <c:smooth val="1"/>
          <c:extLst>
            <c:ext xmlns:c16="http://schemas.microsoft.com/office/drawing/2014/chart" uri="{C3380CC4-5D6E-409C-BE32-E72D297353CC}">
              <c16:uniqueId val="{00000000-8DA0-4787-88E5-AE0485257608}"/>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291.39660402162019</c:v>
                </c:pt>
                <c:pt idx="1">
                  <c:v>292.33087173654837</c:v>
                </c:pt>
                <c:pt idx="2">
                  <c:v>303.32678852989801</c:v>
                </c:pt>
                <c:pt idx="3">
                  <c:v>307.26456538205275</c:v>
                </c:pt>
                <c:pt idx="4">
                  <c:v>311.20234223420709</c:v>
                </c:pt>
                <c:pt idx="5">
                  <c:v>315.14011908636184</c:v>
                </c:pt>
                <c:pt idx="6">
                  <c:v>319.07789593851658</c:v>
                </c:pt>
                <c:pt idx="7">
                  <c:v>323.01567279067103</c:v>
                </c:pt>
                <c:pt idx="8">
                  <c:v>326.95344964282583</c:v>
                </c:pt>
                <c:pt idx="9">
                  <c:v>330.89122649498046</c:v>
                </c:pt>
                <c:pt idx="10">
                  <c:v>334.82900334713509</c:v>
                </c:pt>
                <c:pt idx="11">
                  <c:v>338.7667801992896</c:v>
                </c:pt>
                <c:pt idx="12">
                  <c:v>342.70455705144423</c:v>
                </c:pt>
                <c:pt idx="13">
                  <c:v>346.6377437027482</c:v>
                </c:pt>
                <c:pt idx="14">
                  <c:v>349.35308287531416</c:v>
                </c:pt>
                <c:pt idx="15">
                  <c:v>352.06842204788046</c:v>
                </c:pt>
                <c:pt idx="16">
                  <c:v>354.78376122044665</c:v>
                </c:pt>
                <c:pt idx="17">
                  <c:v>357.49910039301278</c:v>
                </c:pt>
                <c:pt idx="18">
                  <c:v>360.21443956557903</c:v>
                </c:pt>
                <c:pt idx="19">
                  <c:v>362.92977873814522</c:v>
                </c:pt>
                <c:pt idx="20">
                  <c:v>365.64511791071129</c:v>
                </c:pt>
                <c:pt idx="21">
                  <c:v>368.36045708327748</c:v>
                </c:pt>
                <c:pt idx="22">
                  <c:v>371.07579625584378</c:v>
                </c:pt>
                <c:pt idx="23">
                  <c:v>373.79113542840975</c:v>
                </c:pt>
                <c:pt idx="24">
                  <c:v>376.50647460097605</c:v>
                </c:pt>
                <c:pt idx="25">
                  <c:v>379.22181377354224</c:v>
                </c:pt>
                <c:pt idx="26">
                  <c:v>381.93715294610831</c:v>
                </c:pt>
                <c:pt idx="27">
                  <c:v>384.65249211867456</c:v>
                </c:pt>
                <c:pt idx="28">
                  <c:v>387.36783129124092</c:v>
                </c:pt>
                <c:pt idx="29">
                  <c:v>389.94932691025411</c:v>
                </c:pt>
                <c:pt idx="30">
                  <c:v>392.46433622945131</c:v>
                </c:pt>
                <c:pt idx="31">
                  <c:v>394.97934554864844</c:v>
                </c:pt>
                <c:pt idx="32">
                  <c:v>397.49435486784535</c:v>
                </c:pt>
                <c:pt idx="33">
                  <c:v>400.00936418704259</c:v>
                </c:pt>
                <c:pt idx="34">
                  <c:v>402.52437350623973</c:v>
                </c:pt>
                <c:pt idx="35">
                  <c:v>405.03938282543663</c:v>
                </c:pt>
                <c:pt idx="36">
                  <c:v>407.55439214463377</c:v>
                </c:pt>
                <c:pt idx="37">
                  <c:v>410.06940146383096</c:v>
                </c:pt>
                <c:pt idx="38">
                  <c:v>412.52198641274066</c:v>
                </c:pt>
                <c:pt idx="39">
                  <c:v>414.61173141021766</c:v>
                </c:pt>
                <c:pt idx="40">
                  <c:v>416.50207456931935</c:v>
                </c:pt>
                <c:pt idx="41">
                  <c:v>418.1696503191921</c:v>
                </c:pt>
                <c:pt idx="42">
                  <c:v>419.83722606906508</c:v>
                </c:pt>
                <c:pt idx="43">
                  <c:v>421.50480181893806</c:v>
                </c:pt>
                <c:pt idx="44">
                  <c:v>423.17237756881082</c:v>
                </c:pt>
                <c:pt idx="45">
                  <c:v>424.8399533186838</c:v>
                </c:pt>
              </c:numCache>
            </c:numRef>
          </c:val>
          <c:smooth val="0"/>
          <c:extLst>
            <c:ext xmlns:c16="http://schemas.microsoft.com/office/drawing/2014/chart" uri="{C3380CC4-5D6E-409C-BE32-E72D297353CC}">
              <c16:uniqueId val="{00000001-8DA0-4787-88E5-AE0485257608}"/>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291.83541226421096</c:v>
                </c:pt>
                <c:pt idx="1">
                  <c:v>293.20848822173059</c:v>
                </c:pt>
                <c:pt idx="2">
                  <c:v>321.84139297108078</c:v>
                </c:pt>
                <c:pt idx="3">
                  <c:v>331.63317637779767</c:v>
                </c:pt>
                <c:pt idx="4">
                  <c:v>341.46506075506807</c:v>
                </c:pt>
                <c:pt idx="5">
                  <c:v>351.31748710671116</c:v>
                </c:pt>
                <c:pt idx="6">
                  <c:v>361.18181087993946</c:v>
                </c:pt>
                <c:pt idx="7">
                  <c:v>371.05363344084992</c:v>
                </c:pt>
                <c:pt idx="8">
                  <c:v>380.93048376527076</c:v>
                </c:pt>
                <c:pt idx="9">
                  <c:v>390.81086791022534</c:v>
                </c:pt>
                <c:pt idx="10">
                  <c:v>400.69382994795325</c:v>
                </c:pt>
                <c:pt idx="11">
                  <c:v>410.57872995745697</c:v>
                </c:pt>
                <c:pt idx="12">
                  <c:v>420.46512349620002</c:v>
                </c:pt>
                <c:pt idx="13">
                  <c:v>430.32589640901728</c:v>
                </c:pt>
                <c:pt idx="14">
                  <c:v>433.11596793660942</c:v>
                </c:pt>
                <c:pt idx="15">
                  <c:v>435.9827121492894</c:v>
                </c:pt>
                <c:pt idx="16">
                  <c:v>438.92699114002528</c:v>
                </c:pt>
                <c:pt idx="17">
                  <c:v>441.94944260136492</c:v>
                </c:pt>
                <c:pt idx="18">
                  <c:v>445.05047026678574</c:v>
                </c:pt>
                <c:pt idx="19">
                  <c:v>448.23023776874493</c:v>
                </c:pt>
                <c:pt idx="20">
                  <c:v>451.48866612937798</c:v>
                </c:pt>
                <c:pt idx="21">
                  <c:v>454.82543497306352</c:v>
                </c:pt>
                <c:pt idx="22">
                  <c:v>458.2399874176707</c:v>
                </c:pt>
                <c:pt idx="23">
                  <c:v>460.29245779426304</c:v>
                </c:pt>
                <c:pt idx="24">
                  <c:v>461.66553375178268</c:v>
                </c:pt>
                <c:pt idx="25">
                  <c:v>463.03860970930231</c:v>
                </c:pt>
                <c:pt idx="26">
                  <c:v>464.41168566682194</c:v>
                </c:pt>
                <c:pt idx="27">
                  <c:v>465.78476162434157</c:v>
                </c:pt>
                <c:pt idx="28">
                  <c:v>467.1578375818612</c:v>
                </c:pt>
                <c:pt idx="29">
                  <c:v>468.53091353938083</c:v>
                </c:pt>
                <c:pt idx="30">
                  <c:v>469.90398949690046</c:v>
                </c:pt>
                <c:pt idx="31">
                  <c:v>471.2770654544201</c:v>
                </c:pt>
                <c:pt idx="32">
                  <c:v>472.65014141193973</c:v>
                </c:pt>
                <c:pt idx="33">
                  <c:v>474.02321736945936</c:v>
                </c:pt>
                <c:pt idx="34">
                  <c:v>475.39629332697899</c:v>
                </c:pt>
                <c:pt idx="35">
                  <c:v>476.76936928449862</c:v>
                </c:pt>
                <c:pt idx="36">
                  <c:v>478.14244524201825</c:v>
                </c:pt>
                <c:pt idx="37">
                  <c:v>479.51552119953789</c:v>
                </c:pt>
                <c:pt idx="38">
                  <c:v>480.88859715705752</c:v>
                </c:pt>
                <c:pt idx="39">
                  <c:v>482.26167311457715</c:v>
                </c:pt>
                <c:pt idx="40">
                  <c:v>483.63474907209678</c:v>
                </c:pt>
                <c:pt idx="41">
                  <c:v>485.00782502961641</c:v>
                </c:pt>
                <c:pt idx="42">
                  <c:v>486.38090098713604</c:v>
                </c:pt>
                <c:pt idx="43">
                  <c:v>487.75397694465568</c:v>
                </c:pt>
                <c:pt idx="44">
                  <c:v>489.12705290217531</c:v>
                </c:pt>
                <c:pt idx="45">
                  <c:v>490.50012885969494</c:v>
                </c:pt>
              </c:numCache>
            </c:numRef>
          </c:val>
          <c:smooth val="0"/>
          <c:extLst>
            <c:ext xmlns:c16="http://schemas.microsoft.com/office/drawing/2014/chart" uri="{C3380CC4-5D6E-409C-BE32-E72D297353CC}">
              <c16:uniqueId val="{00000002-8DA0-4787-88E5-AE0485257608}"/>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291.83541226421096</c:v>
                </c:pt>
                <c:pt idx="1">
                  <c:v>293.20848822173059</c:v>
                </c:pt>
                <c:pt idx="2">
                  <c:v>323.92006848937444</c:v>
                </c:pt>
                <c:pt idx="3">
                  <c:v>335.07264588360158</c:v>
                </c:pt>
                <c:pt idx="4">
                  <c:v>346.22522327782872</c:v>
                </c:pt>
                <c:pt idx="5">
                  <c:v>357.37780067205586</c:v>
                </c:pt>
                <c:pt idx="6">
                  <c:v>368.53037806628299</c:v>
                </c:pt>
                <c:pt idx="7">
                  <c:v>379.68295546051013</c:v>
                </c:pt>
                <c:pt idx="8">
                  <c:v>390.83553285473727</c:v>
                </c:pt>
                <c:pt idx="9">
                  <c:v>401.9881102489644</c:v>
                </c:pt>
                <c:pt idx="10">
                  <c:v>413.14068764319154</c:v>
                </c:pt>
                <c:pt idx="11">
                  <c:v>424.29326503741868</c:v>
                </c:pt>
                <c:pt idx="12">
                  <c:v>435.44584243164581</c:v>
                </c:pt>
                <c:pt idx="13">
                  <c:v>446.56169821906673</c:v>
                </c:pt>
                <c:pt idx="14">
                  <c:v>447.93477417658636</c:v>
                </c:pt>
                <c:pt idx="15">
                  <c:v>449.30785013410599</c:v>
                </c:pt>
                <c:pt idx="16">
                  <c:v>450.68092609162562</c:v>
                </c:pt>
                <c:pt idx="17">
                  <c:v>452.05400204914525</c:v>
                </c:pt>
                <c:pt idx="18">
                  <c:v>453.42707800666489</c:v>
                </c:pt>
                <c:pt idx="19">
                  <c:v>454.80015396418452</c:v>
                </c:pt>
                <c:pt idx="20">
                  <c:v>456.17322992170415</c:v>
                </c:pt>
                <c:pt idx="21">
                  <c:v>457.54630587922378</c:v>
                </c:pt>
                <c:pt idx="22">
                  <c:v>458.91938183674341</c:v>
                </c:pt>
                <c:pt idx="23">
                  <c:v>460.29245779426304</c:v>
                </c:pt>
                <c:pt idx="24">
                  <c:v>461.66553375178268</c:v>
                </c:pt>
                <c:pt idx="25">
                  <c:v>463.03860970930231</c:v>
                </c:pt>
                <c:pt idx="26">
                  <c:v>464.41168566682194</c:v>
                </c:pt>
                <c:pt idx="27">
                  <c:v>465.78476162434157</c:v>
                </c:pt>
                <c:pt idx="28">
                  <c:v>467.1578375818612</c:v>
                </c:pt>
                <c:pt idx="29">
                  <c:v>468.53091353938083</c:v>
                </c:pt>
                <c:pt idx="30">
                  <c:v>469.90398949690046</c:v>
                </c:pt>
                <c:pt idx="31">
                  <c:v>471.2770654544201</c:v>
                </c:pt>
                <c:pt idx="32">
                  <c:v>472.65014141193973</c:v>
                </c:pt>
                <c:pt idx="33">
                  <c:v>474.02321736945936</c:v>
                </c:pt>
                <c:pt idx="34">
                  <c:v>475.39629332697899</c:v>
                </c:pt>
                <c:pt idx="35">
                  <c:v>476.76936928449862</c:v>
                </c:pt>
                <c:pt idx="36">
                  <c:v>478.14244524201825</c:v>
                </c:pt>
                <c:pt idx="37">
                  <c:v>479.51552119953789</c:v>
                </c:pt>
                <c:pt idx="38">
                  <c:v>480.88859715705752</c:v>
                </c:pt>
                <c:pt idx="39">
                  <c:v>482.26167311457715</c:v>
                </c:pt>
                <c:pt idx="40">
                  <c:v>483.63474907209678</c:v>
                </c:pt>
                <c:pt idx="41">
                  <c:v>485.00782502961641</c:v>
                </c:pt>
                <c:pt idx="42">
                  <c:v>486.38090098713604</c:v>
                </c:pt>
                <c:pt idx="43">
                  <c:v>487.75397694465568</c:v>
                </c:pt>
                <c:pt idx="44">
                  <c:v>489.12705290217531</c:v>
                </c:pt>
                <c:pt idx="45">
                  <c:v>490.50012885969494</c:v>
                </c:pt>
              </c:numCache>
            </c:numRef>
          </c:val>
          <c:smooth val="0"/>
          <c:extLst>
            <c:ext xmlns:c16="http://schemas.microsoft.com/office/drawing/2014/chart" uri="{C3380CC4-5D6E-409C-BE32-E72D297353CC}">
              <c16:uniqueId val="{00000003-8DA0-4787-88E5-AE0485257608}"/>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8DA0-4787-88E5-AE0485257608}"/>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8DA0-4787-88E5-AE0485257608}"/>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8DA0-4787-88E5-AE0485257608}"/>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8DA0-4787-88E5-AE0485257608}"/>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8DA0-4787-88E5-AE0485257608}"/>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8DA0-4787-88E5-AE0485257608}"/>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8DA0-4787-88E5-AE0485257608}"/>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8DA0-4787-88E5-AE0485257608}"/>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8DA0-4787-88E5-AE0485257608}"/>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in val="25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4231233250902773"/>
          <c:y val="0.29635163579423407"/>
          <c:w val="0.24191894212960569"/>
          <c:h val="0.3676436423810716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"World Adoption - % of TLA"</c:f>
          <c:strCache>
            <c:ptCount val="1"/>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0.49936468135760076</c:v>
                </c:pt>
                <c:pt idx="1">
                  <c:v>0.49936468135760076</c:v>
                </c:pt>
                <c:pt idx="2">
                  <c:v>0.49936468135760076</c:v>
                </c:pt>
                <c:pt idx="3">
                  <c:v>0.49936468135760076</c:v>
                </c:pt>
                <c:pt idx="4">
                  <c:v>0.49936468135760076</c:v>
                </c:pt>
                <c:pt idx="5">
                  <c:v>0.49936468135760076</c:v>
                </c:pt>
                <c:pt idx="6">
                  <c:v>0.49936468135760076</c:v>
                </c:pt>
                <c:pt idx="7">
                  <c:v>0.49936468135760076</c:v>
                </c:pt>
                <c:pt idx="8">
                  <c:v>0.49936468135760076</c:v>
                </c:pt>
                <c:pt idx="9">
                  <c:v>0.49936468135760076</c:v>
                </c:pt>
                <c:pt idx="10">
                  <c:v>0.49936468135760076</c:v>
                </c:pt>
                <c:pt idx="11">
                  <c:v>0.49936468135760076</c:v>
                </c:pt>
                <c:pt idx="12">
                  <c:v>0.49936468135760076</c:v>
                </c:pt>
                <c:pt idx="13">
                  <c:v>0.49936468135760076</c:v>
                </c:pt>
                <c:pt idx="14">
                  <c:v>0.49936468135760076</c:v>
                </c:pt>
                <c:pt idx="15">
                  <c:v>0.49936468135760076</c:v>
                </c:pt>
                <c:pt idx="16">
                  <c:v>0.49936468135760076</c:v>
                </c:pt>
                <c:pt idx="17">
                  <c:v>0.49936468135760076</c:v>
                </c:pt>
                <c:pt idx="18">
                  <c:v>0.49936468135760076</c:v>
                </c:pt>
                <c:pt idx="19">
                  <c:v>0.49936468135760076</c:v>
                </c:pt>
                <c:pt idx="20">
                  <c:v>0.49936468135760076</c:v>
                </c:pt>
                <c:pt idx="21">
                  <c:v>0.49936468135760076</c:v>
                </c:pt>
                <c:pt idx="22">
                  <c:v>0.49936468135760076</c:v>
                </c:pt>
                <c:pt idx="23">
                  <c:v>0.49936468135760076</c:v>
                </c:pt>
                <c:pt idx="24">
                  <c:v>0.49936468135760076</c:v>
                </c:pt>
                <c:pt idx="25">
                  <c:v>0.49936468135760076</c:v>
                </c:pt>
                <c:pt idx="26">
                  <c:v>0.49936468135760076</c:v>
                </c:pt>
                <c:pt idx="27">
                  <c:v>0.49936468135760076</c:v>
                </c:pt>
                <c:pt idx="28">
                  <c:v>0.49936468135760076</c:v>
                </c:pt>
                <c:pt idx="29">
                  <c:v>0.49936468135760076</c:v>
                </c:pt>
                <c:pt idx="30">
                  <c:v>0.49936468135760076</c:v>
                </c:pt>
                <c:pt idx="31">
                  <c:v>0.49936468135760076</c:v>
                </c:pt>
                <c:pt idx="32">
                  <c:v>0.49936468135760076</c:v>
                </c:pt>
                <c:pt idx="33">
                  <c:v>0.49936468135760076</c:v>
                </c:pt>
                <c:pt idx="34">
                  <c:v>0.49936468135760076</c:v>
                </c:pt>
                <c:pt idx="35">
                  <c:v>0.49936468135760076</c:v>
                </c:pt>
                <c:pt idx="36">
                  <c:v>0.49936468135760076</c:v>
                </c:pt>
                <c:pt idx="37">
                  <c:v>0.49936468135760076</c:v>
                </c:pt>
                <c:pt idx="38">
                  <c:v>0.49936468135760076</c:v>
                </c:pt>
                <c:pt idx="39">
                  <c:v>0.49936468135760076</c:v>
                </c:pt>
                <c:pt idx="40">
                  <c:v>0.49936468135760076</c:v>
                </c:pt>
                <c:pt idx="41">
                  <c:v>0.49936468135760076</c:v>
                </c:pt>
                <c:pt idx="42">
                  <c:v>0.49936468135760076</c:v>
                </c:pt>
                <c:pt idx="43">
                  <c:v>0.49936468135760076</c:v>
                </c:pt>
                <c:pt idx="44">
                  <c:v>0.49936468135760076</c:v>
                </c:pt>
                <c:pt idx="45">
                  <c:v>0.49936468135760076</c:v>
                </c:pt>
                <c:pt idx="46">
                  <c:v>0.49936468135760076</c:v>
                </c:pt>
              </c:numCache>
            </c:numRef>
          </c:val>
          <c:smooth val="1"/>
          <c:extLst>
            <c:ext xmlns:c16="http://schemas.microsoft.com/office/drawing/2014/chart" uri="{C3380CC4-5D6E-409C-BE32-E72D297353CC}">
              <c16:uniqueId val="{00000000-6984-48D4-9BA8-87D28D8635BF}"/>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0.50097088030821213</c:v>
                </c:pt>
                <c:pt idx="1">
                  <c:v>0.50257707925882311</c:v>
                </c:pt>
                <c:pt idx="2">
                  <c:v>0.52148132879273845</c:v>
                </c:pt>
                <c:pt idx="3">
                  <c:v>0.52825117960381685</c:v>
                </c:pt>
                <c:pt idx="4">
                  <c:v>0.53502103041489457</c:v>
                </c:pt>
                <c:pt idx="5">
                  <c:v>0.54179088122597296</c:v>
                </c:pt>
                <c:pt idx="6">
                  <c:v>0.54856073203705136</c:v>
                </c:pt>
                <c:pt idx="7">
                  <c:v>0.55533058284812931</c:v>
                </c:pt>
                <c:pt idx="8">
                  <c:v>0.56210043365920781</c:v>
                </c:pt>
                <c:pt idx="9">
                  <c:v>0.56887028447028609</c:v>
                </c:pt>
                <c:pt idx="10">
                  <c:v>0.57564013528136426</c:v>
                </c:pt>
                <c:pt idx="11">
                  <c:v>0.58240998609244232</c:v>
                </c:pt>
                <c:pt idx="12">
                  <c:v>0.58917983690352049</c:v>
                </c:pt>
                <c:pt idx="13">
                  <c:v>0.59594179621233268</c:v>
                </c:pt>
                <c:pt idx="14">
                  <c:v>0.60061002445124112</c:v>
                </c:pt>
                <c:pt idx="15">
                  <c:v>0.60527825269015012</c:v>
                </c:pt>
                <c:pt idx="16">
                  <c:v>0.60994648092905901</c:v>
                </c:pt>
                <c:pt idx="17">
                  <c:v>0.61461470916796768</c:v>
                </c:pt>
                <c:pt idx="18">
                  <c:v>0.61928293740687657</c:v>
                </c:pt>
                <c:pt idx="19">
                  <c:v>0.62395116564578545</c:v>
                </c:pt>
                <c:pt idx="20">
                  <c:v>0.62861939388469401</c:v>
                </c:pt>
                <c:pt idx="21">
                  <c:v>0.63328762212360279</c:v>
                </c:pt>
                <c:pt idx="22">
                  <c:v>0.63795585036251179</c:v>
                </c:pt>
                <c:pt idx="23">
                  <c:v>0.64262407860142023</c:v>
                </c:pt>
                <c:pt idx="24">
                  <c:v>0.64729230684032923</c:v>
                </c:pt>
                <c:pt idx="25">
                  <c:v>0.65196053507923812</c:v>
                </c:pt>
                <c:pt idx="26">
                  <c:v>0.65662876331814668</c:v>
                </c:pt>
                <c:pt idx="27">
                  <c:v>0.66129699155705557</c:v>
                </c:pt>
                <c:pt idx="28">
                  <c:v>0.66596521979596468</c:v>
                </c:pt>
                <c:pt idx="29">
                  <c:v>0.67040334335306995</c:v>
                </c:pt>
                <c:pt idx="30">
                  <c:v>0.67472716324401183</c:v>
                </c:pt>
                <c:pt idx="31">
                  <c:v>0.67905098313495349</c:v>
                </c:pt>
                <c:pt idx="32">
                  <c:v>0.68337480302589482</c:v>
                </c:pt>
                <c:pt idx="33">
                  <c:v>0.6876986229168367</c:v>
                </c:pt>
                <c:pt idx="34">
                  <c:v>0.69202244280777847</c:v>
                </c:pt>
                <c:pt idx="35">
                  <c:v>0.69634626269871969</c:v>
                </c:pt>
                <c:pt idx="36">
                  <c:v>0.70067008258966146</c:v>
                </c:pt>
                <c:pt idx="37">
                  <c:v>0.70499390248060323</c:v>
                </c:pt>
                <c:pt idx="38">
                  <c:v>0.7092104020002572</c:v>
                </c:pt>
                <c:pt idx="39">
                  <c:v>0.71280310478593578</c:v>
                </c:pt>
                <c:pt idx="40">
                  <c:v>0.71605299467288008</c:v>
                </c:pt>
                <c:pt idx="41">
                  <c:v>0.71891990142424489</c:v>
                </c:pt>
                <c:pt idx="42">
                  <c:v>0.72178680817561025</c:v>
                </c:pt>
                <c:pt idx="43">
                  <c:v>0.7246537149269755</c:v>
                </c:pt>
                <c:pt idx="44">
                  <c:v>0.72752062167834031</c:v>
                </c:pt>
                <c:pt idx="45">
                  <c:v>0.73038752842970567</c:v>
                </c:pt>
              </c:numCache>
            </c:numRef>
          </c:val>
          <c:smooth val="0"/>
          <c:extLst>
            <c:ext xmlns:c16="http://schemas.microsoft.com/office/drawing/2014/chart" uri="{C3380CC4-5D6E-409C-BE32-E72D297353CC}">
              <c16:uniqueId val="{00000001-6984-48D4-9BA8-87D28D8635BF}"/>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0.50172528220769652</c:v>
                </c:pt>
                <c:pt idx="1">
                  <c:v>0.504085883057793</c:v>
                </c:pt>
                <c:pt idx="2">
                  <c:v>0.55331175357273854</c:v>
                </c:pt>
                <c:pt idx="3">
                  <c:v>0.57014584939043156</c:v>
                </c:pt>
                <c:pt idx="4">
                  <c:v>0.58704888704973202</c:v>
                </c:pt>
                <c:pt idx="5">
                  <c:v>0.60398724060099118</c:v>
                </c:pt>
                <c:pt idx="6">
                  <c:v>0.62094604827451083</c:v>
                </c:pt>
                <c:pt idx="7">
                  <c:v>0.63791774791112998</c:v>
                </c:pt>
                <c:pt idx="8">
                  <c:v>0.6548980913105007</c:v>
                </c:pt>
                <c:pt idx="9">
                  <c:v>0.67188451007643091</c:v>
                </c:pt>
                <c:pt idx="10">
                  <c:v>0.68887536077188327</c:v>
                </c:pt>
                <c:pt idx="11">
                  <c:v>0.70586954324064088</c:v>
                </c:pt>
                <c:pt idx="12">
                  <c:v>0.72286629339429076</c:v>
                </c:pt>
                <c:pt idx="13">
                  <c:v>0.7398189964061862</c:v>
                </c:pt>
                <c:pt idx="14">
                  <c:v>0.74461570498140706</c:v>
                </c:pt>
                <c:pt idx="15">
                  <c:v>0.74954422972062529</c:v>
                </c:pt>
                <c:pt idx="16">
                  <c:v>0.75460605273951165</c:v>
                </c:pt>
                <c:pt idx="17">
                  <c:v>0.75980227036311787</c:v>
                </c:pt>
                <c:pt idx="18">
                  <c:v>0.76513357669258608</c:v>
                </c:pt>
                <c:pt idx="19">
                  <c:v>0.77060025304586899</c:v>
                </c:pt>
                <c:pt idx="20">
                  <c:v>0.77620216364372363</c:v>
                </c:pt>
                <c:pt idx="21">
                  <c:v>0.78193875769436039</c:v>
                </c:pt>
                <c:pt idx="22">
                  <c:v>0.78780907780250586</c:v>
                </c:pt>
                <c:pt idx="23">
                  <c:v>0.79133769782476149</c:v>
                </c:pt>
                <c:pt idx="24">
                  <c:v>0.79369829867485797</c:v>
                </c:pt>
                <c:pt idx="25">
                  <c:v>0.79605889952495434</c:v>
                </c:pt>
                <c:pt idx="26">
                  <c:v>0.79841950037505083</c:v>
                </c:pt>
                <c:pt idx="27">
                  <c:v>0.8007801012251472</c:v>
                </c:pt>
                <c:pt idx="28">
                  <c:v>0.80314070207524368</c:v>
                </c:pt>
                <c:pt idx="29">
                  <c:v>0.80550130292534006</c:v>
                </c:pt>
                <c:pt idx="30">
                  <c:v>0.80786190377543654</c:v>
                </c:pt>
                <c:pt idx="31">
                  <c:v>0.81022250462553302</c:v>
                </c:pt>
                <c:pt idx="32">
                  <c:v>0.8125831054756294</c:v>
                </c:pt>
                <c:pt idx="33">
                  <c:v>0.81494370632572588</c:v>
                </c:pt>
                <c:pt idx="34">
                  <c:v>0.81730430717582225</c:v>
                </c:pt>
                <c:pt idx="35">
                  <c:v>0.81966490802591874</c:v>
                </c:pt>
                <c:pt idx="36">
                  <c:v>0.82202550887601511</c:v>
                </c:pt>
                <c:pt idx="37">
                  <c:v>0.82438610972611159</c:v>
                </c:pt>
                <c:pt idx="38">
                  <c:v>0.82674671057620808</c:v>
                </c:pt>
                <c:pt idx="39">
                  <c:v>0.82910731142630445</c:v>
                </c:pt>
                <c:pt idx="40">
                  <c:v>0.83146791227640093</c:v>
                </c:pt>
                <c:pt idx="41">
                  <c:v>0.83382851312649731</c:v>
                </c:pt>
                <c:pt idx="42">
                  <c:v>0.83618911397659379</c:v>
                </c:pt>
                <c:pt idx="43">
                  <c:v>0.83854971482669016</c:v>
                </c:pt>
                <c:pt idx="44">
                  <c:v>0.84091031567678665</c:v>
                </c:pt>
                <c:pt idx="45">
                  <c:v>0.84327091652688313</c:v>
                </c:pt>
              </c:numCache>
            </c:numRef>
          </c:val>
          <c:smooth val="0"/>
          <c:extLst>
            <c:ext xmlns:c16="http://schemas.microsoft.com/office/drawing/2014/chart" uri="{C3380CC4-5D6E-409C-BE32-E72D297353CC}">
              <c16:uniqueId val="{00000002-6984-48D4-9BA8-87D28D8635BF}"/>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0.50172528220769652</c:v>
                </c:pt>
                <c:pt idx="1">
                  <c:v>0.504085883057793</c:v>
                </c:pt>
                <c:pt idx="2">
                  <c:v>0.55688542563995813</c:v>
                </c:pt>
                <c:pt idx="3">
                  <c:v>0.57605900706740987</c:v>
                </c:pt>
                <c:pt idx="4">
                  <c:v>0.59523258849486149</c:v>
                </c:pt>
                <c:pt idx="5">
                  <c:v>0.61440616992231323</c:v>
                </c:pt>
                <c:pt idx="6">
                  <c:v>0.63357975134976496</c:v>
                </c:pt>
                <c:pt idx="7">
                  <c:v>0.6527533327772167</c:v>
                </c:pt>
                <c:pt idx="8">
                  <c:v>0.67192691420466832</c:v>
                </c:pt>
                <c:pt idx="9">
                  <c:v>0.69110049563212006</c:v>
                </c:pt>
                <c:pt idx="10">
                  <c:v>0.7102740770595718</c:v>
                </c:pt>
                <c:pt idx="11">
                  <c:v>0.72944765848702353</c:v>
                </c:pt>
                <c:pt idx="12">
                  <c:v>0.74862123991447516</c:v>
                </c:pt>
                <c:pt idx="13">
                  <c:v>0.7677316893237971</c:v>
                </c:pt>
                <c:pt idx="14">
                  <c:v>0.77009229017389358</c:v>
                </c:pt>
                <c:pt idx="15">
                  <c:v>0.77245289102398995</c:v>
                </c:pt>
                <c:pt idx="16">
                  <c:v>0.77481349187408644</c:v>
                </c:pt>
                <c:pt idx="17">
                  <c:v>0.77717409272418292</c:v>
                </c:pt>
                <c:pt idx="18">
                  <c:v>0.77953469357427929</c:v>
                </c:pt>
                <c:pt idx="19">
                  <c:v>0.78189529442437578</c:v>
                </c:pt>
                <c:pt idx="20">
                  <c:v>0.78425589527447215</c:v>
                </c:pt>
                <c:pt idx="21">
                  <c:v>0.78661649612456863</c:v>
                </c:pt>
                <c:pt idx="22">
                  <c:v>0.788977096974665</c:v>
                </c:pt>
                <c:pt idx="23">
                  <c:v>0.79133769782476149</c:v>
                </c:pt>
                <c:pt idx="24">
                  <c:v>0.79369829867485797</c:v>
                </c:pt>
                <c:pt idx="25">
                  <c:v>0.79605889952495434</c:v>
                </c:pt>
                <c:pt idx="26">
                  <c:v>0.79841950037505083</c:v>
                </c:pt>
                <c:pt idx="27">
                  <c:v>0.8007801012251472</c:v>
                </c:pt>
                <c:pt idx="28">
                  <c:v>0.80314070207524368</c:v>
                </c:pt>
                <c:pt idx="29">
                  <c:v>0.80550130292534006</c:v>
                </c:pt>
                <c:pt idx="30">
                  <c:v>0.80786190377543654</c:v>
                </c:pt>
                <c:pt idx="31">
                  <c:v>0.81022250462553302</c:v>
                </c:pt>
                <c:pt idx="32">
                  <c:v>0.8125831054756294</c:v>
                </c:pt>
                <c:pt idx="33">
                  <c:v>0.81494370632572588</c:v>
                </c:pt>
                <c:pt idx="34">
                  <c:v>0.81730430717582225</c:v>
                </c:pt>
                <c:pt idx="35">
                  <c:v>0.81966490802591874</c:v>
                </c:pt>
                <c:pt idx="36">
                  <c:v>0.82202550887601511</c:v>
                </c:pt>
                <c:pt idx="37">
                  <c:v>0.82438610972611159</c:v>
                </c:pt>
                <c:pt idx="38">
                  <c:v>0.82674671057620808</c:v>
                </c:pt>
                <c:pt idx="39">
                  <c:v>0.82910731142630445</c:v>
                </c:pt>
                <c:pt idx="40">
                  <c:v>0.83146791227640093</c:v>
                </c:pt>
                <c:pt idx="41">
                  <c:v>0.83382851312649731</c:v>
                </c:pt>
                <c:pt idx="42">
                  <c:v>0.83618911397659379</c:v>
                </c:pt>
                <c:pt idx="43">
                  <c:v>0.83854971482669016</c:v>
                </c:pt>
                <c:pt idx="44">
                  <c:v>0.84091031567678665</c:v>
                </c:pt>
                <c:pt idx="45">
                  <c:v>0.84327091652688313</c:v>
                </c:pt>
              </c:numCache>
            </c:numRef>
          </c:val>
          <c:smooth val="0"/>
          <c:extLst>
            <c:ext xmlns:c16="http://schemas.microsoft.com/office/drawing/2014/chart" uri="{C3380CC4-5D6E-409C-BE32-E72D297353CC}">
              <c16:uniqueId val="{00000003-6984-48D4-9BA8-87D28D8635BF}"/>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6984-48D4-9BA8-87D28D8635B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6984-48D4-9BA8-87D28D8635B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6984-48D4-9BA8-87D28D8635B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6984-48D4-9BA8-87D28D8635B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6984-48D4-9BA8-87D28D8635B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6984-48D4-9BA8-87D28D8635B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6984-48D4-9BA8-87D28D8635B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6984-48D4-9BA8-87D28D8635B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6984-48D4-9BA8-87D28D8635BF}"/>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4"/>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41043951297064885"/>
          <c:w val="0.2367494944279506"/>
          <c:h val="0.29284882458724826"/>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"Annual Total CO2 Reduction"</c:f>
          <c:strCache>
            <c:ptCount val="1"/>
            <c:pt idx="0">
              <c:v>Annual Total CO2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10.460251745250524</c:v>
                </c:pt>
                <c:pt idx="1">
                  <c:v>20.920503490498501</c:v>
                </c:pt>
                <c:pt idx="2">
                  <c:v>144.03302893731725</c:v>
                </c:pt>
                <c:pt idx="3">
                  <c:v>188.12118111467791</c:v>
                </c:pt>
                <c:pt idx="4">
                  <c:v>232.2093332920341</c:v>
                </c:pt>
                <c:pt idx="5">
                  <c:v>276.29748546939481</c:v>
                </c:pt>
                <c:pt idx="6">
                  <c:v>320.38563764675541</c:v>
                </c:pt>
                <c:pt idx="7">
                  <c:v>364.47378982411288</c:v>
                </c:pt>
                <c:pt idx="8">
                  <c:v>408.56194200147416</c:v>
                </c:pt>
                <c:pt idx="9">
                  <c:v>452.65009417883351</c:v>
                </c:pt>
                <c:pt idx="10">
                  <c:v>496.73824635619297</c:v>
                </c:pt>
                <c:pt idx="11">
                  <c:v>540.82639853355113</c:v>
                </c:pt>
                <c:pt idx="12">
                  <c:v>584.91455071091048</c:v>
                </c:pt>
                <c:pt idx="13">
                  <c:v>628.95131006403756</c:v>
                </c:pt>
                <c:pt idx="14">
                  <c:v>659.35280084118244</c:v>
                </c:pt>
                <c:pt idx="15">
                  <c:v>689.75429161833108</c:v>
                </c:pt>
                <c:pt idx="16">
                  <c:v>720.15578239547835</c:v>
                </c:pt>
                <c:pt idx="17">
                  <c:v>750.55727317262506</c:v>
                </c:pt>
                <c:pt idx="18">
                  <c:v>780.95876394977313</c:v>
                </c:pt>
                <c:pt idx="19">
                  <c:v>811.3602547269204</c:v>
                </c:pt>
                <c:pt idx="20">
                  <c:v>841.76174550406586</c:v>
                </c:pt>
                <c:pt idx="21">
                  <c:v>872.16323628121336</c:v>
                </c:pt>
                <c:pt idx="22">
                  <c:v>902.564727058362</c:v>
                </c:pt>
                <c:pt idx="23">
                  <c:v>932.96621783550665</c:v>
                </c:pt>
                <c:pt idx="24">
                  <c:v>963.36770861265541</c:v>
                </c:pt>
                <c:pt idx="25">
                  <c:v>993.76919938980279</c:v>
                </c:pt>
                <c:pt idx="26">
                  <c:v>1024.1706901669488</c:v>
                </c:pt>
                <c:pt idx="27">
                  <c:v>971.89083043404537</c:v>
                </c:pt>
                <c:pt idx="28">
                  <c:v>1002.2923212112199</c:v>
                </c:pt>
                <c:pt idx="29">
                  <c:v>140.75378440157886</c:v>
                </c:pt>
                <c:pt idx="30">
                  <c:v>793.5475856880546</c:v>
                </c:pt>
                <c:pt idx="31">
                  <c:v>821.70614259858871</c:v>
                </c:pt>
                <c:pt idx="32">
                  <c:v>849.8646995090495</c:v>
                </c:pt>
                <c:pt idx="33">
                  <c:v>878.0232564195494</c:v>
                </c:pt>
                <c:pt idx="34">
                  <c:v>906.18181333007317</c:v>
                </c:pt>
                <c:pt idx="35">
                  <c:v>934.34037024053919</c:v>
                </c:pt>
                <c:pt idx="36">
                  <c:v>962.49892715105284</c:v>
                </c:pt>
                <c:pt idx="37">
                  <c:v>990.65748406155217</c:v>
                </c:pt>
                <c:pt idx="38">
                  <c:v>1018.117124999892</c:v>
                </c:pt>
                <c:pt idx="39">
                  <c:v>1041.514335893188</c:v>
                </c:pt>
                <c:pt idx="40">
                  <c:v>1063.0852293453981</c:v>
                </c:pt>
                <c:pt idx="41">
                  <c:v>1189.533499490653</c:v>
                </c:pt>
                <c:pt idx="42">
                  <c:v>1208.2040174473339</c:v>
                </c:pt>
                <c:pt idx="43">
                  <c:v>1226.8745354040545</c:v>
                </c:pt>
                <c:pt idx="44">
                  <c:v>1245.5450533607684</c:v>
                </c:pt>
                <c:pt idx="45">
                  <c:v>1264.2155713174693</c:v>
                </c:pt>
              </c:numCache>
            </c:numRef>
          </c:val>
          <c:smooth val="0"/>
          <c:extLst>
            <c:ext xmlns:c16="http://schemas.microsoft.com/office/drawing/2014/chart" uri="{C3380CC4-5D6E-409C-BE32-E72D297353CC}">
              <c16:uniqueId val="{00000000-B5C0-4FB5-9067-BF16799C380F}"/>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15.373238260836269</c:v>
                </c:pt>
                <c:pt idx="1">
                  <c:v>30.746476521677632</c:v>
                </c:pt>
                <c:pt idx="2">
                  <c:v>351.32631363927794</c:v>
                </c:pt>
                <c:pt idx="3">
                  <c:v>460.9571162803324</c:v>
                </c:pt>
                <c:pt idx="4">
                  <c:v>571.03689756050289</c:v>
                </c:pt>
                <c:pt idx="5">
                  <c:v>681.34667097231772</c:v>
                </c:pt>
                <c:pt idx="6">
                  <c:v>791.78965034096075</c:v>
                </c:pt>
                <c:pt idx="7">
                  <c:v>902.31658766478733</c:v>
                </c:pt>
                <c:pt idx="8">
                  <c:v>1012.8998168535624</c:v>
                </c:pt>
                <c:pt idx="9">
                  <c:v>1123.5226114172451</c:v>
                </c:pt>
                <c:pt idx="10">
                  <c:v>1234.1742685938063</c:v>
                </c:pt>
                <c:pt idx="11">
                  <c:v>1344.8476236973395</c:v>
                </c:pt>
                <c:pt idx="12">
                  <c:v>1455.5377006586252</c:v>
                </c:pt>
                <c:pt idx="13">
                  <c:v>1565.9409238704216</c:v>
                </c:pt>
                <c:pt idx="14">
                  <c:v>1597.1791333253054</c:v>
                </c:pt>
                <c:pt idx="15">
                  <c:v>1629.2757857887486</c:v>
                </c:pt>
                <c:pt idx="16">
                  <c:v>1662.2405334293214</c:v>
                </c:pt>
                <c:pt idx="17">
                  <c:v>1696.0805159827542</c:v>
                </c:pt>
                <c:pt idx="18">
                  <c:v>1730.8002537313437</c:v>
                </c:pt>
                <c:pt idx="19">
                  <c:v>1766.4015787374296</c:v>
                </c:pt>
                <c:pt idx="20">
                  <c:v>1802.8836067487441</c:v>
                </c:pt>
                <c:pt idx="21">
                  <c:v>1840.2427507745374</c:v>
                </c:pt>
                <c:pt idx="22">
                  <c:v>1878.4727758489762</c:v>
                </c:pt>
                <c:pt idx="23">
                  <c:v>1901.4526524900841</c:v>
                </c:pt>
                <c:pt idx="24">
                  <c:v>1916.8258907509257</c:v>
                </c:pt>
                <c:pt idx="25">
                  <c:v>1932.1991290117669</c:v>
                </c:pt>
                <c:pt idx="26">
                  <c:v>1947.5723672726085</c:v>
                </c:pt>
                <c:pt idx="27">
                  <c:v>1841.4303559893035</c:v>
                </c:pt>
                <c:pt idx="28">
                  <c:v>1856.8035942501097</c:v>
                </c:pt>
                <c:pt idx="29">
                  <c:v>-540.2788514081949</c:v>
                </c:pt>
                <c:pt idx="30">
                  <c:v>1142.5065566630406</c:v>
                </c:pt>
                <c:pt idx="31">
                  <c:v>1154.3309166429044</c:v>
                </c:pt>
                <c:pt idx="32">
                  <c:v>1167.8862196843882</c:v>
                </c:pt>
                <c:pt idx="33">
                  <c:v>1182.2065532279466</c:v>
                </c:pt>
                <c:pt idx="34">
                  <c:v>1196.9161595524156</c:v>
                </c:pt>
                <c:pt idx="35">
                  <c:v>1211.8444479659686</c:v>
                </c:pt>
                <c:pt idx="36">
                  <c:v>1226.9049481866095</c:v>
                </c:pt>
                <c:pt idx="37">
                  <c:v>1242.0500466406666</c:v>
                </c:pt>
                <c:pt idx="38">
                  <c:v>1257.251777183629</c:v>
                </c:pt>
                <c:pt idx="39">
                  <c:v>1272.4928402525411</c:v>
                </c:pt>
                <c:pt idx="40">
                  <c:v>1290.1334670986985</c:v>
                </c:pt>
                <c:pt idx="41">
                  <c:v>1931.2536194851812</c:v>
                </c:pt>
                <c:pt idx="42">
                  <c:v>1939.8414352712894</c:v>
                </c:pt>
                <c:pt idx="43">
                  <c:v>1948.3529570682899</c:v>
                </c:pt>
                <c:pt idx="44">
                  <c:v>1956.8080439909777</c:v>
                </c:pt>
                <c:pt idx="45">
                  <c:v>1965.2274010809574</c:v>
                </c:pt>
              </c:numCache>
            </c:numRef>
          </c:val>
          <c:smooth val="0"/>
          <c:extLst>
            <c:ext xmlns:c16="http://schemas.microsoft.com/office/drawing/2014/chart" uri="{C3380CC4-5D6E-409C-BE32-E72D297353CC}">
              <c16:uniqueId val="{00000001-B5C0-4FB5-9067-BF16799C380F}"/>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15.373238260836269</c:v>
                </c:pt>
                <c:pt idx="1">
                  <c:v>30.746476521677632</c:v>
                </c:pt>
                <c:pt idx="2">
                  <c:v>374.59958838762668</c:v>
                </c:pt>
                <c:pt idx="3">
                  <c:v>499.46611785016427</c:v>
                </c:pt>
                <c:pt idx="4">
                  <c:v>624.33264731270185</c:v>
                </c:pt>
                <c:pt idx="5">
                  <c:v>749.19917677523949</c:v>
                </c:pt>
                <c:pt idx="6">
                  <c:v>874.06570623777702</c:v>
                </c:pt>
                <c:pt idx="7">
                  <c:v>998.93223570031466</c:v>
                </c:pt>
                <c:pt idx="8">
                  <c:v>1123.7987651628523</c:v>
                </c:pt>
                <c:pt idx="9">
                  <c:v>1248.6652946253898</c:v>
                </c:pt>
                <c:pt idx="10">
                  <c:v>1373.5318240879274</c:v>
                </c:pt>
                <c:pt idx="11">
                  <c:v>1498.3983535504649</c:v>
                </c:pt>
                <c:pt idx="12">
                  <c:v>1623.2648830130024</c:v>
                </c:pt>
                <c:pt idx="13">
                  <c:v>1747.7202698816716</c:v>
                </c:pt>
                <c:pt idx="14">
                  <c:v>1763.093508142513</c:v>
                </c:pt>
                <c:pt idx="15">
                  <c:v>1778.4667464033544</c:v>
                </c:pt>
                <c:pt idx="16">
                  <c:v>1793.8399846641955</c:v>
                </c:pt>
                <c:pt idx="17">
                  <c:v>1809.2132229250369</c:v>
                </c:pt>
                <c:pt idx="18">
                  <c:v>1824.5864611858783</c:v>
                </c:pt>
                <c:pt idx="19">
                  <c:v>1839.9596994467197</c:v>
                </c:pt>
                <c:pt idx="20">
                  <c:v>1855.3329377075602</c:v>
                </c:pt>
                <c:pt idx="21">
                  <c:v>1870.7061759684016</c:v>
                </c:pt>
                <c:pt idx="22">
                  <c:v>1886.079414229243</c:v>
                </c:pt>
                <c:pt idx="23">
                  <c:v>1901.4526524900841</c:v>
                </c:pt>
                <c:pt idx="24">
                  <c:v>1916.8258907509257</c:v>
                </c:pt>
                <c:pt idx="25">
                  <c:v>1932.1991290117669</c:v>
                </c:pt>
                <c:pt idx="26">
                  <c:v>1947.5723672726085</c:v>
                </c:pt>
                <c:pt idx="27">
                  <c:v>1841.4303559893035</c:v>
                </c:pt>
                <c:pt idx="28">
                  <c:v>1856.8035942501097</c:v>
                </c:pt>
                <c:pt idx="29">
                  <c:v>-724.23864834697793</c:v>
                </c:pt>
                <c:pt idx="30">
                  <c:v>1022.0782438191995</c:v>
                </c:pt>
                <c:pt idx="31">
                  <c:v>1037.4514820800412</c:v>
                </c:pt>
                <c:pt idx="32">
                  <c:v>1052.8247203408823</c:v>
                </c:pt>
                <c:pt idx="33">
                  <c:v>1068.1979586017237</c:v>
                </c:pt>
                <c:pt idx="34">
                  <c:v>1083.5711968625653</c:v>
                </c:pt>
                <c:pt idx="35">
                  <c:v>1098.9444351234065</c:v>
                </c:pt>
                <c:pt idx="36">
                  <c:v>1114.3176733842479</c:v>
                </c:pt>
                <c:pt idx="37">
                  <c:v>1129.6909116450895</c:v>
                </c:pt>
                <c:pt idx="38">
                  <c:v>1145.0641499059307</c:v>
                </c:pt>
                <c:pt idx="39">
                  <c:v>1160.4373881667716</c:v>
                </c:pt>
                <c:pt idx="40">
                  <c:v>1179.0604358720834</c:v>
                </c:pt>
                <c:pt idx="41">
                  <c:v>2056.6556916410468</c:v>
                </c:pt>
                <c:pt idx="42">
                  <c:v>2072.0289299018887</c:v>
                </c:pt>
                <c:pt idx="43">
                  <c:v>2087.4021681627296</c:v>
                </c:pt>
                <c:pt idx="44">
                  <c:v>2102.775406423571</c:v>
                </c:pt>
                <c:pt idx="45">
                  <c:v>2118.1486446844128</c:v>
                </c:pt>
              </c:numCache>
            </c:numRef>
          </c:val>
          <c:smooth val="0"/>
          <c:extLst>
            <c:ext xmlns:c16="http://schemas.microsoft.com/office/drawing/2014/chart" uri="{C3380CC4-5D6E-409C-BE32-E72D297353CC}">
              <c16:uniqueId val="{00000002-B5C0-4FB5-9067-BF16799C380F}"/>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B5C0-4FB5-9067-BF16799C380F}"/>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B5C0-4FB5-9067-BF16799C380F}"/>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5C0-4FB5-9067-BF16799C380F}"/>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5C0-4FB5-9067-BF16799C380F}"/>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5C0-4FB5-9067-BF16799C380F}"/>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5C0-4FB5-9067-BF16799C380F}"/>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5C0-4FB5-9067-BF16799C380F}"/>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5C0-4FB5-9067-BF16799C380F}"/>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5C0-4FB5-9067-BF16799C380F}"/>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5C0-4FB5-9067-BF16799C380F}"/>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0829700418411052"/>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(Afforestation vs. Conventional Practice)</c:v>
            </c:pt>
          </c:strCache>
        </c:strRef>
      </c:tx>
      <c:layout>
        <c:manualLayout>
          <c:xMode val="edge"/>
          <c:yMode val="edge"/>
          <c:x val="0.21349720022396343"/>
          <c:y val="1.5052762013673194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0.55491811716318007</c:v>
                </c:pt>
                <c:pt idx="1">
                  <c:v>1.1098362343262254</c:v>
                </c:pt>
                <c:pt idx="2">
                  <c:v>7.6409764481525562</c:v>
                </c:pt>
                <c:pt idx="3">
                  <c:v>9.9798603480140677</c:v>
                </c:pt>
                <c:pt idx="4">
                  <c:v>12.318744247875344</c:v>
                </c:pt>
                <c:pt idx="5">
                  <c:v>14.657628147736855</c:v>
                </c:pt>
                <c:pt idx="6">
                  <c:v>16.996512047598369</c:v>
                </c:pt>
                <c:pt idx="7">
                  <c:v>19.335395947459709</c:v>
                </c:pt>
                <c:pt idx="8">
                  <c:v>21.674279847321259</c:v>
                </c:pt>
                <c:pt idx="9">
                  <c:v>24.013163747182702</c:v>
                </c:pt>
                <c:pt idx="10">
                  <c:v>26.352047647044145</c:v>
                </c:pt>
                <c:pt idx="11">
                  <c:v>28.690931546905524</c:v>
                </c:pt>
                <c:pt idx="12">
                  <c:v>31.029815446766968</c:v>
                </c:pt>
                <c:pt idx="13">
                  <c:v>33.365972948645542</c:v>
                </c:pt>
                <c:pt idx="14">
                  <c:v>34.97877715564438</c:v>
                </c:pt>
                <c:pt idx="15">
                  <c:v>36.591581362643417</c:v>
                </c:pt>
                <c:pt idx="16">
                  <c:v>38.20438556964239</c:v>
                </c:pt>
                <c:pt idx="17">
                  <c:v>39.817189776641328</c:v>
                </c:pt>
                <c:pt idx="18">
                  <c:v>41.429993983640337</c:v>
                </c:pt>
                <c:pt idx="19">
                  <c:v>43.04279819063931</c:v>
                </c:pt>
                <c:pt idx="20">
                  <c:v>44.655602397638212</c:v>
                </c:pt>
                <c:pt idx="21">
                  <c:v>46.268406604637192</c:v>
                </c:pt>
                <c:pt idx="22">
                  <c:v>47.88121081163623</c:v>
                </c:pt>
                <c:pt idx="23">
                  <c:v>49.494015018635068</c:v>
                </c:pt>
                <c:pt idx="24">
                  <c:v>51.106819225634112</c:v>
                </c:pt>
                <c:pt idx="25">
                  <c:v>52.719623432633078</c:v>
                </c:pt>
                <c:pt idx="26">
                  <c:v>54.332427639631987</c:v>
                </c:pt>
                <c:pt idx="27">
                  <c:v>55.945231846630996</c:v>
                </c:pt>
                <c:pt idx="28">
                  <c:v>57.558036053630069</c:v>
                </c:pt>
                <c:pt idx="29">
                  <c:v>59.091342476915358</c:v>
                </c:pt>
                <c:pt idx="30">
                  <c:v>60.585158664456102</c:v>
                </c:pt>
                <c:pt idx="31">
                  <c:v>62.078974851996811</c:v>
                </c:pt>
                <c:pt idx="32">
                  <c:v>63.572791039537385</c:v>
                </c:pt>
                <c:pt idx="33">
                  <c:v>65.066607227078123</c:v>
                </c:pt>
                <c:pt idx="34">
                  <c:v>66.560423414618839</c:v>
                </c:pt>
                <c:pt idx="35">
                  <c:v>68.054239602159399</c:v>
                </c:pt>
                <c:pt idx="36">
                  <c:v>69.548055789700101</c:v>
                </c:pt>
                <c:pt idx="37">
                  <c:v>71.041871977240845</c:v>
                </c:pt>
                <c:pt idx="38">
                  <c:v>72.498610554722376</c:v>
                </c:pt>
                <c:pt idx="39">
                  <c:v>73.739836533980352</c:v>
                </c:pt>
                <c:pt idx="40">
                  <c:v>74.862625698027799</c:v>
                </c:pt>
                <c:pt idx="41">
                  <c:v>75.853099820766019</c:v>
                </c:pt>
                <c:pt idx="42">
                  <c:v>76.843573943504396</c:v>
                </c:pt>
                <c:pt idx="43">
                  <c:v>77.834048066242758</c:v>
                </c:pt>
                <c:pt idx="44">
                  <c:v>78.824522188980978</c:v>
                </c:pt>
                <c:pt idx="45">
                  <c:v>79.814996311719327</c:v>
                </c:pt>
              </c:numCache>
            </c:numRef>
          </c:val>
          <c:smooth val="0"/>
          <c:extLst>
            <c:ext xmlns:c16="http://schemas.microsoft.com/office/drawing/2014/chart" uri="{C3380CC4-5D6E-409C-BE32-E72D297353CC}">
              <c16:uniqueId val="{00000000-5A9E-44FC-BB13-9EED8D4C33F9}"/>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3.163418222342481E-2</c:v>
                </c:pt>
                <c:pt idx="1">
                  <c:v>6.3268364446841932E-2</c:v>
                </c:pt>
                <c:pt idx="2">
                  <c:v>9.4902546670266735E-2</c:v>
                </c:pt>
                <c:pt idx="3">
                  <c:v>0.12653672889369155</c:v>
                </c:pt>
                <c:pt idx="4">
                  <c:v>0.15817091111710865</c:v>
                </c:pt>
                <c:pt idx="5">
                  <c:v>0.18980509334053347</c:v>
                </c:pt>
                <c:pt idx="6">
                  <c:v>0.22143927556395829</c:v>
                </c:pt>
                <c:pt idx="7">
                  <c:v>0.25307345778737539</c:v>
                </c:pt>
                <c:pt idx="8">
                  <c:v>0.28470764001080018</c:v>
                </c:pt>
                <c:pt idx="9">
                  <c:v>0.31634182223422497</c:v>
                </c:pt>
                <c:pt idx="10">
                  <c:v>0.34797600445764976</c:v>
                </c:pt>
                <c:pt idx="11">
                  <c:v>0.37961018668106689</c:v>
                </c:pt>
                <c:pt idx="12">
                  <c:v>0.41124436890449168</c:v>
                </c:pt>
                <c:pt idx="13">
                  <c:v>0.44287855112791646</c:v>
                </c:pt>
                <c:pt idx="14">
                  <c:v>0.47451273335133354</c:v>
                </c:pt>
                <c:pt idx="15">
                  <c:v>0.50614691557475833</c:v>
                </c:pt>
                <c:pt idx="16">
                  <c:v>0.53778109779818317</c:v>
                </c:pt>
                <c:pt idx="17">
                  <c:v>0.56941528002160036</c:v>
                </c:pt>
                <c:pt idx="18">
                  <c:v>0.6010494622450252</c:v>
                </c:pt>
                <c:pt idx="19">
                  <c:v>0.63268364446844993</c:v>
                </c:pt>
                <c:pt idx="20">
                  <c:v>0.66431782669186712</c:v>
                </c:pt>
                <c:pt idx="21">
                  <c:v>0.69595200891529185</c:v>
                </c:pt>
                <c:pt idx="22">
                  <c:v>0.7275861911387167</c:v>
                </c:pt>
                <c:pt idx="23">
                  <c:v>0.75922037336213388</c:v>
                </c:pt>
                <c:pt idx="24">
                  <c:v>0.79085455558555862</c:v>
                </c:pt>
                <c:pt idx="25">
                  <c:v>0.82248873780898346</c:v>
                </c:pt>
                <c:pt idx="26">
                  <c:v>0.85412292003240065</c:v>
                </c:pt>
                <c:pt idx="27">
                  <c:v>0.88575710225582538</c:v>
                </c:pt>
                <c:pt idx="28">
                  <c:v>0.91739128447925022</c:v>
                </c:pt>
                <c:pt idx="29">
                  <c:v>0.94902546670266741</c:v>
                </c:pt>
                <c:pt idx="30">
                  <c:v>0.98065964892609214</c:v>
                </c:pt>
                <c:pt idx="31">
                  <c:v>1.0122938311495169</c:v>
                </c:pt>
                <c:pt idx="32">
                  <c:v>1.0439280133729341</c:v>
                </c:pt>
                <c:pt idx="33">
                  <c:v>1.075562195596359</c:v>
                </c:pt>
                <c:pt idx="34">
                  <c:v>1.107196377819784</c:v>
                </c:pt>
                <c:pt idx="35">
                  <c:v>1.1388305600432009</c:v>
                </c:pt>
                <c:pt idx="36">
                  <c:v>1.1704647422666259</c:v>
                </c:pt>
                <c:pt idx="37">
                  <c:v>1.2020989244900508</c:v>
                </c:pt>
                <c:pt idx="38">
                  <c:v>1.2337331067134678</c:v>
                </c:pt>
                <c:pt idx="39">
                  <c:v>1.2653672889368928</c:v>
                </c:pt>
                <c:pt idx="40">
                  <c:v>1.2970014711603177</c:v>
                </c:pt>
                <c:pt idx="41">
                  <c:v>1.3286356533837347</c:v>
                </c:pt>
                <c:pt idx="42">
                  <c:v>1.3602698356071596</c:v>
                </c:pt>
                <c:pt idx="43">
                  <c:v>1.3919040178305846</c:v>
                </c:pt>
                <c:pt idx="44">
                  <c:v>1.4235382000540016</c:v>
                </c:pt>
                <c:pt idx="45">
                  <c:v>1.4551723822774265</c:v>
                </c:pt>
              </c:numCache>
            </c:numRef>
          </c:val>
          <c:smooth val="0"/>
          <c:extLst>
            <c:ext xmlns:c16="http://schemas.microsoft.com/office/drawing/2014/chart" uri="{C3380CC4-5D6E-409C-BE32-E72D297353CC}">
              <c16:uniqueId val="{00000001-5A9E-44FC-BB13-9EED8D4C33F9}"/>
            </c:ext>
          </c:extLst>
        </c:ser>
        <c:ser>
          <c:idx val="3"/>
          <c:order val="2"/>
          <c:tx>
            <c:strRef>
              <c:f>'NPM Plots'!$Q$9</c:f>
              <c:strCache>
                <c:ptCount val="1"/>
                <c:pt idx="0">
                  <c:v>Solution_Drawdown</c:v>
                </c:pt>
              </c:strCache>
            </c:strRef>
          </c:tx>
          <c:spPr>
            <a:ln cmpd="sng">
              <a:solidFill>
                <a:schemeClr val="accent1">
                  <a:lumMod val="60000"/>
                  <a:lumOff val="40000"/>
                </a:schemeClr>
              </a:solidFill>
              <a:prstDash val="solid"/>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0.8155528794302368</c:v>
                </c:pt>
                <c:pt idx="1">
                  <c:v>1.6311057588607436</c:v>
                </c:pt>
                <c:pt idx="2">
                  <c:v>18.637920121101232</c:v>
                </c:pt>
                <c:pt idx="3">
                  <c:v>24.453852669023394</c:v>
                </c:pt>
                <c:pt idx="4">
                  <c:v>30.293603609383187</c:v>
                </c:pt>
                <c:pt idx="5">
                  <c:v>36.145555671069935</c:v>
                </c:pt>
                <c:pt idx="6">
                  <c:v>42.004574331205596</c:v>
                </c:pt>
                <c:pt idx="7">
                  <c:v>47.868046975006841</c:v>
                </c:pt>
                <c:pt idx="8">
                  <c:v>53.73450591172621</c:v>
                </c:pt>
                <c:pt idx="9">
                  <c:v>59.603063798249423</c:v>
                </c:pt>
                <c:pt idx="10">
                  <c:v>65.473152851247889</c:v>
                </c:pt>
                <c:pt idx="11">
                  <c:v>71.344392982927303</c:v>
                </c:pt>
                <c:pt idx="12">
                  <c:v>77.216520211977397</c:v>
                </c:pt>
                <c:pt idx="13">
                  <c:v>83.073429801295191</c:v>
                </c:pt>
                <c:pt idx="14">
                  <c:v>84.73062207509723</c:v>
                </c:pt>
                <c:pt idx="15">
                  <c:v>86.433354895112004</c:v>
                </c:pt>
                <c:pt idx="16">
                  <c:v>88.182140310508117</c:v>
                </c:pt>
                <c:pt idx="17">
                  <c:v>89.977357085468839</c:v>
                </c:pt>
                <c:pt idx="18">
                  <c:v>91.819245021731433</c:v>
                </c:pt>
                <c:pt idx="19">
                  <c:v>93.70790131051163</c:v>
                </c:pt>
                <c:pt idx="20">
                  <c:v>95.643279042077737</c:v>
                </c:pt>
                <c:pt idx="21">
                  <c:v>97.625187925966173</c:v>
                </c:pt>
                <c:pt idx="22">
                  <c:v>99.653297196189143</c:v>
                </c:pt>
                <c:pt idx="23">
                  <c:v>100.87238352306613</c:v>
                </c:pt>
                <c:pt idx="24">
                  <c:v>101.68793640249665</c:v>
                </c:pt>
                <c:pt idx="25">
                  <c:v>102.50348928192716</c:v>
                </c:pt>
                <c:pt idx="26">
                  <c:v>103.31904216135767</c:v>
                </c:pt>
                <c:pt idx="27">
                  <c:v>104.13459504078816</c:v>
                </c:pt>
                <c:pt idx="28">
                  <c:v>104.95014792021867</c:v>
                </c:pt>
                <c:pt idx="29">
                  <c:v>105.76570079964918</c:v>
                </c:pt>
                <c:pt idx="30">
                  <c:v>106.58125367907968</c:v>
                </c:pt>
                <c:pt idx="31">
                  <c:v>107.39680655851019</c:v>
                </c:pt>
                <c:pt idx="32">
                  <c:v>108.21235943794071</c:v>
                </c:pt>
                <c:pt idx="33">
                  <c:v>109.02791231737122</c:v>
                </c:pt>
                <c:pt idx="34">
                  <c:v>109.84346519680173</c:v>
                </c:pt>
                <c:pt idx="35">
                  <c:v>110.65901807623223</c:v>
                </c:pt>
                <c:pt idx="36">
                  <c:v>111.47457095566274</c:v>
                </c:pt>
                <c:pt idx="37">
                  <c:v>112.29012383509324</c:v>
                </c:pt>
                <c:pt idx="38">
                  <c:v>113.10567671452374</c:v>
                </c:pt>
                <c:pt idx="39">
                  <c:v>113.92122959395425</c:v>
                </c:pt>
                <c:pt idx="40">
                  <c:v>114.73678247338476</c:v>
                </c:pt>
                <c:pt idx="41">
                  <c:v>115.55233535281528</c:v>
                </c:pt>
                <c:pt idx="42">
                  <c:v>116.36788823224579</c:v>
                </c:pt>
                <c:pt idx="43">
                  <c:v>117.18344111167629</c:v>
                </c:pt>
                <c:pt idx="44">
                  <c:v>117.99899399110679</c:v>
                </c:pt>
                <c:pt idx="45">
                  <c:v>118.8145468705373</c:v>
                </c:pt>
              </c:numCache>
            </c:numRef>
          </c:val>
          <c:smooth val="0"/>
          <c:extLst>
            <c:ext xmlns:c16="http://schemas.microsoft.com/office/drawing/2014/chart" uri="{C3380CC4-5D6E-409C-BE32-E72D297353CC}">
              <c16:uniqueId val="{00000002-5A9E-44FC-BB13-9EED8D4C33F9}"/>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4.6492171732696042E-2</c:v>
                </c:pt>
                <c:pt idx="1">
                  <c:v>9.2984343465407487E-2</c:v>
                </c:pt>
                <c:pt idx="2">
                  <c:v>0.13947651519813434</c:v>
                </c:pt>
                <c:pt idx="3">
                  <c:v>0.18596868693084576</c:v>
                </c:pt>
                <c:pt idx="4">
                  <c:v>0.2324608586635572</c:v>
                </c:pt>
                <c:pt idx="5">
                  <c:v>0.27895303039626868</c:v>
                </c:pt>
                <c:pt idx="6">
                  <c:v>0.32544520212898009</c:v>
                </c:pt>
                <c:pt idx="7">
                  <c:v>0.37193737386169151</c:v>
                </c:pt>
                <c:pt idx="8">
                  <c:v>0.41842954559440299</c:v>
                </c:pt>
                <c:pt idx="9">
                  <c:v>0.4649217173271144</c:v>
                </c:pt>
                <c:pt idx="10">
                  <c:v>0.51141388905982588</c:v>
                </c:pt>
                <c:pt idx="11">
                  <c:v>0.55790606079253735</c:v>
                </c:pt>
                <c:pt idx="12">
                  <c:v>0.60439823252524871</c:v>
                </c:pt>
                <c:pt idx="13">
                  <c:v>0.65089040425796019</c:v>
                </c:pt>
                <c:pt idx="14">
                  <c:v>0.69738257599067166</c:v>
                </c:pt>
                <c:pt idx="15">
                  <c:v>0.74387474772338302</c:v>
                </c:pt>
                <c:pt idx="16">
                  <c:v>0.7903669194560945</c:v>
                </c:pt>
                <c:pt idx="17">
                  <c:v>0.83685909118880597</c:v>
                </c:pt>
                <c:pt idx="18">
                  <c:v>0.88335126292151733</c:v>
                </c:pt>
                <c:pt idx="19">
                  <c:v>0.92984343465422881</c:v>
                </c:pt>
                <c:pt idx="20">
                  <c:v>0.97633560638694028</c:v>
                </c:pt>
                <c:pt idx="21">
                  <c:v>1.0228277781196518</c:v>
                </c:pt>
                <c:pt idx="22">
                  <c:v>1.0693199498523631</c:v>
                </c:pt>
                <c:pt idx="23">
                  <c:v>1.1158121215850747</c:v>
                </c:pt>
                <c:pt idx="24">
                  <c:v>1.1623042933177863</c:v>
                </c:pt>
                <c:pt idx="25">
                  <c:v>1.2087964650504979</c:v>
                </c:pt>
                <c:pt idx="26">
                  <c:v>1.2552886367832092</c:v>
                </c:pt>
                <c:pt idx="27">
                  <c:v>1.3017808085159208</c:v>
                </c:pt>
                <c:pt idx="28">
                  <c:v>1.3482729802486324</c:v>
                </c:pt>
                <c:pt idx="29">
                  <c:v>1.394765151981344</c:v>
                </c:pt>
                <c:pt idx="30">
                  <c:v>1.4412573237140556</c:v>
                </c:pt>
                <c:pt idx="31">
                  <c:v>1.4877494954467672</c:v>
                </c:pt>
                <c:pt idx="32">
                  <c:v>1.5342416671794787</c:v>
                </c:pt>
                <c:pt idx="33">
                  <c:v>1.5807338389121901</c:v>
                </c:pt>
                <c:pt idx="34">
                  <c:v>1.6272260106449017</c:v>
                </c:pt>
                <c:pt idx="35">
                  <c:v>1.6737181823776133</c:v>
                </c:pt>
                <c:pt idx="36">
                  <c:v>1.7202103541103249</c:v>
                </c:pt>
                <c:pt idx="37">
                  <c:v>1.7667025258430364</c:v>
                </c:pt>
                <c:pt idx="38">
                  <c:v>1.813194697575748</c:v>
                </c:pt>
                <c:pt idx="39">
                  <c:v>1.8596868693084596</c:v>
                </c:pt>
                <c:pt idx="40">
                  <c:v>1.906179041041171</c:v>
                </c:pt>
                <c:pt idx="41">
                  <c:v>1.9526712127738826</c:v>
                </c:pt>
                <c:pt idx="42">
                  <c:v>1.9991633845065941</c:v>
                </c:pt>
                <c:pt idx="43">
                  <c:v>2.0456555562393057</c:v>
                </c:pt>
                <c:pt idx="44">
                  <c:v>2.0921477279720171</c:v>
                </c:pt>
                <c:pt idx="45">
                  <c:v>2.1386398997047289</c:v>
                </c:pt>
              </c:numCache>
            </c:numRef>
          </c:val>
          <c:smooth val="0"/>
          <c:extLst>
            <c:ext xmlns:c16="http://schemas.microsoft.com/office/drawing/2014/chart" uri="{C3380CC4-5D6E-409C-BE32-E72D297353CC}">
              <c16:uniqueId val="{00000003-5A9E-44FC-BB13-9EED8D4C33F9}"/>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0.8155528794302368</c:v>
                </c:pt>
                <c:pt idx="1">
                  <c:v>1.6311057588607436</c:v>
                </c:pt>
                <c:pt idx="2">
                  <c:v>19.872571266991578</c:v>
                </c:pt>
                <c:pt idx="3">
                  <c:v>26.496761689321858</c:v>
                </c:pt>
                <c:pt idx="4">
                  <c:v>33.120952111652137</c:v>
                </c:pt>
                <c:pt idx="5">
                  <c:v>39.745142533982417</c:v>
                </c:pt>
                <c:pt idx="6">
                  <c:v>46.369332956312697</c:v>
                </c:pt>
                <c:pt idx="7">
                  <c:v>52.993523378642976</c:v>
                </c:pt>
                <c:pt idx="8">
                  <c:v>59.617713800973249</c:v>
                </c:pt>
                <c:pt idx="9">
                  <c:v>66.241904223303536</c:v>
                </c:pt>
                <c:pt idx="10">
                  <c:v>72.866094645633822</c:v>
                </c:pt>
                <c:pt idx="11">
                  <c:v>79.490285067964081</c:v>
                </c:pt>
                <c:pt idx="12">
                  <c:v>86.114475490294353</c:v>
                </c:pt>
                <c:pt idx="13">
                  <c:v>92.716854728761049</c:v>
                </c:pt>
                <c:pt idx="14">
                  <c:v>93.532407608191562</c:v>
                </c:pt>
                <c:pt idx="15">
                  <c:v>94.347960487622061</c:v>
                </c:pt>
                <c:pt idx="16">
                  <c:v>95.163513367052573</c:v>
                </c:pt>
                <c:pt idx="17">
                  <c:v>95.979066246483072</c:v>
                </c:pt>
                <c:pt idx="18">
                  <c:v>96.794619125913584</c:v>
                </c:pt>
                <c:pt idx="19">
                  <c:v>97.610172005344083</c:v>
                </c:pt>
                <c:pt idx="20">
                  <c:v>98.425724884774596</c:v>
                </c:pt>
                <c:pt idx="21">
                  <c:v>99.241277764205108</c:v>
                </c:pt>
                <c:pt idx="22">
                  <c:v>100.05683064363562</c:v>
                </c:pt>
                <c:pt idx="23">
                  <c:v>100.87238352306612</c:v>
                </c:pt>
                <c:pt idx="24">
                  <c:v>101.68793640249663</c:v>
                </c:pt>
                <c:pt idx="25">
                  <c:v>102.50348928192714</c:v>
                </c:pt>
                <c:pt idx="26">
                  <c:v>103.31904216135763</c:v>
                </c:pt>
                <c:pt idx="27">
                  <c:v>104.13459504078814</c:v>
                </c:pt>
                <c:pt idx="28">
                  <c:v>104.95014792021865</c:v>
                </c:pt>
                <c:pt idx="29">
                  <c:v>105.76570079964917</c:v>
                </c:pt>
                <c:pt idx="30">
                  <c:v>106.58125367907968</c:v>
                </c:pt>
                <c:pt idx="31">
                  <c:v>107.39680655851018</c:v>
                </c:pt>
                <c:pt idx="32">
                  <c:v>108.21235943794069</c:v>
                </c:pt>
                <c:pt idx="33">
                  <c:v>109.0279123173712</c:v>
                </c:pt>
                <c:pt idx="34">
                  <c:v>109.8434651968017</c:v>
                </c:pt>
                <c:pt idx="35">
                  <c:v>110.65901807623221</c:v>
                </c:pt>
                <c:pt idx="36">
                  <c:v>111.47457095566271</c:v>
                </c:pt>
                <c:pt idx="37">
                  <c:v>112.29012383509323</c:v>
                </c:pt>
                <c:pt idx="38">
                  <c:v>113.10567671452374</c:v>
                </c:pt>
                <c:pt idx="39">
                  <c:v>113.92122959395424</c:v>
                </c:pt>
                <c:pt idx="40">
                  <c:v>114.73678247338475</c:v>
                </c:pt>
                <c:pt idx="41">
                  <c:v>115.55233535281526</c:v>
                </c:pt>
                <c:pt idx="42">
                  <c:v>116.36788823224576</c:v>
                </c:pt>
                <c:pt idx="43">
                  <c:v>117.18344111167627</c:v>
                </c:pt>
                <c:pt idx="44">
                  <c:v>117.99899399110679</c:v>
                </c:pt>
                <c:pt idx="45">
                  <c:v>118.81454687053727</c:v>
                </c:pt>
              </c:numCache>
            </c:numRef>
          </c:val>
          <c:smooth val="0"/>
          <c:extLst>
            <c:ext xmlns:c16="http://schemas.microsoft.com/office/drawing/2014/chart" uri="{C3380CC4-5D6E-409C-BE32-E72D297353CC}">
              <c16:uniqueId val="{00000004-5A9E-44FC-BB13-9EED8D4C33F9}"/>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4.6492171732696042E-2</c:v>
                </c:pt>
                <c:pt idx="1">
                  <c:v>9.2984343465407487E-2</c:v>
                </c:pt>
                <c:pt idx="2">
                  <c:v>0.13947651519813434</c:v>
                </c:pt>
                <c:pt idx="3">
                  <c:v>0.18596868693084576</c:v>
                </c:pt>
                <c:pt idx="4">
                  <c:v>0.2324608586635572</c:v>
                </c:pt>
                <c:pt idx="5">
                  <c:v>0.27895303039626868</c:v>
                </c:pt>
                <c:pt idx="6">
                  <c:v>0.32544520212898009</c:v>
                </c:pt>
                <c:pt idx="7">
                  <c:v>0.37193737386169151</c:v>
                </c:pt>
                <c:pt idx="8">
                  <c:v>0.41842954559440299</c:v>
                </c:pt>
                <c:pt idx="9">
                  <c:v>0.4649217173271144</c:v>
                </c:pt>
                <c:pt idx="10">
                  <c:v>0.51141388905982588</c:v>
                </c:pt>
                <c:pt idx="11">
                  <c:v>0.55790606079253735</c:v>
                </c:pt>
                <c:pt idx="12">
                  <c:v>0.60439823252524871</c:v>
                </c:pt>
                <c:pt idx="13">
                  <c:v>0.65089040425796019</c:v>
                </c:pt>
                <c:pt idx="14">
                  <c:v>0.69738257599067166</c:v>
                </c:pt>
                <c:pt idx="15">
                  <c:v>0.74387474772338302</c:v>
                </c:pt>
                <c:pt idx="16">
                  <c:v>0.7903669194560945</c:v>
                </c:pt>
                <c:pt idx="17">
                  <c:v>0.83685909118880597</c:v>
                </c:pt>
                <c:pt idx="18">
                  <c:v>0.88335126292151733</c:v>
                </c:pt>
                <c:pt idx="19">
                  <c:v>0.92984343465422881</c:v>
                </c:pt>
                <c:pt idx="20">
                  <c:v>0.97633560638694028</c:v>
                </c:pt>
                <c:pt idx="21">
                  <c:v>1.0228277781196518</c:v>
                </c:pt>
                <c:pt idx="22">
                  <c:v>1.0693199498523631</c:v>
                </c:pt>
                <c:pt idx="23">
                  <c:v>1.1158121215850747</c:v>
                </c:pt>
                <c:pt idx="24">
                  <c:v>1.1623042933177863</c:v>
                </c:pt>
                <c:pt idx="25">
                  <c:v>1.2087964650504979</c:v>
                </c:pt>
                <c:pt idx="26">
                  <c:v>1.2552886367832092</c:v>
                </c:pt>
                <c:pt idx="27">
                  <c:v>1.3017808085159208</c:v>
                </c:pt>
                <c:pt idx="28">
                  <c:v>1.3482729802486324</c:v>
                </c:pt>
                <c:pt idx="29">
                  <c:v>1.394765151981344</c:v>
                </c:pt>
                <c:pt idx="30">
                  <c:v>1.4412573237140556</c:v>
                </c:pt>
                <c:pt idx="31">
                  <c:v>1.4877494954467672</c:v>
                </c:pt>
                <c:pt idx="32">
                  <c:v>1.5342416671794787</c:v>
                </c:pt>
                <c:pt idx="33">
                  <c:v>1.5807338389121901</c:v>
                </c:pt>
                <c:pt idx="34">
                  <c:v>1.6272260106449017</c:v>
                </c:pt>
                <c:pt idx="35">
                  <c:v>1.6737181823776133</c:v>
                </c:pt>
                <c:pt idx="36">
                  <c:v>1.7202103541103249</c:v>
                </c:pt>
                <c:pt idx="37">
                  <c:v>1.7667025258430364</c:v>
                </c:pt>
                <c:pt idx="38">
                  <c:v>1.813194697575748</c:v>
                </c:pt>
                <c:pt idx="39">
                  <c:v>1.8596868693084596</c:v>
                </c:pt>
                <c:pt idx="40">
                  <c:v>1.906179041041171</c:v>
                </c:pt>
                <c:pt idx="41">
                  <c:v>1.9526712127738826</c:v>
                </c:pt>
                <c:pt idx="42">
                  <c:v>1.9991633845065941</c:v>
                </c:pt>
                <c:pt idx="43">
                  <c:v>2.0456555562393057</c:v>
                </c:pt>
                <c:pt idx="44">
                  <c:v>2.0921477279720171</c:v>
                </c:pt>
                <c:pt idx="45">
                  <c:v>2.1386398997047289</c:v>
                </c:pt>
              </c:numCache>
            </c:numRef>
          </c:val>
          <c:smooth val="0"/>
          <c:extLst>
            <c:ext xmlns:c16="http://schemas.microsoft.com/office/drawing/2014/chart" uri="{C3380CC4-5D6E-409C-BE32-E72D297353CC}">
              <c16:uniqueId val="{00000005-5A9E-44FC-BB13-9EED8D4C33F9}"/>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12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1710894472227493"/>
          <c:y val="0.24450687304957525"/>
          <c:w val="0.28289089987706251"/>
          <c:h val="0.61081544874586269"/>
        </c:manualLayout>
      </c:layout>
      <c:overlay val="0"/>
      <c:txPr>
        <a:bodyPr/>
        <a:lstStyle/>
        <a:p>
          <a:pPr>
            <a:defRPr sz="9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D9551F3-269D-434B-B2E3-FF64CBA6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45</Pages>
  <Words>24206</Words>
  <Characters>137975</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3</cp:revision>
  <cp:lastPrinted>2019-09-04T02:46:00Z</cp:lastPrinted>
  <dcterms:created xsi:type="dcterms:W3CDTF">2019-09-04T02:46:00Z</dcterms:created>
  <dcterms:modified xsi:type="dcterms:W3CDTF">2019-09-04T02:46:00Z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id="FTIvrHUL"/&gt;&lt;style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