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F3556" w14:textId="31CC5EA3" w:rsidR="00E47B2F" w:rsidRDefault="00553155" w:rsidP="005525AF">
      <w:pPr>
        <w:spacing w:after="240"/>
        <w:rPr>
          <w:rFonts w:asciiTheme="minorHAnsi" w:eastAsiaTheme="minorEastAsia" w:hAnsiTheme="minorHAnsi"/>
          <w:b/>
          <w:bCs/>
          <w:sz w:val="22"/>
          <w:szCs w:val="22"/>
        </w:rPr>
      </w:pPr>
      <w:r>
        <w:rPr>
          <w:rFonts w:asciiTheme="minorHAnsi" w:eastAsiaTheme="minorEastAsia" w:hAnsiTheme="minorHAnsi"/>
          <w:b/>
          <w:bCs/>
          <w:sz w:val="22"/>
          <w:szCs w:val="22"/>
        </w:rPr>
        <w:t>Sustainable Intensification for Smallholders</w:t>
      </w:r>
    </w:p>
    <w:p w14:paraId="4CD0C781" w14:textId="575EA567" w:rsidR="00F165DA" w:rsidRPr="00F165DA" w:rsidRDefault="00F165DA" w:rsidP="00553155">
      <w:pPr>
        <w:spacing w:after="240"/>
        <w:rPr>
          <w:rFonts w:asciiTheme="minorHAnsi" w:eastAsiaTheme="minorEastAsia" w:hAnsiTheme="minorHAnsi"/>
          <w:sz w:val="22"/>
          <w:szCs w:val="22"/>
        </w:rPr>
      </w:pPr>
      <w:r w:rsidRPr="00F165DA">
        <w:rPr>
          <w:rFonts w:asciiTheme="minorHAnsi" w:eastAsiaTheme="minorEastAsia" w:hAnsiTheme="minorHAnsi"/>
          <w:sz w:val="22"/>
          <w:szCs w:val="22"/>
        </w:rPr>
        <w:t xml:space="preserve">Project Drawdown defines </w:t>
      </w:r>
      <w:r w:rsidR="00553155" w:rsidRPr="00EE60D0">
        <w:rPr>
          <w:rFonts w:asciiTheme="minorHAnsi" w:eastAsiaTheme="minorEastAsia" w:hAnsiTheme="minorHAnsi"/>
          <w:i/>
          <w:iCs/>
          <w:sz w:val="22"/>
          <w:szCs w:val="22"/>
        </w:rPr>
        <w:t>sustainable intensification for smallholders</w:t>
      </w:r>
      <w:r w:rsidRPr="00F165DA">
        <w:rPr>
          <w:rFonts w:asciiTheme="minorHAnsi" w:eastAsiaTheme="minorEastAsia" w:hAnsiTheme="minorHAnsi"/>
          <w:sz w:val="22"/>
          <w:szCs w:val="22"/>
        </w:rPr>
        <w:t xml:space="preserve"> as: </w:t>
      </w:r>
      <w:r w:rsidR="00553155">
        <w:rPr>
          <w:rFonts w:asciiTheme="minorHAnsi" w:eastAsiaTheme="minorEastAsia" w:hAnsiTheme="minorHAnsi"/>
          <w:sz w:val="22"/>
          <w:szCs w:val="22"/>
        </w:rPr>
        <w:t>sustainable intensification practices that increases the yield of smallholder farmers</w:t>
      </w:r>
      <w:r w:rsidR="00D87AE5">
        <w:rPr>
          <w:rFonts w:asciiTheme="minorHAnsi" w:eastAsiaTheme="minorEastAsia" w:hAnsiTheme="minorHAnsi"/>
          <w:sz w:val="22"/>
          <w:szCs w:val="22"/>
        </w:rPr>
        <w:t xml:space="preserve"> (both men and women)</w:t>
      </w:r>
      <w:r w:rsidR="00553155">
        <w:rPr>
          <w:rFonts w:asciiTheme="minorHAnsi" w:eastAsiaTheme="minorEastAsia" w:hAnsiTheme="minorHAnsi"/>
          <w:sz w:val="22"/>
          <w:szCs w:val="22"/>
        </w:rPr>
        <w:t xml:space="preserve">, while increasing their socio-economic conditions. This solution considers three intensification practices. </w:t>
      </w:r>
      <w:r w:rsidR="00553155" w:rsidRPr="00F165DA">
        <w:rPr>
          <w:rFonts w:asciiTheme="minorHAnsi" w:eastAsiaTheme="minorEastAsia" w:hAnsiTheme="minorHAnsi"/>
          <w:sz w:val="22"/>
          <w:szCs w:val="22"/>
        </w:rPr>
        <w:t xml:space="preserve">The first is </w:t>
      </w:r>
      <w:r w:rsidR="00553155">
        <w:rPr>
          <w:rFonts w:asciiTheme="minorHAnsi" w:eastAsiaTheme="minorEastAsia" w:hAnsiTheme="minorHAnsi"/>
          <w:sz w:val="22"/>
          <w:szCs w:val="22"/>
        </w:rPr>
        <w:t>agroecological</w:t>
      </w:r>
      <w:r w:rsidR="00553155" w:rsidRPr="00F165DA">
        <w:rPr>
          <w:rFonts w:asciiTheme="minorHAnsi" w:eastAsiaTheme="minorEastAsia" w:hAnsiTheme="minorHAnsi"/>
          <w:sz w:val="22"/>
          <w:szCs w:val="22"/>
        </w:rPr>
        <w:t xml:space="preserve"> pest management, which reduces crop losses to pests</w:t>
      </w:r>
      <w:r w:rsidR="00553155">
        <w:rPr>
          <w:rFonts w:asciiTheme="minorHAnsi" w:eastAsiaTheme="minorEastAsia" w:hAnsiTheme="minorHAnsi"/>
          <w:sz w:val="22"/>
          <w:szCs w:val="22"/>
        </w:rPr>
        <w:t xml:space="preserve"> through agroecological means</w:t>
      </w:r>
      <w:r w:rsidR="00553155" w:rsidRPr="00F165DA">
        <w:rPr>
          <w:rFonts w:asciiTheme="minorHAnsi" w:eastAsiaTheme="minorEastAsia" w:hAnsiTheme="minorHAnsi"/>
          <w:sz w:val="22"/>
          <w:szCs w:val="22"/>
        </w:rPr>
        <w:t xml:space="preserve">. The second is crop diversification and </w:t>
      </w:r>
      <w:r w:rsidR="00553155">
        <w:rPr>
          <w:rFonts w:asciiTheme="minorHAnsi" w:eastAsiaTheme="minorEastAsia" w:hAnsiTheme="minorHAnsi"/>
          <w:sz w:val="22"/>
          <w:szCs w:val="22"/>
        </w:rPr>
        <w:t>integrated crop-livestock system</w:t>
      </w:r>
      <w:r w:rsidR="00553155" w:rsidRPr="00F165DA">
        <w:rPr>
          <w:rFonts w:asciiTheme="minorHAnsi" w:eastAsiaTheme="minorEastAsia" w:hAnsiTheme="minorHAnsi"/>
          <w:sz w:val="22"/>
          <w:szCs w:val="22"/>
        </w:rPr>
        <w:t>, which can increase yields of individual crops, at the whole farm level, or both. Third is capacity building</w:t>
      </w:r>
      <w:r w:rsidR="00DE3DF9">
        <w:rPr>
          <w:rFonts w:asciiTheme="minorHAnsi" w:eastAsiaTheme="minorEastAsia" w:hAnsiTheme="minorHAnsi"/>
          <w:sz w:val="22"/>
          <w:szCs w:val="22"/>
        </w:rPr>
        <w:t xml:space="preserve"> that includes training and improved access to finance</w:t>
      </w:r>
      <w:r w:rsidR="00553155" w:rsidRPr="00F165DA">
        <w:rPr>
          <w:rFonts w:asciiTheme="minorHAnsi" w:eastAsiaTheme="minorEastAsia" w:hAnsiTheme="minorHAnsi"/>
          <w:sz w:val="22"/>
          <w:szCs w:val="22"/>
        </w:rPr>
        <w:t xml:space="preserve"> which </w:t>
      </w:r>
      <w:r w:rsidR="00553155">
        <w:rPr>
          <w:rFonts w:asciiTheme="minorHAnsi" w:eastAsiaTheme="minorEastAsia" w:hAnsiTheme="minorHAnsi"/>
          <w:sz w:val="22"/>
          <w:szCs w:val="22"/>
        </w:rPr>
        <w:t>enables</w:t>
      </w:r>
      <w:r w:rsidR="00553155" w:rsidRPr="00F165DA">
        <w:rPr>
          <w:rFonts w:asciiTheme="minorHAnsi" w:eastAsiaTheme="minorEastAsia" w:hAnsiTheme="minorHAnsi"/>
          <w:sz w:val="22"/>
          <w:szCs w:val="22"/>
        </w:rPr>
        <w:t xml:space="preserve"> the smallholder farmers to adopt innovative climate friendly agricultural practices.</w:t>
      </w:r>
      <w:r w:rsidR="00553155">
        <w:rPr>
          <w:rFonts w:asciiTheme="minorHAnsi" w:eastAsiaTheme="minorEastAsia" w:hAnsiTheme="minorHAnsi"/>
          <w:sz w:val="22"/>
          <w:szCs w:val="22"/>
        </w:rPr>
        <w:t xml:space="preserve"> </w:t>
      </w:r>
      <w:r w:rsidRPr="00F165DA">
        <w:rPr>
          <w:rFonts w:asciiTheme="minorHAnsi" w:eastAsiaTheme="minorEastAsia" w:hAnsiTheme="minorHAnsi"/>
          <w:sz w:val="22"/>
          <w:szCs w:val="22"/>
        </w:rPr>
        <w:t xml:space="preserve">This solution replaces smallholder </w:t>
      </w:r>
      <w:r w:rsidR="00DE3DF9">
        <w:rPr>
          <w:rFonts w:asciiTheme="minorHAnsi" w:eastAsiaTheme="minorEastAsia" w:hAnsiTheme="minorHAnsi"/>
          <w:sz w:val="22"/>
          <w:szCs w:val="22"/>
        </w:rPr>
        <w:t xml:space="preserve">conventional </w:t>
      </w:r>
      <w:r w:rsidRPr="00F165DA">
        <w:rPr>
          <w:rFonts w:asciiTheme="minorHAnsi" w:eastAsiaTheme="minorEastAsia" w:hAnsiTheme="minorHAnsi"/>
          <w:sz w:val="22"/>
          <w:szCs w:val="22"/>
        </w:rPr>
        <w:t xml:space="preserve">cropland. The farmer is the agency level. Increasing productivity can reduce pressure to clear additional land for agriculture, and can free up some cropland for forest restoration, biomass crop production, or other uses. </w:t>
      </w:r>
    </w:p>
    <w:p w14:paraId="67CB2D20" w14:textId="64492BD5" w:rsidR="00C23801" w:rsidRDefault="00F165DA" w:rsidP="005525AF">
      <w:pPr>
        <w:spacing w:after="240"/>
        <w:rPr>
          <w:rFonts w:asciiTheme="minorHAnsi" w:eastAsiaTheme="minorEastAsia" w:hAnsiTheme="minorHAnsi"/>
          <w:b/>
          <w:bCs/>
          <w:sz w:val="22"/>
          <w:szCs w:val="22"/>
        </w:rPr>
      </w:pPr>
      <w:r w:rsidRPr="00F165DA">
        <w:rPr>
          <w:rFonts w:asciiTheme="minorHAnsi" w:eastAsiaTheme="minorEastAsia" w:hAnsiTheme="minorHAnsi"/>
          <w:sz w:val="22"/>
          <w:szCs w:val="22"/>
        </w:rPr>
        <w:t xml:space="preserve">Intensification can </w:t>
      </w:r>
      <w:proofErr w:type="gramStart"/>
      <w:r w:rsidRPr="00F165DA">
        <w:rPr>
          <w:rFonts w:asciiTheme="minorHAnsi" w:eastAsiaTheme="minorEastAsia" w:hAnsiTheme="minorHAnsi"/>
          <w:sz w:val="22"/>
          <w:szCs w:val="22"/>
        </w:rPr>
        <w:t>actually increase</w:t>
      </w:r>
      <w:proofErr w:type="gramEnd"/>
      <w:r w:rsidRPr="00F165DA">
        <w:rPr>
          <w:rFonts w:asciiTheme="minorHAnsi" w:eastAsiaTheme="minorEastAsia" w:hAnsiTheme="minorHAnsi"/>
          <w:sz w:val="22"/>
          <w:szCs w:val="22"/>
        </w:rPr>
        <w:t xml:space="preserve"> land us</w:t>
      </w:r>
      <w:r w:rsidR="00DE3DF9">
        <w:rPr>
          <w:rFonts w:asciiTheme="minorHAnsi" w:eastAsiaTheme="minorEastAsia" w:hAnsiTheme="minorHAnsi"/>
          <w:sz w:val="22"/>
          <w:szCs w:val="22"/>
        </w:rPr>
        <w:t>e</w:t>
      </w:r>
      <w:r w:rsidRPr="00F165DA">
        <w:rPr>
          <w:rFonts w:asciiTheme="minorHAnsi" w:eastAsiaTheme="minorEastAsia" w:hAnsiTheme="minorHAnsi"/>
          <w:sz w:val="22"/>
          <w:szCs w:val="22"/>
        </w:rPr>
        <w:t xml:space="preserve"> change under some circumstances – for example in the absence of enforced forest and grassland protection policies. In Drawdown’s integrated model, those policies are already known to be in effect. </w:t>
      </w:r>
      <w:r w:rsidR="00553155">
        <w:rPr>
          <w:rFonts w:asciiTheme="minorHAnsi" w:eastAsiaTheme="minorEastAsia" w:hAnsiTheme="minorHAnsi"/>
          <w:i/>
          <w:sz w:val="22"/>
          <w:szCs w:val="22"/>
        </w:rPr>
        <w:t xml:space="preserve">sustainable intensification for </w:t>
      </w:r>
      <w:proofErr w:type="spellStart"/>
      <w:r w:rsidR="00553155">
        <w:rPr>
          <w:rFonts w:asciiTheme="minorHAnsi" w:eastAsiaTheme="minorEastAsia" w:hAnsiTheme="minorHAnsi"/>
          <w:i/>
          <w:sz w:val="22"/>
          <w:szCs w:val="22"/>
        </w:rPr>
        <w:t>smallholders</w:t>
      </w:r>
      <w:r w:rsidR="00553155">
        <w:rPr>
          <w:rFonts w:asciiTheme="minorHAnsi" w:eastAsiaTheme="minorEastAsia" w:hAnsiTheme="minorHAnsi"/>
          <w:sz w:val="22"/>
          <w:szCs w:val="22"/>
        </w:rPr>
        <w:t>sustainable</w:t>
      </w:r>
      <w:proofErr w:type="spellEnd"/>
      <w:r w:rsidR="00553155">
        <w:rPr>
          <w:rFonts w:asciiTheme="minorHAnsi" w:eastAsiaTheme="minorEastAsia" w:hAnsiTheme="minorHAnsi"/>
          <w:sz w:val="22"/>
          <w:szCs w:val="22"/>
        </w:rPr>
        <w:t xml:space="preserve"> intensification for </w:t>
      </w:r>
      <w:proofErr w:type="spellStart"/>
      <w:r w:rsidR="00553155">
        <w:rPr>
          <w:rFonts w:asciiTheme="minorHAnsi" w:eastAsiaTheme="minorEastAsia" w:hAnsiTheme="minorHAnsi"/>
          <w:sz w:val="22"/>
          <w:szCs w:val="22"/>
        </w:rPr>
        <w:t>smallholders</w:t>
      </w:r>
      <w:r w:rsidR="00553155">
        <w:rPr>
          <w:rFonts w:asciiTheme="minorHAnsi" w:eastAsiaTheme="minorEastAsia" w:hAnsiTheme="minorHAnsi"/>
          <w:i/>
          <w:iCs/>
          <w:sz w:val="22"/>
          <w:szCs w:val="22"/>
        </w:rPr>
        <w:t>sustainable</w:t>
      </w:r>
      <w:proofErr w:type="spellEnd"/>
      <w:r w:rsidR="00553155">
        <w:rPr>
          <w:rFonts w:asciiTheme="minorHAnsi" w:eastAsiaTheme="minorEastAsia" w:hAnsiTheme="minorHAnsi"/>
          <w:i/>
          <w:iCs/>
          <w:sz w:val="22"/>
          <w:szCs w:val="22"/>
        </w:rPr>
        <w:t xml:space="preserve"> intensification for </w:t>
      </w:r>
      <w:proofErr w:type="spellStart"/>
      <w:r w:rsidR="00553155">
        <w:rPr>
          <w:rFonts w:asciiTheme="minorHAnsi" w:eastAsiaTheme="minorEastAsia" w:hAnsiTheme="minorHAnsi"/>
          <w:i/>
          <w:iCs/>
          <w:sz w:val="22"/>
          <w:szCs w:val="22"/>
        </w:rPr>
        <w:t>smallholders</w:t>
      </w:r>
      <w:r w:rsidR="00A90A4B" w:rsidRPr="00C93C8A">
        <w:rPr>
          <w:rFonts w:asciiTheme="minorHAnsi" w:eastAsiaTheme="minorEastAsia" w:hAnsiTheme="minorHAnsi"/>
          <w:b/>
          <w:bCs/>
          <w:sz w:val="22"/>
          <w:szCs w:val="22"/>
        </w:rPr>
        <w:t>Methodology</w:t>
      </w:r>
      <w:proofErr w:type="spellEnd"/>
    </w:p>
    <w:p w14:paraId="26342338" w14:textId="77777777" w:rsidR="0008063C" w:rsidRDefault="0008063C" w:rsidP="0008063C">
      <w:pPr>
        <w:rPr>
          <w:rFonts w:asciiTheme="minorHAnsi" w:eastAsiaTheme="minorEastAsia" w:hAnsiTheme="minorHAnsi"/>
          <w:i/>
          <w:color w:val="000000" w:themeColor="text1"/>
          <w:sz w:val="22"/>
          <w:szCs w:val="20"/>
        </w:rPr>
      </w:pPr>
      <w:r>
        <w:rPr>
          <w:rFonts w:asciiTheme="minorHAnsi" w:eastAsiaTheme="minorEastAsia" w:hAnsiTheme="minorHAnsi"/>
          <w:i/>
          <w:color w:val="000000" w:themeColor="text1"/>
          <w:sz w:val="22"/>
          <w:szCs w:val="20"/>
        </w:rPr>
        <w:t>Total Land Area</w:t>
      </w:r>
      <w:r>
        <w:rPr>
          <w:rStyle w:val="EndnoteReference"/>
          <w:rFonts w:asciiTheme="minorHAnsi" w:eastAsiaTheme="minorEastAsia" w:hAnsiTheme="minorHAnsi"/>
          <w:i/>
          <w:color w:val="000000" w:themeColor="text1"/>
          <w:sz w:val="22"/>
          <w:szCs w:val="20"/>
        </w:rPr>
        <w:endnoteReference w:id="1"/>
      </w:r>
    </w:p>
    <w:p w14:paraId="1F1EA00B" w14:textId="77777777" w:rsidR="0008063C" w:rsidRDefault="0008063C" w:rsidP="0008063C">
      <w:pPr>
        <w:rPr>
          <w:rFonts w:asciiTheme="minorHAnsi" w:eastAsiaTheme="minorEastAsia" w:hAnsiTheme="minorHAnsi"/>
          <w:i/>
          <w:color w:val="000000" w:themeColor="text1"/>
          <w:sz w:val="22"/>
          <w:szCs w:val="20"/>
        </w:rPr>
      </w:pPr>
    </w:p>
    <w:p w14:paraId="580FDFD6" w14:textId="75C1EB20" w:rsidR="00903E83" w:rsidRDefault="00553155" w:rsidP="0008063C">
      <w:pPr>
        <w:rPr>
          <w:rFonts w:asciiTheme="minorHAnsi" w:eastAsiaTheme="minorEastAsia" w:hAnsiTheme="minorHAnsi"/>
          <w:sz w:val="22"/>
          <w:szCs w:val="22"/>
        </w:rPr>
      </w:pPr>
      <w:r>
        <w:rPr>
          <w:rFonts w:asciiTheme="minorHAnsi" w:eastAsiaTheme="minorEastAsia" w:hAnsiTheme="minorHAnsi"/>
          <w:sz w:val="22"/>
          <w:szCs w:val="22"/>
        </w:rPr>
        <w:t>This solution represents the non-degraded cropland areas, which are allocated to dra</w:t>
      </w:r>
      <w:r w:rsidR="00D87AE5">
        <w:rPr>
          <w:rFonts w:asciiTheme="minorHAnsi" w:eastAsiaTheme="minorEastAsia" w:hAnsiTheme="minorHAnsi"/>
          <w:sz w:val="22"/>
          <w:szCs w:val="22"/>
        </w:rPr>
        <w:t>w</w:t>
      </w:r>
      <w:r>
        <w:rPr>
          <w:rFonts w:asciiTheme="minorHAnsi" w:eastAsiaTheme="minorEastAsia" w:hAnsiTheme="minorHAnsi"/>
          <w:sz w:val="22"/>
          <w:szCs w:val="22"/>
        </w:rPr>
        <w:t>down</w:t>
      </w:r>
      <w:r w:rsidR="00D87AE5">
        <w:rPr>
          <w:rFonts w:asciiTheme="minorHAnsi" w:eastAsiaTheme="minorEastAsia" w:hAnsiTheme="minorHAnsi"/>
          <w:sz w:val="22"/>
          <w:szCs w:val="22"/>
        </w:rPr>
        <w:t>’</w:t>
      </w:r>
      <w:r>
        <w:rPr>
          <w:rFonts w:asciiTheme="minorHAnsi" w:eastAsiaTheme="minorEastAsia" w:hAnsiTheme="minorHAnsi"/>
          <w:sz w:val="22"/>
          <w:szCs w:val="22"/>
        </w:rPr>
        <w:t xml:space="preserve">s four annual cropping solutions, i.e., </w:t>
      </w:r>
      <w:r w:rsidRPr="00EE60D0">
        <w:rPr>
          <w:rFonts w:asciiTheme="minorHAnsi" w:eastAsiaTheme="minorEastAsia" w:hAnsiTheme="minorHAnsi"/>
          <w:i/>
          <w:iCs/>
          <w:sz w:val="22"/>
          <w:szCs w:val="22"/>
        </w:rPr>
        <w:t xml:space="preserve">conservation agriculture, regenerative annual cropping, improved rice production, </w:t>
      </w:r>
      <w:r w:rsidRPr="00553155">
        <w:rPr>
          <w:rFonts w:asciiTheme="minorHAnsi" w:eastAsiaTheme="minorEastAsia" w:hAnsiTheme="minorHAnsi"/>
          <w:sz w:val="22"/>
          <w:szCs w:val="22"/>
        </w:rPr>
        <w:t>and</w:t>
      </w:r>
      <w:r w:rsidRPr="00EE60D0">
        <w:rPr>
          <w:rFonts w:asciiTheme="minorHAnsi" w:eastAsiaTheme="minorEastAsia" w:hAnsiTheme="minorHAnsi"/>
          <w:i/>
          <w:iCs/>
          <w:sz w:val="22"/>
          <w:szCs w:val="22"/>
        </w:rPr>
        <w:t xml:space="preserve"> system of rice intensification</w:t>
      </w:r>
      <w:r>
        <w:rPr>
          <w:rFonts w:asciiTheme="minorHAnsi" w:eastAsiaTheme="minorEastAsia" w:hAnsiTheme="minorHAnsi"/>
          <w:sz w:val="22"/>
          <w:szCs w:val="22"/>
        </w:rPr>
        <w:t xml:space="preserve">, but are not adopted under the </w:t>
      </w:r>
      <w:r w:rsidR="006F4026" w:rsidRPr="003815F1">
        <w:rPr>
          <w:rFonts w:asciiTheme="minorHAnsi" w:eastAsiaTheme="minorEastAsia" w:hAnsiTheme="minorHAnsi"/>
          <w:i/>
          <w:iCs/>
          <w:sz w:val="22"/>
          <w:szCs w:val="22"/>
        </w:rPr>
        <w:t>Plausible</w:t>
      </w:r>
      <w:r w:rsidR="006F4026">
        <w:rPr>
          <w:rFonts w:asciiTheme="minorHAnsi" w:eastAsiaTheme="minorEastAsia" w:hAnsiTheme="minorHAnsi"/>
          <w:sz w:val="22"/>
          <w:szCs w:val="22"/>
        </w:rPr>
        <w:t xml:space="preserve"> and </w:t>
      </w:r>
      <w:r w:rsidR="006F4026" w:rsidRPr="003815F1">
        <w:rPr>
          <w:rFonts w:asciiTheme="minorHAnsi" w:eastAsiaTheme="minorEastAsia" w:hAnsiTheme="minorHAnsi"/>
          <w:i/>
          <w:iCs/>
          <w:sz w:val="22"/>
          <w:szCs w:val="22"/>
        </w:rPr>
        <w:t>Drawdown</w:t>
      </w:r>
      <w:r w:rsidR="006F4026">
        <w:rPr>
          <w:rFonts w:asciiTheme="minorHAnsi" w:eastAsiaTheme="minorEastAsia" w:hAnsiTheme="minorHAnsi"/>
          <w:sz w:val="22"/>
          <w:szCs w:val="22"/>
        </w:rPr>
        <w:t xml:space="preserve"> </w:t>
      </w:r>
      <w:r>
        <w:rPr>
          <w:rFonts w:asciiTheme="minorHAnsi" w:eastAsiaTheme="minorEastAsia" w:hAnsiTheme="minorHAnsi"/>
          <w:sz w:val="22"/>
          <w:szCs w:val="22"/>
        </w:rPr>
        <w:t xml:space="preserve">scenarios. Therefore, it is the leftover </w:t>
      </w:r>
      <w:r w:rsidR="00DE3DF9">
        <w:rPr>
          <w:rFonts w:asciiTheme="minorHAnsi" w:eastAsiaTheme="minorEastAsia" w:hAnsiTheme="minorHAnsi"/>
          <w:sz w:val="22"/>
          <w:szCs w:val="22"/>
        </w:rPr>
        <w:t xml:space="preserve">smallholder </w:t>
      </w:r>
      <w:r>
        <w:rPr>
          <w:rFonts w:asciiTheme="minorHAnsi" w:eastAsiaTheme="minorEastAsia" w:hAnsiTheme="minorHAnsi"/>
          <w:sz w:val="22"/>
          <w:szCs w:val="22"/>
        </w:rPr>
        <w:t xml:space="preserve">land which varies based on the total adoption of the above listed four drawdown annual cropping solutions, estimated at 38 and 19 million hectares for the </w:t>
      </w:r>
      <w:r w:rsidR="006F4026" w:rsidRPr="00EE60D0">
        <w:rPr>
          <w:rFonts w:asciiTheme="minorHAnsi" w:eastAsiaTheme="minorEastAsia" w:hAnsiTheme="minorHAnsi"/>
          <w:i/>
          <w:iCs/>
          <w:sz w:val="22"/>
          <w:szCs w:val="22"/>
        </w:rPr>
        <w:t>P</w:t>
      </w:r>
      <w:r w:rsidRPr="00EE60D0">
        <w:rPr>
          <w:rFonts w:asciiTheme="minorHAnsi" w:eastAsiaTheme="minorEastAsia" w:hAnsiTheme="minorHAnsi"/>
          <w:i/>
          <w:iCs/>
          <w:sz w:val="22"/>
          <w:szCs w:val="22"/>
        </w:rPr>
        <w:t>lausible</w:t>
      </w:r>
      <w:r>
        <w:rPr>
          <w:rFonts w:asciiTheme="minorHAnsi" w:eastAsiaTheme="minorEastAsia" w:hAnsiTheme="minorHAnsi"/>
          <w:sz w:val="22"/>
          <w:szCs w:val="22"/>
        </w:rPr>
        <w:t xml:space="preserve"> and </w:t>
      </w:r>
      <w:r w:rsidR="006F4026" w:rsidRPr="003815F1">
        <w:rPr>
          <w:rFonts w:asciiTheme="minorHAnsi" w:eastAsiaTheme="minorEastAsia" w:hAnsiTheme="minorHAnsi"/>
          <w:i/>
          <w:iCs/>
          <w:sz w:val="22"/>
          <w:szCs w:val="22"/>
        </w:rPr>
        <w:t>Drawdown</w:t>
      </w:r>
      <w:r w:rsidR="006F4026">
        <w:rPr>
          <w:rFonts w:asciiTheme="minorHAnsi" w:eastAsiaTheme="minorEastAsia" w:hAnsiTheme="minorHAnsi"/>
          <w:sz w:val="22"/>
          <w:szCs w:val="22"/>
        </w:rPr>
        <w:t xml:space="preserve"> </w:t>
      </w:r>
      <w:r>
        <w:rPr>
          <w:rFonts w:asciiTheme="minorHAnsi" w:eastAsiaTheme="minorEastAsia" w:hAnsiTheme="minorHAnsi"/>
          <w:sz w:val="22"/>
          <w:szCs w:val="22"/>
        </w:rPr>
        <w:t xml:space="preserve">scenarios, respectively. </w:t>
      </w:r>
      <w:r w:rsidR="002F1621">
        <w:rPr>
          <w:rFonts w:asciiTheme="minorHAnsi" w:eastAsiaTheme="minorEastAsia" w:hAnsiTheme="minorHAnsi"/>
          <w:sz w:val="22"/>
          <w:szCs w:val="22"/>
        </w:rPr>
        <w:t xml:space="preserve"> Less area is available for the </w:t>
      </w:r>
      <w:r w:rsidR="006F4026" w:rsidRPr="00EE60D0">
        <w:rPr>
          <w:rFonts w:asciiTheme="minorHAnsi" w:eastAsiaTheme="minorEastAsia" w:hAnsiTheme="minorHAnsi"/>
          <w:i/>
          <w:iCs/>
          <w:sz w:val="22"/>
          <w:szCs w:val="22"/>
        </w:rPr>
        <w:t>Drawdown</w:t>
      </w:r>
      <w:r w:rsidR="002F1621">
        <w:rPr>
          <w:rFonts w:asciiTheme="minorHAnsi" w:eastAsiaTheme="minorEastAsia" w:hAnsiTheme="minorHAnsi"/>
          <w:sz w:val="22"/>
          <w:szCs w:val="22"/>
        </w:rPr>
        <w:t xml:space="preserve"> scenario, as the corresponding drawdown scenarios of the four annual cropping solutions projects higher adoption which leaves limited area for this solution Current adoption is assumed to be 0, as this solution represent conventional cropping land which is not adopted by any of the four annual cropping solutions.</w:t>
      </w:r>
    </w:p>
    <w:p w14:paraId="74EE859B" w14:textId="77777777" w:rsidR="0008063C" w:rsidRPr="0008063C" w:rsidRDefault="0008063C" w:rsidP="0008063C">
      <w:pPr>
        <w:rPr>
          <w:rFonts w:asciiTheme="minorHAnsi" w:eastAsiaTheme="minorEastAsia" w:hAnsiTheme="minorHAnsi"/>
          <w:i/>
          <w:color w:val="000000" w:themeColor="text1"/>
          <w:sz w:val="22"/>
          <w:szCs w:val="20"/>
        </w:rPr>
      </w:pPr>
    </w:p>
    <w:p w14:paraId="01C197FA" w14:textId="77777777" w:rsidR="0008063C" w:rsidRDefault="0008063C" w:rsidP="0008063C">
      <w:pPr>
        <w:rPr>
          <w:rFonts w:asciiTheme="minorHAnsi" w:eastAsiaTheme="minorEastAsia" w:hAnsiTheme="minorHAnsi"/>
          <w:i/>
          <w:color w:val="000000" w:themeColor="text1"/>
          <w:sz w:val="22"/>
          <w:szCs w:val="20"/>
        </w:rPr>
      </w:pPr>
      <w:r>
        <w:rPr>
          <w:rFonts w:asciiTheme="minorHAnsi" w:eastAsiaTheme="minorEastAsia" w:hAnsiTheme="minorHAnsi"/>
          <w:i/>
          <w:color w:val="000000" w:themeColor="text1"/>
          <w:sz w:val="22"/>
          <w:szCs w:val="20"/>
        </w:rPr>
        <w:t>Adoption Scenarios</w:t>
      </w:r>
      <w:r>
        <w:rPr>
          <w:rStyle w:val="EndnoteReference"/>
          <w:rFonts w:asciiTheme="minorHAnsi" w:eastAsiaTheme="minorEastAsia" w:hAnsiTheme="minorHAnsi"/>
          <w:i/>
          <w:color w:val="000000" w:themeColor="text1"/>
          <w:sz w:val="22"/>
          <w:szCs w:val="20"/>
        </w:rPr>
        <w:endnoteReference w:id="2"/>
      </w:r>
    </w:p>
    <w:p w14:paraId="642D901C" w14:textId="77777777" w:rsidR="0008063C" w:rsidRDefault="0008063C" w:rsidP="0008063C">
      <w:pPr>
        <w:rPr>
          <w:rFonts w:asciiTheme="minorHAnsi" w:eastAsiaTheme="minorEastAsia" w:hAnsiTheme="minorHAnsi"/>
          <w:i/>
          <w:color w:val="000000" w:themeColor="text1"/>
          <w:sz w:val="22"/>
          <w:szCs w:val="20"/>
        </w:rPr>
      </w:pPr>
    </w:p>
    <w:p w14:paraId="4A829CE1" w14:textId="41CF26EA" w:rsidR="00903E83" w:rsidRDefault="00553155" w:rsidP="0008063C">
      <w:pPr>
        <w:rPr>
          <w:rFonts w:asciiTheme="minorHAnsi" w:eastAsiaTheme="minorEastAsia" w:hAnsiTheme="minorHAnsi"/>
          <w:sz w:val="22"/>
          <w:szCs w:val="22"/>
        </w:rPr>
      </w:pPr>
      <w:r>
        <w:rPr>
          <w:rFonts w:asciiTheme="minorHAnsi" w:eastAsiaTheme="minorEastAsia" w:hAnsiTheme="minorHAnsi"/>
          <w:sz w:val="22"/>
          <w:szCs w:val="22"/>
        </w:rPr>
        <w:t>Three</w:t>
      </w:r>
      <w:r w:rsidRPr="00C93C8A">
        <w:rPr>
          <w:rFonts w:asciiTheme="minorHAnsi" w:eastAsiaTheme="minorEastAsia" w:hAnsiTheme="minorHAnsi"/>
          <w:sz w:val="22"/>
          <w:szCs w:val="22"/>
        </w:rPr>
        <w:t xml:space="preserve"> </w:t>
      </w:r>
      <w:r w:rsidR="00276B92" w:rsidRPr="00C93C8A">
        <w:rPr>
          <w:rFonts w:asciiTheme="minorHAnsi" w:eastAsiaTheme="minorEastAsia" w:hAnsiTheme="minorHAnsi"/>
          <w:sz w:val="22"/>
          <w:szCs w:val="22"/>
        </w:rPr>
        <w:t xml:space="preserve">custom scenarios were built </w:t>
      </w:r>
      <w:r>
        <w:rPr>
          <w:rFonts w:asciiTheme="minorHAnsi" w:eastAsiaTheme="minorEastAsia" w:hAnsiTheme="minorHAnsi"/>
          <w:sz w:val="22"/>
          <w:szCs w:val="22"/>
        </w:rPr>
        <w:t xml:space="preserve">based on the global weighted potential adoption of agroecological pest management, crop diversification, and capacity building. </w:t>
      </w:r>
      <w:r w:rsidRPr="00C93C8A">
        <w:rPr>
          <w:rFonts w:asciiTheme="minorHAnsi" w:eastAsiaTheme="minorEastAsia" w:hAnsiTheme="minorHAnsi"/>
          <w:sz w:val="22"/>
          <w:szCs w:val="22"/>
        </w:rPr>
        <w:t xml:space="preserve"> </w:t>
      </w:r>
      <w:r>
        <w:rPr>
          <w:rFonts w:asciiTheme="minorHAnsi" w:eastAsiaTheme="minorEastAsia" w:hAnsiTheme="minorHAnsi"/>
          <w:sz w:val="22"/>
          <w:szCs w:val="22"/>
        </w:rPr>
        <w:t>One scenario project</w:t>
      </w:r>
      <w:r w:rsidR="006F4026">
        <w:rPr>
          <w:rFonts w:asciiTheme="minorHAnsi" w:eastAsiaTheme="minorEastAsia" w:hAnsiTheme="minorHAnsi"/>
          <w:sz w:val="22"/>
          <w:szCs w:val="22"/>
        </w:rPr>
        <w:t>s</w:t>
      </w:r>
      <w:r>
        <w:rPr>
          <w:rFonts w:asciiTheme="minorHAnsi" w:eastAsiaTheme="minorEastAsia" w:hAnsiTheme="minorHAnsi"/>
          <w:sz w:val="22"/>
          <w:szCs w:val="22"/>
        </w:rPr>
        <w:t xml:space="preserve"> 100 percent adoption by 2050</w:t>
      </w:r>
      <w:r w:rsidR="00276B92" w:rsidRPr="00C93C8A">
        <w:rPr>
          <w:rFonts w:asciiTheme="minorHAnsi" w:eastAsiaTheme="minorEastAsia" w:hAnsiTheme="minorHAnsi"/>
          <w:sz w:val="22"/>
          <w:szCs w:val="22"/>
        </w:rPr>
        <w:t xml:space="preserve">. </w:t>
      </w:r>
      <w:r>
        <w:rPr>
          <w:rFonts w:asciiTheme="minorHAnsi" w:eastAsiaTheme="minorEastAsia" w:hAnsiTheme="minorHAnsi"/>
          <w:sz w:val="22"/>
          <w:szCs w:val="22"/>
        </w:rPr>
        <w:t xml:space="preserve"> These scenarios were developed separately for the </w:t>
      </w:r>
      <w:r w:rsidR="006F4026" w:rsidRPr="003815F1">
        <w:rPr>
          <w:rFonts w:asciiTheme="minorHAnsi" w:eastAsiaTheme="minorEastAsia" w:hAnsiTheme="minorHAnsi"/>
          <w:i/>
          <w:iCs/>
          <w:sz w:val="22"/>
          <w:szCs w:val="22"/>
        </w:rPr>
        <w:t>Plausible</w:t>
      </w:r>
      <w:r w:rsidR="006F4026">
        <w:rPr>
          <w:rFonts w:asciiTheme="minorHAnsi" w:eastAsiaTheme="minorEastAsia" w:hAnsiTheme="minorHAnsi"/>
          <w:sz w:val="22"/>
          <w:szCs w:val="22"/>
        </w:rPr>
        <w:t xml:space="preserve"> and </w:t>
      </w:r>
      <w:r w:rsidR="006F4026" w:rsidRPr="003815F1">
        <w:rPr>
          <w:rFonts w:asciiTheme="minorHAnsi" w:eastAsiaTheme="minorEastAsia" w:hAnsiTheme="minorHAnsi"/>
          <w:i/>
          <w:iCs/>
          <w:sz w:val="22"/>
          <w:szCs w:val="22"/>
        </w:rPr>
        <w:t>Drawdown</w:t>
      </w:r>
      <w:r w:rsidR="006F4026">
        <w:rPr>
          <w:rFonts w:asciiTheme="minorHAnsi" w:eastAsiaTheme="minorEastAsia" w:hAnsiTheme="minorHAnsi"/>
          <w:sz w:val="22"/>
          <w:szCs w:val="22"/>
        </w:rPr>
        <w:t xml:space="preserve"> </w:t>
      </w:r>
      <w:r>
        <w:rPr>
          <w:rFonts w:asciiTheme="minorHAnsi" w:eastAsiaTheme="minorEastAsia" w:hAnsiTheme="minorHAnsi"/>
          <w:sz w:val="22"/>
          <w:szCs w:val="22"/>
        </w:rPr>
        <w:t>scenario, as the total land available allocated for the two scenarios is not fixed.</w:t>
      </w:r>
    </w:p>
    <w:p w14:paraId="50914DED" w14:textId="77777777" w:rsidR="0008063C" w:rsidRDefault="0008063C" w:rsidP="0008063C">
      <w:pPr>
        <w:rPr>
          <w:rFonts w:asciiTheme="minorHAnsi" w:eastAsia="Times New Roman" w:hAnsiTheme="minorHAnsi" w:cs="Arial"/>
          <w:color w:val="222222"/>
          <w:sz w:val="22"/>
          <w:szCs w:val="22"/>
          <w:shd w:val="clear" w:color="auto" w:fill="FFFFFF"/>
        </w:rPr>
      </w:pPr>
    </w:p>
    <w:p w14:paraId="34E1AC07" w14:textId="0E34E0CC" w:rsidR="0008063C" w:rsidRDefault="0008063C" w:rsidP="0008063C">
      <w:pPr>
        <w:rPr>
          <w:rFonts w:asciiTheme="minorHAnsi" w:eastAsia="Times New Roman" w:hAnsiTheme="minorHAnsi" w:cs="Arial"/>
          <w:color w:val="222222"/>
          <w:sz w:val="22"/>
          <w:szCs w:val="22"/>
          <w:shd w:val="clear" w:color="auto" w:fill="FFFFFF"/>
        </w:rPr>
      </w:pPr>
      <w:r w:rsidRPr="00E624B7">
        <w:rPr>
          <w:rFonts w:asciiTheme="minorHAnsi" w:eastAsia="Times New Roman" w:hAnsiTheme="minorHAnsi" w:cs="Arial"/>
          <w:color w:val="222222"/>
          <w:sz w:val="22"/>
          <w:szCs w:val="22"/>
          <w:shd w:val="clear" w:color="auto" w:fill="FFFFFF"/>
        </w:rPr>
        <w:t xml:space="preserve">Impacts of increased adoption of </w:t>
      </w:r>
      <w:r w:rsidR="00553155">
        <w:rPr>
          <w:rFonts w:asciiTheme="minorHAnsi" w:eastAsia="Times New Roman" w:hAnsiTheme="minorHAnsi" w:cs="Arial"/>
          <w:i/>
          <w:color w:val="222222"/>
          <w:sz w:val="22"/>
          <w:szCs w:val="22"/>
          <w:shd w:val="clear" w:color="auto" w:fill="FFFFFF"/>
        </w:rPr>
        <w:t>sustainable intensification for smallholders</w:t>
      </w:r>
      <w:r w:rsidRPr="00E624B7">
        <w:rPr>
          <w:rFonts w:asciiTheme="minorHAnsi" w:eastAsia="Times New Roman" w:hAnsiTheme="minorHAnsi" w:cs="Arial"/>
          <w:i/>
          <w:color w:val="222222"/>
          <w:sz w:val="22"/>
          <w:szCs w:val="22"/>
          <w:shd w:val="clear" w:color="auto" w:fill="FFFFFF"/>
        </w:rPr>
        <w:t xml:space="preserve"> </w:t>
      </w:r>
      <w:r w:rsidRPr="00E624B7">
        <w:rPr>
          <w:rFonts w:asciiTheme="minorHAnsi" w:eastAsia="Times New Roman" w:hAnsiTheme="minorHAnsi" w:cs="Arial"/>
          <w:color w:val="222222"/>
          <w:sz w:val="22"/>
          <w:szCs w:val="22"/>
          <w:shd w:val="clear" w:color="auto" w:fill="FFFFFF"/>
        </w:rPr>
        <w:t xml:space="preserve">from 2020-2050 were generated based on </w:t>
      </w:r>
      <w:r w:rsidR="00553155">
        <w:rPr>
          <w:rFonts w:asciiTheme="minorHAnsi" w:eastAsia="Times New Roman" w:hAnsiTheme="minorHAnsi" w:cs="Arial"/>
          <w:color w:val="222222"/>
          <w:sz w:val="22"/>
          <w:szCs w:val="22"/>
          <w:shd w:val="clear" w:color="auto" w:fill="FFFFFF"/>
        </w:rPr>
        <w:t>two</w:t>
      </w:r>
      <w:r w:rsidR="00553155" w:rsidRPr="00E624B7">
        <w:rPr>
          <w:rFonts w:asciiTheme="minorHAnsi" w:eastAsia="Times New Roman" w:hAnsiTheme="minorHAnsi" w:cs="Arial"/>
          <w:color w:val="222222"/>
          <w:sz w:val="22"/>
          <w:szCs w:val="22"/>
          <w:shd w:val="clear" w:color="auto" w:fill="FFFFFF"/>
        </w:rPr>
        <w:t xml:space="preserve"> </w:t>
      </w:r>
      <w:r w:rsidRPr="00E624B7">
        <w:rPr>
          <w:rFonts w:asciiTheme="minorHAnsi" w:eastAsia="Times New Roman" w:hAnsiTheme="minorHAnsi" w:cs="Arial"/>
          <w:color w:val="222222"/>
          <w:sz w:val="22"/>
          <w:szCs w:val="22"/>
          <w:shd w:val="clear" w:color="auto" w:fill="FFFFFF"/>
        </w:rPr>
        <w:t>growth scenarios, which were assessed in comparison to a </w:t>
      </w:r>
      <w:r w:rsidRPr="00E624B7">
        <w:rPr>
          <w:rFonts w:asciiTheme="minorHAnsi" w:eastAsia="Times New Roman" w:hAnsiTheme="minorHAnsi" w:cs="Times New Roman"/>
          <w:i/>
          <w:iCs/>
          <w:color w:val="000000"/>
          <w:sz w:val="22"/>
          <w:szCs w:val="22"/>
          <w:shd w:val="clear" w:color="auto" w:fill="FFFFFF"/>
        </w:rPr>
        <w:t>Reference </w:t>
      </w:r>
      <w:r w:rsidRPr="00E624B7">
        <w:rPr>
          <w:rFonts w:asciiTheme="minorHAnsi" w:eastAsia="Times New Roman" w:hAnsiTheme="minorHAnsi" w:cs="Arial"/>
          <w:color w:val="222222"/>
          <w:sz w:val="22"/>
          <w:szCs w:val="22"/>
          <w:shd w:val="clear" w:color="auto" w:fill="FFFFFF"/>
        </w:rPr>
        <w:t xml:space="preserve">Scenario where the solution’s market share was fixed at the current levels. </w:t>
      </w:r>
    </w:p>
    <w:p w14:paraId="1DBE59A7" w14:textId="3A729555" w:rsidR="0008063C" w:rsidRPr="003A7E1A" w:rsidRDefault="0008063C" w:rsidP="0008063C">
      <w:pPr>
        <w:pStyle w:val="ListParagraph"/>
        <w:numPr>
          <w:ilvl w:val="0"/>
          <w:numId w:val="8"/>
        </w:numPr>
        <w:spacing w:before="120" w:after="120"/>
        <w:contextualSpacing w:val="0"/>
        <w:rPr>
          <w:b/>
          <w:sz w:val="22"/>
          <w:szCs w:val="22"/>
        </w:rPr>
      </w:pPr>
      <w:r w:rsidRPr="003A7E1A">
        <w:rPr>
          <w:i/>
          <w:sz w:val="22"/>
          <w:szCs w:val="22"/>
        </w:rPr>
        <w:t>Plausible</w:t>
      </w:r>
      <w:r w:rsidRPr="003A7E1A">
        <w:rPr>
          <w:sz w:val="22"/>
          <w:szCs w:val="22"/>
        </w:rPr>
        <w:t xml:space="preserve"> Scenario: </w:t>
      </w:r>
      <w:r w:rsidRPr="00C93C8A">
        <w:rPr>
          <w:sz w:val="22"/>
          <w:szCs w:val="22"/>
        </w:rPr>
        <w:t xml:space="preserve">Scenario analysis yields </w:t>
      </w:r>
      <w:r>
        <w:rPr>
          <w:sz w:val="22"/>
          <w:szCs w:val="22"/>
        </w:rPr>
        <w:t xml:space="preserve">the </w:t>
      </w:r>
      <w:r w:rsidRPr="00C93C8A">
        <w:rPr>
          <w:sz w:val="22"/>
          <w:szCs w:val="22"/>
        </w:rPr>
        <w:t xml:space="preserve">adoption of </w:t>
      </w:r>
      <w:r w:rsidR="002F1621">
        <w:rPr>
          <w:sz w:val="22"/>
          <w:szCs w:val="22"/>
        </w:rPr>
        <w:t>32.8</w:t>
      </w:r>
      <w:r w:rsidRPr="00C93C8A">
        <w:rPr>
          <w:sz w:val="22"/>
          <w:szCs w:val="22"/>
        </w:rPr>
        <w:t xml:space="preserve"> million hectares </w:t>
      </w:r>
      <w:r w:rsidR="002F1621">
        <w:rPr>
          <w:sz w:val="22"/>
          <w:szCs w:val="22"/>
        </w:rPr>
        <w:t xml:space="preserve">the </w:t>
      </w:r>
      <w:r w:rsidRPr="00C93C8A">
        <w:rPr>
          <w:i/>
          <w:iCs/>
          <w:sz w:val="22"/>
          <w:szCs w:val="22"/>
        </w:rPr>
        <w:t xml:space="preserve">Plausible </w:t>
      </w:r>
      <w:r w:rsidRPr="00C93C8A">
        <w:rPr>
          <w:sz w:val="22"/>
          <w:szCs w:val="22"/>
        </w:rPr>
        <w:t>Scenario.</w:t>
      </w:r>
    </w:p>
    <w:p w14:paraId="2A8220E7" w14:textId="2BB555FB" w:rsidR="0008063C" w:rsidRPr="003A7E1A" w:rsidRDefault="0008063C" w:rsidP="0008063C">
      <w:pPr>
        <w:pStyle w:val="ListParagraph"/>
        <w:numPr>
          <w:ilvl w:val="0"/>
          <w:numId w:val="8"/>
        </w:numPr>
        <w:spacing w:before="120" w:after="120"/>
        <w:contextualSpacing w:val="0"/>
        <w:rPr>
          <w:b/>
          <w:sz w:val="22"/>
          <w:szCs w:val="22"/>
        </w:rPr>
      </w:pPr>
      <w:r w:rsidRPr="003A7E1A">
        <w:rPr>
          <w:i/>
          <w:sz w:val="22"/>
          <w:szCs w:val="22"/>
        </w:rPr>
        <w:t>Drawdown</w:t>
      </w:r>
      <w:r w:rsidRPr="003A7E1A">
        <w:rPr>
          <w:sz w:val="22"/>
          <w:szCs w:val="22"/>
        </w:rPr>
        <w:t xml:space="preserve"> Scenario: </w:t>
      </w:r>
      <w:r w:rsidR="002F1621" w:rsidRPr="00C93C8A">
        <w:rPr>
          <w:sz w:val="22"/>
          <w:szCs w:val="22"/>
        </w:rPr>
        <w:t xml:space="preserve">Scenario analysis yields </w:t>
      </w:r>
      <w:r w:rsidR="002F1621">
        <w:rPr>
          <w:sz w:val="22"/>
          <w:szCs w:val="22"/>
        </w:rPr>
        <w:t xml:space="preserve">the </w:t>
      </w:r>
      <w:r w:rsidR="002F1621" w:rsidRPr="00C93C8A">
        <w:rPr>
          <w:sz w:val="22"/>
          <w:szCs w:val="22"/>
        </w:rPr>
        <w:t xml:space="preserve">adoption of </w:t>
      </w:r>
      <w:r w:rsidR="002F1621">
        <w:rPr>
          <w:sz w:val="22"/>
          <w:szCs w:val="22"/>
        </w:rPr>
        <w:t>16.3</w:t>
      </w:r>
      <w:r w:rsidR="002F1621" w:rsidRPr="00C93C8A">
        <w:rPr>
          <w:sz w:val="22"/>
          <w:szCs w:val="22"/>
        </w:rPr>
        <w:t xml:space="preserve"> million hectares </w:t>
      </w:r>
      <w:r w:rsidR="002F1621">
        <w:rPr>
          <w:sz w:val="22"/>
          <w:szCs w:val="22"/>
        </w:rPr>
        <w:t xml:space="preserve">the </w:t>
      </w:r>
      <w:r w:rsidR="002F1621" w:rsidRPr="00C93C8A">
        <w:rPr>
          <w:i/>
          <w:iCs/>
          <w:sz w:val="22"/>
          <w:szCs w:val="22"/>
        </w:rPr>
        <w:t xml:space="preserve">Plausible </w:t>
      </w:r>
      <w:r w:rsidR="002F1621" w:rsidRPr="00C93C8A">
        <w:rPr>
          <w:sz w:val="22"/>
          <w:szCs w:val="22"/>
        </w:rPr>
        <w:t>Scenario.</w:t>
      </w:r>
    </w:p>
    <w:p w14:paraId="2EAA7591" w14:textId="77777777" w:rsidR="0008063C" w:rsidRDefault="0008063C" w:rsidP="005525AF">
      <w:pPr>
        <w:spacing w:before="120" w:after="240"/>
        <w:rPr>
          <w:rFonts w:asciiTheme="minorHAnsi" w:eastAsiaTheme="minorEastAsia" w:hAnsiTheme="minorHAnsi"/>
          <w:i/>
          <w:color w:val="000000" w:themeColor="text1"/>
          <w:sz w:val="22"/>
          <w:szCs w:val="22"/>
        </w:rPr>
      </w:pPr>
      <w:r>
        <w:rPr>
          <w:rFonts w:asciiTheme="minorHAnsi" w:eastAsiaTheme="minorEastAsia" w:hAnsiTheme="minorHAnsi"/>
          <w:i/>
          <w:color w:val="000000" w:themeColor="text1"/>
          <w:sz w:val="22"/>
          <w:szCs w:val="22"/>
        </w:rPr>
        <w:t>Emissions and Yield Model</w:t>
      </w:r>
    </w:p>
    <w:p w14:paraId="5E556C57" w14:textId="42A28856" w:rsidR="0008063C" w:rsidRPr="00C93C8A" w:rsidRDefault="0008063C" w:rsidP="0008063C">
      <w:pPr>
        <w:spacing w:before="120" w:after="240"/>
        <w:rPr>
          <w:rFonts w:asciiTheme="minorHAnsi" w:eastAsiaTheme="minorEastAsia" w:hAnsiTheme="minorHAnsi"/>
          <w:color w:val="000000" w:themeColor="text1"/>
          <w:sz w:val="22"/>
          <w:szCs w:val="22"/>
        </w:rPr>
      </w:pPr>
      <w:r w:rsidRPr="00C93C8A">
        <w:rPr>
          <w:rFonts w:asciiTheme="minorHAnsi" w:eastAsiaTheme="minorEastAsia" w:hAnsiTheme="minorHAnsi"/>
          <w:color w:val="000000" w:themeColor="text1"/>
          <w:sz w:val="22"/>
          <w:szCs w:val="22"/>
        </w:rPr>
        <w:lastRenderedPageBreak/>
        <w:t xml:space="preserve">Emissions are set at </w:t>
      </w:r>
      <w:r w:rsidR="00D87AE5">
        <w:rPr>
          <w:rFonts w:asciiTheme="minorHAnsi" w:eastAsiaTheme="minorEastAsia" w:hAnsiTheme="minorHAnsi"/>
          <w:color w:val="000000" w:themeColor="text1"/>
          <w:sz w:val="22"/>
          <w:szCs w:val="22"/>
        </w:rPr>
        <w:t>0.22</w:t>
      </w:r>
      <w:r w:rsidRPr="00C93C8A">
        <w:rPr>
          <w:rFonts w:asciiTheme="minorHAnsi" w:eastAsiaTheme="minorEastAsia" w:hAnsiTheme="minorHAnsi"/>
          <w:color w:val="000000" w:themeColor="text1"/>
          <w:sz w:val="22"/>
          <w:szCs w:val="22"/>
        </w:rPr>
        <w:t xml:space="preserve"> tons of carbon dioxide-equivalent per hectare, based on </w:t>
      </w:r>
      <w:r w:rsidR="00D87AE5">
        <w:rPr>
          <w:rFonts w:asciiTheme="minorHAnsi" w:eastAsiaTheme="minorEastAsia" w:hAnsiTheme="minorHAnsi"/>
          <w:color w:val="000000" w:themeColor="text1"/>
          <w:sz w:val="22"/>
          <w:szCs w:val="22"/>
        </w:rPr>
        <w:t>5</w:t>
      </w:r>
      <w:r w:rsidRPr="00C93C8A">
        <w:rPr>
          <w:rFonts w:asciiTheme="minorHAnsi" w:eastAsiaTheme="minorEastAsia" w:hAnsiTheme="minorHAnsi"/>
          <w:color w:val="000000" w:themeColor="text1"/>
          <w:sz w:val="22"/>
          <w:szCs w:val="22"/>
        </w:rPr>
        <w:t xml:space="preserve">data points from </w:t>
      </w:r>
      <w:r w:rsidR="00D87AE5">
        <w:rPr>
          <w:rFonts w:asciiTheme="minorHAnsi" w:eastAsiaTheme="minorEastAsia" w:hAnsiTheme="minorHAnsi"/>
          <w:color w:val="000000" w:themeColor="text1"/>
          <w:sz w:val="22"/>
          <w:szCs w:val="22"/>
        </w:rPr>
        <w:t>5</w:t>
      </w:r>
      <w:r w:rsidR="00D87AE5" w:rsidRPr="00C93C8A">
        <w:rPr>
          <w:rFonts w:asciiTheme="minorHAnsi" w:eastAsiaTheme="minorEastAsia" w:hAnsiTheme="minorHAnsi"/>
          <w:color w:val="000000" w:themeColor="text1"/>
          <w:sz w:val="22"/>
          <w:szCs w:val="22"/>
        </w:rPr>
        <w:t xml:space="preserve"> </w:t>
      </w:r>
      <w:r w:rsidRPr="00C93C8A">
        <w:rPr>
          <w:rFonts w:asciiTheme="minorHAnsi" w:eastAsiaTheme="minorEastAsia" w:hAnsiTheme="minorHAnsi"/>
          <w:color w:val="000000" w:themeColor="text1"/>
          <w:sz w:val="22"/>
          <w:szCs w:val="22"/>
        </w:rPr>
        <w:t>sources</w:t>
      </w:r>
      <w:r w:rsidR="00D87AE5">
        <w:rPr>
          <w:rFonts w:asciiTheme="minorHAnsi" w:eastAsiaTheme="minorEastAsia" w:hAnsiTheme="minorHAnsi"/>
          <w:color w:val="000000" w:themeColor="text1"/>
          <w:sz w:val="22"/>
          <w:szCs w:val="22"/>
        </w:rPr>
        <w:t xml:space="preserve"> and carbon sequestration is set at 0.63 tons of carbon per hectare per year based on one data point</w:t>
      </w:r>
      <w:r w:rsidRPr="00C93C8A">
        <w:rPr>
          <w:rFonts w:asciiTheme="minorHAnsi" w:eastAsiaTheme="minorEastAsia" w:hAnsiTheme="minorHAnsi"/>
          <w:color w:val="000000" w:themeColor="text1"/>
          <w:sz w:val="22"/>
          <w:szCs w:val="22"/>
        </w:rPr>
        <w:t xml:space="preserve">. </w:t>
      </w:r>
    </w:p>
    <w:p w14:paraId="0E2A3A7F" w14:textId="77777777" w:rsidR="0008063C" w:rsidRDefault="0008063C" w:rsidP="005525AF">
      <w:pPr>
        <w:spacing w:before="120" w:after="240"/>
        <w:rPr>
          <w:rFonts w:asciiTheme="minorHAnsi" w:eastAsiaTheme="minorEastAsia" w:hAnsiTheme="minorHAnsi"/>
          <w:i/>
          <w:color w:val="000000" w:themeColor="text1"/>
          <w:sz w:val="22"/>
          <w:szCs w:val="22"/>
        </w:rPr>
      </w:pPr>
      <w:r>
        <w:rPr>
          <w:rFonts w:asciiTheme="minorHAnsi" w:eastAsiaTheme="minorEastAsia" w:hAnsiTheme="minorHAnsi"/>
          <w:i/>
          <w:color w:val="000000" w:themeColor="text1"/>
          <w:sz w:val="22"/>
          <w:szCs w:val="22"/>
        </w:rPr>
        <w:t>Financial Model</w:t>
      </w:r>
    </w:p>
    <w:p w14:paraId="6C70670C" w14:textId="1DB4683D" w:rsidR="00D87AE5" w:rsidRPr="00BC78FB" w:rsidRDefault="003D270C" w:rsidP="00D87AE5">
      <w:pPr>
        <w:spacing w:after="240"/>
        <w:rPr>
          <w:rFonts w:asciiTheme="minorHAnsi" w:eastAsiaTheme="minorEastAsia" w:hAnsiTheme="minorHAnsi"/>
          <w:sz w:val="22"/>
          <w:szCs w:val="22"/>
        </w:rPr>
      </w:pPr>
      <w:r w:rsidRPr="00C93C8A">
        <w:rPr>
          <w:rFonts w:asciiTheme="minorHAnsi" w:eastAsiaTheme="minorEastAsia" w:hAnsiTheme="minorHAnsi"/>
          <w:color w:val="000000" w:themeColor="text1"/>
          <w:sz w:val="22"/>
          <w:szCs w:val="22"/>
        </w:rPr>
        <w:t xml:space="preserve">First costs are </w:t>
      </w:r>
      <w:r w:rsidR="7F40FB36" w:rsidRPr="00C93C8A">
        <w:rPr>
          <w:rFonts w:asciiTheme="minorHAnsi" w:eastAsiaTheme="minorEastAsia" w:hAnsiTheme="minorHAnsi"/>
          <w:color w:val="000000" w:themeColor="text1"/>
          <w:sz w:val="22"/>
          <w:szCs w:val="22"/>
        </w:rPr>
        <w:t>US</w:t>
      </w:r>
      <w:r w:rsidRPr="00C93C8A">
        <w:rPr>
          <w:rFonts w:asciiTheme="minorHAnsi" w:eastAsiaTheme="minorEastAsia" w:hAnsiTheme="minorHAnsi"/>
          <w:color w:val="000000" w:themeColor="text1"/>
          <w:sz w:val="22"/>
          <w:szCs w:val="22"/>
        </w:rPr>
        <w:t>$</w:t>
      </w:r>
      <w:r w:rsidR="003217E8" w:rsidRPr="00C93C8A">
        <w:rPr>
          <w:rFonts w:asciiTheme="minorHAnsi" w:eastAsiaTheme="minorEastAsia" w:hAnsiTheme="minorHAnsi"/>
          <w:color w:val="000000" w:themeColor="text1"/>
          <w:sz w:val="22"/>
          <w:szCs w:val="22"/>
        </w:rPr>
        <w:t>0</w:t>
      </w:r>
      <w:r w:rsidRPr="00C93C8A">
        <w:rPr>
          <w:rFonts w:asciiTheme="minorHAnsi" w:eastAsiaTheme="minorEastAsia" w:hAnsiTheme="minorHAnsi"/>
          <w:color w:val="000000" w:themeColor="text1"/>
          <w:sz w:val="22"/>
          <w:szCs w:val="22"/>
        </w:rPr>
        <w:t xml:space="preserve"> </w:t>
      </w:r>
      <w:r w:rsidR="7F40FB36" w:rsidRPr="00C93C8A">
        <w:rPr>
          <w:rFonts w:asciiTheme="minorHAnsi" w:eastAsiaTheme="minorEastAsia" w:hAnsiTheme="minorHAnsi"/>
          <w:color w:val="000000" w:themeColor="text1"/>
          <w:sz w:val="22"/>
          <w:szCs w:val="22"/>
        </w:rPr>
        <w:t>per hectare</w:t>
      </w:r>
      <w:r w:rsidR="6322F0E6" w:rsidRPr="00C93C8A">
        <w:rPr>
          <w:rFonts w:asciiTheme="minorHAnsi" w:eastAsiaTheme="minorEastAsia" w:hAnsiTheme="minorHAnsi"/>
          <w:color w:val="000000" w:themeColor="text1"/>
          <w:sz w:val="22"/>
          <w:szCs w:val="22"/>
        </w:rPr>
        <w:t xml:space="preserve">, </w:t>
      </w:r>
      <w:r w:rsidR="003217E8" w:rsidRPr="00C93C8A">
        <w:rPr>
          <w:rFonts w:asciiTheme="minorHAnsi" w:eastAsiaTheme="minorEastAsia" w:hAnsiTheme="minorHAnsi"/>
          <w:color w:val="000000" w:themeColor="text1"/>
          <w:sz w:val="22"/>
          <w:szCs w:val="22"/>
        </w:rPr>
        <w:t>as there is no cost to the land manager</w:t>
      </w:r>
      <w:r w:rsidR="6322F0E6" w:rsidRPr="00C93C8A">
        <w:rPr>
          <w:rFonts w:asciiTheme="minorHAnsi" w:eastAsiaTheme="minorEastAsia" w:hAnsiTheme="minorHAnsi"/>
          <w:color w:val="000000" w:themeColor="text1"/>
          <w:sz w:val="22"/>
          <w:szCs w:val="22"/>
        </w:rPr>
        <w:t>.</w:t>
      </w:r>
      <w:r w:rsidR="005C5B59" w:rsidRPr="00C93C8A">
        <w:rPr>
          <w:rStyle w:val="EndnoteReference"/>
          <w:rFonts w:asciiTheme="minorHAnsi" w:eastAsiaTheme="minorEastAsia" w:hAnsiTheme="minorHAnsi"/>
          <w:color w:val="000000" w:themeColor="text1"/>
          <w:sz w:val="22"/>
          <w:szCs w:val="22"/>
        </w:rPr>
        <w:endnoteReference w:id="3"/>
      </w:r>
      <w:r w:rsidR="005C5B59" w:rsidRPr="00C93C8A">
        <w:rPr>
          <w:rFonts w:asciiTheme="minorHAnsi" w:eastAsiaTheme="minorEastAsia" w:hAnsiTheme="minorHAnsi"/>
          <w:color w:val="000000" w:themeColor="text1"/>
          <w:sz w:val="22"/>
          <w:szCs w:val="22"/>
        </w:rPr>
        <w:t xml:space="preserve"> </w:t>
      </w:r>
      <w:r w:rsidR="6322F0E6" w:rsidRPr="00C93C8A">
        <w:rPr>
          <w:rFonts w:asciiTheme="minorHAnsi" w:eastAsiaTheme="minorEastAsia" w:hAnsiTheme="minorHAnsi"/>
          <w:color w:val="000000" w:themeColor="text1"/>
          <w:sz w:val="22"/>
          <w:szCs w:val="22"/>
        </w:rPr>
        <w:t>F</w:t>
      </w:r>
      <w:r w:rsidRPr="00C93C8A">
        <w:rPr>
          <w:rFonts w:asciiTheme="minorHAnsi" w:eastAsiaTheme="minorEastAsia" w:hAnsiTheme="minorHAnsi"/>
          <w:color w:val="000000" w:themeColor="text1"/>
          <w:sz w:val="22"/>
          <w:szCs w:val="22"/>
        </w:rPr>
        <w:t xml:space="preserve">or all agricultural solutions it is assumed that there is no </w:t>
      </w:r>
      <w:r w:rsidR="6322F0E6" w:rsidRPr="00C93C8A">
        <w:rPr>
          <w:rFonts w:asciiTheme="minorHAnsi" w:eastAsiaTheme="minorEastAsia" w:hAnsiTheme="minorHAnsi"/>
          <w:color w:val="000000" w:themeColor="text1"/>
          <w:sz w:val="22"/>
          <w:szCs w:val="22"/>
        </w:rPr>
        <w:t xml:space="preserve">conventional </w:t>
      </w:r>
      <w:r w:rsidRPr="00C93C8A">
        <w:rPr>
          <w:rFonts w:asciiTheme="minorHAnsi" w:eastAsiaTheme="minorEastAsia" w:hAnsiTheme="minorHAnsi"/>
          <w:color w:val="000000" w:themeColor="text1"/>
          <w:sz w:val="22"/>
          <w:szCs w:val="22"/>
        </w:rPr>
        <w:t>first cost</w:t>
      </w:r>
      <w:r w:rsidR="6322F0E6" w:rsidRPr="00C93C8A">
        <w:rPr>
          <w:rFonts w:asciiTheme="minorHAnsi" w:eastAsiaTheme="minorEastAsia" w:hAnsiTheme="minorHAnsi"/>
          <w:color w:val="000000" w:themeColor="text1"/>
          <w:sz w:val="22"/>
          <w:szCs w:val="22"/>
        </w:rPr>
        <w:t>,</w:t>
      </w:r>
      <w:r w:rsidRPr="00C93C8A">
        <w:rPr>
          <w:rFonts w:asciiTheme="minorHAnsi" w:eastAsiaTheme="minorEastAsia" w:hAnsiTheme="minorHAnsi"/>
          <w:color w:val="000000" w:themeColor="text1"/>
          <w:sz w:val="22"/>
          <w:szCs w:val="22"/>
        </w:rPr>
        <w:t xml:space="preserve"> as agriculture is already in place on the land. </w:t>
      </w:r>
      <w:bookmarkStart w:id="0" w:name="_Hlk31463105"/>
      <w:r w:rsidR="00D87AE5" w:rsidRPr="4D5ABEDC">
        <w:rPr>
          <w:rFonts w:asciiTheme="minorHAnsi" w:eastAsiaTheme="minorEastAsia" w:hAnsiTheme="minorHAnsi"/>
          <w:color w:val="000000" w:themeColor="text1"/>
          <w:sz w:val="22"/>
          <w:szCs w:val="22"/>
        </w:rPr>
        <w:t>Net profit is calculated at US$</w:t>
      </w:r>
      <w:r w:rsidR="00257F14">
        <w:rPr>
          <w:rFonts w:asciiTheme="minorHAnsi" w:eastAsiaTheme="minorEastAsia" w:hAnsiTheme="minorHAnsi"/>
          <w:color w:val="000000" w:themeColor="text1"/>
          <w:sz w:val="22"/>
          <w:szCs w:val="22"/>
        </w:rPr>
        <w:t>897.63</w:t>
      </w:r>
      <w:r w:rsidR="00D87AE5">
        <w:rPr>
          <w:rFonts w:asciiTheme="minorHAnsi" w:eastAsiaTheme="minorEastAsia" w:hAnsiTheme="minorHAnsi"/>
          <w:color w:val="000000" w:themeColor="text1"/>
          <w:sz w:val="22"/>
          <w:szCs w:val="22"/>
        </w:rPr>
        <w:t xml:space="preserve"> </w:t>
      </w:r>
      <w:r w:rsidR="00D87AE5" w:rsidRPr="4D5ABEDC">
        <w:rPr>
          <w:rFonts w:asciiTheme="minorHAnsi" w:eastAsiaTheme="minorEastAsia" w:hAnsiTheme="minorHAnsi"/>
          <w:color w:val="000000" w:themeColor="text1"/>
          <w:sz w:val="22"/>
          <w:szCs w:val="22"/>
        </w:rPr>
        <w:t>per hectare per year for the solution (based on meta-analysis of 1</w:t>
      </w:r>
      <w:r w:rsidR="00257F14">
        <w:rPr>
          <w:rFonts w:asciiTheme="minorHAnsi" w:eastAsiaTheme="minorEastAsia" w:hAnsiTheme="minorHAnsi"/>
          <w:color w:val="000000" w:themeColor="text1"/>
          <w:sz w:val="22"/>
          <w:szCs w:val="22"/>
        </w:rPr>
        <w:t>0</w:t>
      </w:r>
      <w:r w:rsidR="00D87AE5" w:rsidRPr="4D5ABEDC">
        <w:rPr>
          <w:rFonts w:asciiTheme="minorHAnsi" w:eastAsiaTheme="minorEastAsia" w:hAnsiTheme="minorHAnsi"/>
          <w:color w:val="000000" w:themeColor="text1"/>
          <w:sz w:val="22"/>
          <w:szCs w:val="22"/>
        </w:rPr>
        <w:t xml:space="preserve"> data points from </w:t>
      </w:r>
      <w:r w:rsidR="00257F14">
        <w:rPr>
          <w:rFonts w:asciiTheme="minorHAnsi" w:eastAsiaTheme="minorEastAsia" w:hAnsiTheme="minorHAnsi"/>
          <w:color w:val="000000" w:themeColor="text1"/>
          <w:sz w:val="22"/>
          <w:szCs w:val="22"/>
        </w:rPr>
        <w:t>2</w:t>
      </w:r>
      <w:r w:rsidR="00D87AE5" w:rsidRPr="4D5ABEDC">
        <w:rPr>
          <w:rFonts w:asciiTheme="minorHAnsi" w:eastAsiaTheme="minorEastAsia" w:hAnsiTheme="minorHAnsi"/>
          <w:color w:val="000000" w:themeColor="text1"/>
          <w:sz w:val="22"/>
          <w:szCs w:val="22"/>
        </w:rPr>
        <w:t xml:space="preserve"> sources), </w:t>
      </w:r>
      <w:r w:rsidR="00D87AE5" w:rsidRPr="1433DB70">
        <w:rPr>
          <w:rFonts w:asciiTheme="minorHAnsi" w:eastAsiaTheme="minorEastAsia" w:hAnsiTheme="minorHAnsi"/>
          <w:color w:val="000000" w:themeColor="text1"/>
          <w:sz w:val="22"/>
          <w:szCs w:val="22"/>
        </w:rPr>
        <w:t>compared to US$</w:t>
      </w:r>
      <w:r w:rsidR="00D87AE5">
        <w:rPr>
          <w:rFonts w:asciiTheme="minorHAnsi" w:eastAsiaTheme="minorEastAsia" w:hAnsiTheme="minorHAnsi"/>
          <w:color w:val="000000" w:themeColor="text1"/>
          <w:sz w:val="22"/>
          <w:szCs w:val="22"/>
        </w:rPr>
        <w:t>483.9</w:t>
      </w:r>
      <w:r w:rsidR="00D87AE5" w:rsidRPr="1433DB70">
        <w:rPr>
          <w:rFonts w:asciiTheme="minorHAnsi" w:eastAsiaTheme="minorEastAsia" w:hAnsiTheme="minorHAnsi"/>
          <w:color w:val="000000" w:themeColor="text1"/>
          <w:sz w:val="22"/>
          <w:szCs w:val="22"/>
        </w:rPr>
        <w:t xml:space="preserve"> per year for the conventional practice (based on</w:t>
      </w:r>
      <w:r w:rsidR="00D87AE5">
        <w:rPr>
          <w:rFonts w:asciiTheme="minorHAnsi" w:eastAsiaTheme="minorEastAsia" w:hAnsiTheme="minorHAnsi"/>
          <w:color w:val="000000" w:themeColor="text1"/>
          <w:sz w:val="22"/>
          <w:szCs w:val="22"/>
        </w:rPr>
        <w:t xml:space="preserve"> 67</w:t>
      </w:r>
      <w:r w:rsidR="00D87AE5" w:rsidRPr="1433DB70">
        <w:rPr>
          <w:rFonts w:asciiTheme="minorHAnsi" w:eastAsiaTheme="minorEastAsia" w:hAnsiTheme="minorHAnsi"/>
          <w:color w:val="000000" w:themeColor="text1"/>
          <w:sz w:val="22"/>
          <w:szCs w:val="22"/>
        </w:rPr>
        <w:t xml:space="preserve"> data points from </w:t>
      </w:r>
      <w:r w:rsidR="00D87AE5">
        <w:rPr>
          <w:rFonts w:asciiTheme="minorHAnsi" w:eastAsiaTheme="minorEastAsia" w:hAnsiTheme="minorHAnsi"/>
          <w:color w:val="000000" w:themeColor="text1"/>
          <w:sz w:val="22"/>
          <w:szCs w:val="22"/>
        </w:rPr>
        <w:t xml:space="preserve">35 </w:t>
      </w:r>
      <w:r w:rsidR="00D87AE5" w:rsidRPr="1433DB70">
        <w:rPr>
          <w:rFonts w:asciiTheme="minorHAnsi" w:eastAsiaTheme="minorEastAsia" w:hAnsiTheme="minorHAnsi"/>
          <w:color w:val="000000" w:themeColor="text1"/>
          <w:sz w:val="22"/>
          <w:szCs w:val="22"/>
        </w:rPr>
        <w:t xml:space="preserve">sources). </w:t>
      </w:r>
      <w:r w:rsidR="00D87AE5">
        <w:rPr>
          <w:rFonts w:asciiTheme="minorHAnsi" w:eastAsiaTheme="minorEastAsia" w:hAnsiTheme="minorHAnsi"/>
          <w:color w:val="000000" w:themeColor="text1"/>
          <w:sz w:val="22"/>
          <w:szCs w:val="22"/>
        </w:rPr>
        <w:t>While the operational cost is calculated at US$</w:t>
      </w:r>
      <w:r w:rsidR="00257F14">
        <w:rPr>
          <w:rFonts w:asciiTheme="minorHAnsi" w:eastAsiaTheme="minorEastAsia" w:hAnsiTheme="minorHAnsi"/>
          <w:color w:val="000000" w:themeColor="text1"/>
          <w:sz w:val="22"/>
          <w:szCs w:val="22"/>
        </w:rPr>
        <w:t>614.23</w:t>
      </w:r>
      <w:r w:rsidR="00D87AE5" w:rsidRPr="1433DB70">
        <w:rPr>
          <w:rFonts w:asciiTheme="minorHAnsi" w:eastAsiaTheme="minorEastAsia" w:hAnsiTheme="minorHAnsi"/>
          <w:color w:val="000000" w:themeColor="text1"/>
          <w:sz w:val="22"/>
          <w:szCs w:val="22"/>
        </w:rPr>
        <w:t xml:space="preserve"> </w:t>
      </w:r>
      <w:r w:rsidR="00D87AE5">
        <w:rPr>
          <w:rFonts w:asciiTheme="minorHAnsi" w:eastAsiaTheme="minorEastAsia" w:hAnsiTheme="minorHAnsi"/>
          <w:color w:val="000000" w:themeColor="text1"/>
          <w:sz w:val="22"/>
          <w:szCs w:val="22"/>
        </w:rPr>
        <w:t>per hectare per year for the solution (based on 1</w:t>
      </w:r>
      <w:r w:rsidR="00257F14">
        <w:rPr>
          <w:rFonts w:asciiTheme="minorHAnsi" w:eastAsiaTheme="minorEastAsia" w:hAnsiTheme="minorHAnsi"/>
          <w:color w:val="000000" w:themeColor="text1"/>
          <w:sz w:val="22"/>
          <w:szCs w:val="22"/>
        </w:rPr>
        <w:t>5</w:t>
      </w:r>
      <w:r w:rsidR="00D87AE5">
        <w:rPr>
          <w:rFonts w:asciiTheme="minorHAnsi" w:eastAsiaTheme="minorEastAsia" w:hAnsiTheme="minorHAnsi"/>
          <w:color w:val="000000" w:themeColor="text1"/>
          <w:sz w:val="22"/>
          <w:szCs w:val="22"/>
        </w:rPr>
        <w:t xml:space="preserve"> data points from </w:t>
      </w:r>
      <w:r w:rsidR="00257F14">
        <w:rPr>
          <w:rFonts w:asciiTheme="minorHAnsi" w:eastAsiaTheme="minorEastAsia" w:hAnsiTheme="minorHAnsi"/>
          <w:color w:val="000000" w:themeColor="text1"/>
          <w:sz w:val="22"/>
          <w:szCs w:val="22"/>
        </w:rPr>
        <w:t>3</w:t>
      </w:r>
      <w:r w:rsidR="00D87AE5">
        <w:rPr>
          <w:rFonts w:asciiTheme="minorHAnsi" w:eastAsiaTheme="minorEastAsia" w:hAnsiTheme="minorHAnsi"/>
          <w:color w:val="000000" w:themeColor="text1"/>
          <w:sz w:val="22"/>
          <w:szCs w:val="22"/>
        </w:rPr>
        <w:t xml:space="preserve"> sources), compared to US$</w:t>
      </w:r>
      <w:r w:rsidR="00257F14">
        <w:rPr>
          <w:rFonts w:asciiTheme="minorHAnsi" w:eastAsiaTheme="minorEastAsia" w:hAnsiTheme="minorHAnsi"/>
          <w:color w:val="000000" w:themeColor="text1"/>
          <w:sz w:val="22"/>
          <w:szCs w:val="22"/>
        </w:rPr>
        <w:t>755.95</w:t>
      </w:r>
      <w:r w:rsidR="00D87AE5" w:rsidRPr="1433DB70">
        <w:rPr>
          <w:rFonts w:asciiTheme="minorHAnsi" w:eastAsiaTheme="minorEastAsia" w:hAnsiTheme="minorHAnsi"/>
          <w:color w:val="000000" w:themeColor="text1"/>
          <w:sz w:val="22"/>
          <w:szCs w:val="22"/>
        </w:rPr>
        <w:t xml:space="preserve"> </w:t>
      </w:r>
      <w:r w:rsidR="00D87AE5">
        <w:rPr>
          <w:rFonts w:asciiTheme="minorHAnsi" w:eastAsiaTheme="minorEastAsia" w:hAnsiTheme="minorHAnsi"/>
          <w:color w:val="000000" w:themeColor="text1"/>
          <w:sz w:val="22"/>
          <w:szCs w:val="22"/>
        </w:rPr>
        <w:t xml:space="preserve">per year for the conventional practice (based on the 57 data points from 25 sources). </w:t>
      </w:r>
    </w:p>
    <w:bookmarkEnd w:id="0"/>
    <w:p w14:paraId="2EF33659" w14:textId="77777777" w:rsidR="0008063C" w:rsidRPr="00E624B7" w:rsidRDefault="0008063C" w:rsidP="00D87AE5">
      <w:pPr>
        <w:spacing w:before="120" w:after="240"/>
        <w:rPr>
          <w:rFonts w:asciiTheme="minorHAnsi" w:eastAsiaTheme="minorEastAsia" w:hAnsiTheme="minorHAnsi"/>
          <w:i/>
          <w:color w:val="000000" w:themeColor="text1"/>
          <w:sz w:val="22"/>
          <w:szCs w:val="20"/>
        </w:rPr>
      </w:pPr>
      <w:r>
        <w:rPr>
          <w:rFonts w:asciiTheme="minorHAnsi" w:eastAsiaTheme="minorEastAsia" w:hAnsiTheme="minorHAnsi"/>
          <w:i/>
          <w:color w:val="000000" w:themeColor="text1"/>
          <w:sz w:val="22"/>
          <w:szCs w:val="20"/>
        </w:rPr>
        <w:t>Integration</w:t>
      </w:r>
      <w:r>
        <w:rPr>
          <w:rStyle w:val="EndnoteReference"/>
          <w:rFonts w:asciiTheme="minorHAnsi" w:eastAsiaTheme="minorEastAsia" w:hAnsiTheme="minorHAnsi"/>
          <w:i/>
          <w:color w:val="000000" w:themeColor="text1"/>
          <w:sz w:val="22"/>
          <w:szCs w:val="20"/>
        </w:rPr>
        <w:endnoteReference w:id="4"/>
      </w:r>
    </w:p>
    <w:p w14:paraId="6F44DB79" w14:textId="5214D0E4" w:rsidR="00926949" w:rsidRPr="00C93C8A" w:rsidRDefault="003D270C" w:rsidP="005525AF">
      <w:pPr>
        <w:spacing w:before="120" w:after="240"/>
        <w:rPr>
          <w:rFonts w:asciiTheme="minorHAnsi" w:eastAsiaTheme="minorEastAsia" w:hAnsiTheme="minorHAnsi"/>
          <w:color w:val="000000" w:themeColor="text1"/>
          <w:sz w:val="22"/>
          <w:szCs w:val="22"/>
        </w:rPr>
      </w:pPr>
      <w:r w:rsidRPr="00C93C8A">
        <w:rPr>
          <w:rFonts w:asciiTheme="minorHAnsi" w:eastAsiaTheme="minorEastAsia" w:hAnsiTheme="minorHAnsi"/>
          <w:color w:val="000000" w:themeColor="text1"/>
          <w:sz w:val="22"/>
          <w:szCs w:val="22"/>
        </w:rPr>
        <w:t xml:space="preserve">Drawdown’s </w:t>
      </w:r>
      <w:proofErr w:type="spellStart"/>
      <w:r w:rsidRPr="00C93C8A">
        <w:rPr>
          <w:rFonts w:asciiTheme="minorHAnsi" w:eastAsiaTheme="minorEastAsia" w:hAnsiTheme="minorHAnsi"/>
          <w:color w:val="000000" w:themeColor="text1"/>
          <w:sz w:val="22"/>
          <w:szCs w:val="22"/>
        </w:rPr>
        <w:t>Agro</w:t>
      </w:r>
      <w:proofErr w:type="spellEnd"/>
      <w:r w:rsidRPr="00C93C8A">
        <w:rPr>
          <w:rFonts w:asciiTheme="minorHAnsi" w:eastAsiaTheme="minorEastAsia" w:hAnsiTheme="minorHAnsi"/>
          <w:color w:val="000000" w:themeColor="text1"/>
          <w:sz w:val="22"/>
          <w:szCs w:val="22"/>
        </w:rPr>
        <w:t xml:space="preserve">-Ecological Zone model allocates current and projected adoption of solutions to the planet’s forest, grassland, rainfed cropland, </w:t>
      </w:r>
      <w:r w:rsidR="325067F9" w:rsidRPr="00C93C8A">
        <w:rPr>
          <w:rFonts w:asciiTheme="minorHAnsi" w:eastAsiaTheme="minorEastAsia" w:hAnsiTheme="minorHAnsi"/>
          <w:color w:val="000000" w:themeColor="text1"/>
          <w:sz w:val="22"/>
          <w:szCs w:val="22"/>
        </w:rPr>
        <w:t xml:space="preserve">and </w:t>
      </w:r>
      <w:r w:rsidRPr="00C93C8A">
        <w:rPr>
          <w:rFonts w:asciiTheme="minorHAnsi" w:eastAsiaTheme="minorEastAsia" w:hAnsiTheme="minorHAnsi"/>
          <w:color w:val="000000" w:themeColor="text1"/>
          <w:sz w:val="22"/>
          <w:szCs w:val="22"/>
        </w:rPr>
        <w:t>irrigated cropland</w:t>
      </w:r>
      <w:r w:rsidR="325067F9" w:rsidRPr="00C93C8A">
        <w:rPr>
          <w:rFonts w:asciiTheme="minorHAnsi" w:eastAsiaTheme="minorEastAsia" w:hAnsiTheme="minorHAnsi"/>
          <w:color w:val="000000" w:themeColor="text1"/>
          <w:sz w:val="22"/>
          <w:szCs w:val="22"/>
        </w:rPr>
        <w:t xml:space="preserve"> </w:t>
      </w:r>
      <w:r w:rsidRPr="00C93C8A">
        <w:rPr>
          <w:rFonts w:asciiTheme="minorHAnsi" w:eastAsiaTheme="minorEastAsia" w:hAnsiTheme="minorHAnsi"/>
          <w:color w:val="000000" w:themeColor="text1"/>
          <w:sz w:val="22"/>
          <w:szCs w:val="22"/>
        </w:rPr>
        <w:t xml:space="preserve">areas. </w:t>
      </w:r>
      <w:r w:rsidR="006F4026">
        <w:rPr>
          <w:rFonts w:asciiTheme="minorHAnsi" w:eastAsiaTheme="minorEastAsia" w:hAnsiTheme="minorHAnsi"/>
          <w:color w:val="000000" w:themeColor="text1"/>
          <w:sz w:val="22"/>
          <w:szCs w:val="22"/>
        </w:rPr>
        <w:t>This solution is applied to smallholder croplands on which no other solution is implemented.</w:t>
      </w:r>
    </w:p>
    <w:p w14:paraId="525E5473" w14:textId="2FCEEB6C" w:rsidR="00926949" w:rsidRDefault="00926949" w:rsidP="005525AF">
      <w:pPr>
        <w:spacing w:after="240"/>
        <w:rPr>
          <w:rFonts w:asciiTheme="minorHAnsi" w:eastAsiaTheme="minorEastAsia" w:hAnsiTheme="minorHAnsi"/>
          <w:b/>
          <w:bCs/>
          <w:color w:val="000000" w:themeColor="text1"/>
          <w:sz w:val="22"/>
          <w:szCs w:val="22"/>
        </w:rPr>
      </w:pPr>
      <w:r w:rsidRPr="00C93C8A">
        <w:rPr>
          <w:rFonts w:asciiTheme="minorHAnsi" w:eastAsiaTheme="minorEastAsia" w:hAnsiTheme="minorHAnsi"/>
          <w:b/>
          <w:bCs/>
          <w:color w:val="000000" w:themeColor="text1"/>
          <w:sz w:val="22"/>
          <w:szCs w:val="22"/>
        </w:rPr>
        <w:t>Results</w:t>
      </w:r>
    </w:p>
    <w:p w14:paraId="09C1E469" w14:textId="11E30DB6" w:rsidR="002F1621" w:rsidRDefault="00926949" w:rsidP="002F1621">
      <w:pPr>
        <w:spacing w:after="240"/>
        <w:rPr>
          <w:rFonts w:asciiTheme="minorHAnsi" w:eastAsiaTheme="minorEastAsia" w:hAnsiTheme="minorHAnsi"/>
          <w:color w:val="000000" w:themeColor="text1"/>
          <w:sz w:val="22"/>
          <w:szCs w:val="22"/>
        </w:rPr>
      </w:pPr>
      <w:r w:rsidRPr="00C93C8A">
        <w:rPr>
          <w:rFonts w:asciiTheme="minorHAnsi" w:eastAsiaTheme="minorEastAsia" w:hAnsiTheme="minorHAnsi"/>
          <w:color w:val="000000" w:themeColor="text1"/>
          <w:sz w:val="22"/>
          <w:szCs w:val="22"/>
        </w:rPr>
        <w:t xml:space="preserve">Total adoption in the </w:t>
      </w:r>
      <w:r w:rsidR="5C3DE408" w:rsidRPr="00C93C8A">
        <w:rPr>
          <w:rFonts w:asciiTheme="minorHAnsi" w:eastAsiaTheme="minorEastAsia" w:hAnsiTheme="minorHAnsi"/>
          <w:i/>
          <w:iCs/>
          <w:color w:val="000000" w:themeColor="text1"/>
          <w:sz w:val="22"/>
          <w:szCs w:val="22"/>
        </w:rPr>
        <w:t>Plausible</w:t>
      </w:r>
      <w:r w:rsidRPr="00C93C8A">
        <w:rPr>
          <w:rFonts w:asciiTheme="minorHAnsi" w:eastAsiaTheme="minorEastAsia" w:hAnsiTheme="minorHAnsi"/>
          <w:color w:val="000000" w:themeColor="text1"/>
          <w:sz w:val="22"/>
          <w:szCs w:val="22"/>
        </w:rPr>
        <w:t xml:space="preserve"> </w:t>
      </w:r>
      <w:r w:rsidR="5C3DE408" w:rsidRPr="00C93C8A">
        <w:rPr>
          <w:rFonts w:asciiTheme="minorHAnsi" w:eastAsiaTheme="minorEastAsia" w:hAnsiTheme="minorHAnsi"/>
          <w:color w:val="000000" w:themeColor="text1"/>
          <w:sz w:val="22"/>
          <w:szCs w:val="22"/>
        </w:rPr>
        <w:t>S</w:t>
      </w:r>
      <w:r w:rsidRPr="00C93C8A">
        <w:rPr>
          <w:rFonts w:asciiTheme="minorHAnsi" w:eastAsiaTheme="minorEastAsia" w:hAnsiTheme="minorHAnsi"/>
          <w:color w:val="000000" w:themeColor="text1"/>
          <w:sz w:val="22"/>
          <w:szCs w:val="22"/>
        </w:rPr>
        <w:t xml:space="preserve">cenario is </w:t>
      </w:r>
      <w:r w:rsidR="002F1621">
        <w:rPr>
          <w:rFonts w:asciiTheme="minorHAnsi" w:eastAsiaTheme="minorEastAsia" w:hAnsiTheme="minorHAnsi"/>
          <w:color w:val="000000" w:themeColor="text1"/>
          <w:sz w:val="22"/>
          <w:szCs w:val="22"/>
        </w:rPr>
        <w:t>32.8</w:t>
      </w:r>
      <w:r w:rsidRPr="00C93C8A">
        <w:rPr>
          <w:rFonts w:asciiTheme="minorHAnsi" w:eastAsiaTheme="minorEastAsia" w:hAnsiTheme="minorHAnsi"/>
          <w:color w:val="000000" w:themeColor="text1"/>
          <w:sz w:val="22"/>
          <w:szCs w:val="22"/>
        </w:rPr>
        <w:t xml:space="preserve"> </w:t>
      </w:r>
      <w:r w:rsidR="398FFB6C" w:rsidRPr="00C93C8A">
        <w:rPr>
          <w:rFonts w:asciiTheme="minorHAnsi" w:eastAsiaTheme="minorEastAsia" w:hAnsiTheme="minorHAnsi"/>
          <w:sz w:val="22"/>
          <w:szCs w:val="22"/>
        </w:rPr>
        <w:t>million hectares</w:t>
      </w:r>
      <w:r w:rsidRPr="00C93C8A">
        <w:rPr>
          <w:rFonts w:asciiTheme="minorHAnsi" w:eastAsiaTheme="minorEastAsia" w:hAnsiTheme="minorHAnsi"/>
          <w:color w:val="000000" w:themeColor="text1"/>
          <w:sz w:val="22"/>
          <w:szCs w:val="22"/>
        </w:rPr>
        <w:t xml:space="preserve"> in 2050, representing </w:t>
      </w:r>
      <w:r w:rsidR="002F1621">
        <w:rPr>
          <w:rFonts w:asciiTheme="minorHAnsi" w:eastAsiaTheme="minorEastAsia" w:hAnsiTheme="minorHAnsi"/>
          <w:color w:val="000000" w:themeColor="text1"/>
          <w:sz w:val="22"/>
          <w:szCs w:val="22"/>
        </w:rPr>
        <w:t>86</w:t>
      </w:r>
      <w:r w:rsidR="04186569" w:rsidRPr="00C93C8A">
        <w:rPr>
          <w:rFonts w:asciiTheme="minorHAnsi" w:eastAsiaTheme="minorEastAsia" w:hAnsiTheme="minorHAnsi"/>
          <w:color w:val="000000" w:themeColor="text1"/>
          <w:sz w:val="22"/>
          <w:szCs w:val="22"/>
        </w:rPr>
        <w:t xml:space="preserve"> percent</w:t>
      </w:r>
      <w:r w:rsidRPr="00C93C8A">
        <w:rPr>
          <w:rFonts w:asciiTheme="minorHAnsi" w:eastAsiaTheme="minorEastAsia" w:hAnsiTheme="minorHAnsi"/>
          <w:color w:val="000000" w:themeColor="text1"/>
          <w:sz w:val="22"/>
          <w:szCs w:val="22"/>
        </w:rPr>
        <w:t xml:space="preserve"> of the total suitable land. Of this, </w:t>
      </w:r>
      <w:r w:rsidR="002F1621">
        <w:rPr>
          <w:rFonts w:asciiTheme="minorHAnsi" w:eastAsiaTheme="minorEastAsia" w:hAnsiTheme="minorHAnsi"/>
          <w:color w:val="000000" w:themeColor="text1"/>
          <w:sz w:val="22"/>
          <w:szCs w:val="22"/>
        </w:rPr>
        <w:t>16.3</w:t>
      </w:r>
      <w:r w:rsidRPr="00C93C8A">
        <w:rPr>
          <w:rFonts w:asciiTheme="minorHAnsi" w:eastAsiaTheme="minorEastAsia" w:hAnsiTheme="minorHAnsi"/>
          <w:color w:val="000000" w:themeColor="text1"/>
          <w:sz w:val="22"/>
          <w:szCs w:val="22"/>
        </w:rPr>
        <w:t xml:space="preserve"> </w:t>
      </w:r>
      <w:r w:rsidR="398FFB6C" w:rsidRPr="00C93C8A">
        <w:rPr>
          <w:rFonts w:asciiTheme="minorHAnsi" w:eastAsiaTheme="minorEastAsia" w:hAnsiTheme="minorHAnsi"/>
          <w:sz w:val="22"/>
          <w:szCs w:val="22"/>
        </w:rPr>
        <w:t>million hectares</w:t>
      </w:r>
      <w:r w:rsidRPr="00C93C8A">
        <w:rPr>
          <w:rFonts w:asciiTheme="minorHAnsi" w:eastAsiaTheme="minorEastAsia" w:hAnsiTheme="minorHAnsi"/>
          <w:color w:val="000000" w:themeColor="text1"/>
          <w:sz w:val="22"/>
          <w:szCs w:val="22"/>
        </w:rPr>
        <w:t xml:space="preserve"> are adopted from 20</w:t>
      </w:r>
      <w:r w:rsidR="3A0EE5DB" w:rsidRPr="00C93C8A">
        <w:rPr>
          <w:rFonts w:asciiTheme="minorHAnsi" w:eastAsiaTheme="minorEastAsia" w:hAnsiTheme="minorHAnsi"/>
          <w:color w:val="000000" w:themeColor="text1"/>
          <w:sz w:val="22"/>
          <w:szCs w:val="22"/>
        </w:rPr>
        <w:t>20</w:t>
      </w:r>
      <w:r w:rsidRPr="00C93C8A">
        <w:rPr>
          <w:rFonts w:asciiTheme="minorHAnsi" w:eastAsiaTheme="minorEastAsia" w:hAnsiTheme="minorHAnsi"/>
          <w:color w:val="000000" w:themeColor="text1"/>
          <w:sz w:val="22"/>
          <w:szCs w:val="22"/>
        </w:rPr>
        <w:t xml:space="preserve">-2050. The </w:t>
      </w:r>
      <w:r w:rsidR="71AC86E8" w:rsidRPr="00C93C8A">
        <w:rPr>
          <w:rFonts w:asciiTheme="minorHAnsi" w:eastAsiaTheme="minorEastAsia" w:hAnsiTheme="minorHAnsi"/>
          <w:color w:val="000000" w:themeColor="text1"/>
          <w:sz w:val="22"/>
          <w:szCs w:val="22"/>
        </w:rPr>
        <w:t xml:space="preserve">emissions </w:t>
      </w:r>
      <w:r w:rsidRPr="00C93C8A">
        <w:rPr>
          <w:rFonts w:asciiTheme="minorHAnsi" w:eastAsiaTheme="minorEastAsia" w:hAnsiTheme="minorHAnsi"/>
          <w:color w:val="000000" w:themeColor="text1"/>
          <w:sz w:val="22"/>
          <w:szCs w:val="22"/>
        </w:rPr>
        <w:t xml:space="preserve">impact of this scenario is </w:t>
      </w:r>
      <w:r w:rsidR="002F1621" w:rsidRPr="002F1621">
        <w:rPr>
          <w:rFonts w:asciiTheme="minorHAnsi" w:eastAsiaTheme="minorEastAsia" w:hAnsiTheme="minorHAnsi"/>
          <w:color w:val="000000" w:themeColor="text1"/>
          <w:sz w:val="22"/>
          <w:szCs w:val="22"/>
        </w:rPr>
        <w:t>1.36</w:t>
      </w:r>
      <w:r w:rsidR="2A13D05B" w:rsidRPr="00C93C8A">
        <w:rPr>
          <w:rFonts w:asciiTheme="minorHAnsi" w:eastAsiaTheme="minorEastAsia" w:hAnsiTheme="minorHAnsi"/>
          <w:color w:val="000000" w:themeColor="text1"/>
          <w:sz w:val="22"/>
          <w:szCs w:val="22"/>
        </w:rPr>
        <w:t>gigatons of carbon dioxide</w:t>
      </w:r>
      <w:r w:rsidR="71AC86E8" w:rsidRPr="00C93C8A">
        <w:rPr>
          <w:rFonts w:asciiTheme="minorHAnsi" w:eastAsiaTheme="minorEastAsia" w:hAnsiTheme="minorHAnsi"/>
          <w:color w:val="000000" w:themeColor="text1"/>
          <w:sz w:val="22"/>
          <w:szCs w:val="22"/>
        </w:rPr>
        <w:t>-</w:t>
      </w:r>
      <w:r w:rsidR="2A13D05B" w:rsidRPr="00C93C8A">
        <w:rPr>
          <w:rFonts w:asciiTheme="minorHAnsi" w:eastAsiaTheme="minorEastAsia" w:hAnsiTheme="minorHAnsi"/>
          <w:color w:val="000000" w:themeColor="text1"/>
          <w:sz w:val="22"/>
          <w:szCs w:val="22"/>
        </w:rPr>
        <w:t>equivalent</w:t>
      </w:r>
      <w:r w:rsidRPr="00C93C8A">
        <w:rPr>
          <w:rFonts w:asciiTheme="minorHAnsi" w:eastAsiaTheme="minorEastAsia" w:hAnsiTheme="minorHAnsi"/>
          <w:color w:val="000000" w:themeColor="text1"/>
          <w:sz w:val="22"/>
          <w:szCs w:val="22"/>
        </w:rPr>
        <w:t xml:space="preserve"> </w:t>
      </w:r>
      <w:r w:rsidR="71AC86E8" w:rsidRPr="00C93C8A">
        <w:rPr>
          <w:rFonts w:asciiTheme="minorHAnsi" w:eastAsiaTheme="minorEastAsia" w:hAnsiTheme="minorHAnsi"/>
          <w:color w:val="000000" w:themeColor="text1"/>
          <w:sz w:val="22"/>
          <w:szCs w:val="22"/>
        </w:rPr>
        <w:t xml:space="preserve">reduced </w:t>
      </w:r>
      <w:r w:rsidRPr="00C93C8A">
        <w:rPr>
          <w:rFonts w:asciiTheme="minorHAnsi" w:eastAsiaTheme="minorEastAsia" w:hAnsiTheme="minorHAnsi"/>
          <w:color w:val="000000" w:themeColor="text1"/>
          <w:sz w:val="22"/>
          <w:szCs w:val="22"/>
        </w:rPr>
        <w:t xml:space="preserve">by 2050. </w:t>
      </w:r>
      <w:bookmarkStart w:id="1" w:name="_Hlk31500673"/>
      <w:r w:rsidR="002F1621" w:rsidRPr="00244A83">
        <w:rPr>
          <w:rFonts w:asciiTheme="minorHAnsi" w:eastAsiaTheme="minorEastAsia" w:hAnsiTheme="minorHAnsi"/>
          <w:color w:val="000000" w:themeColor="text1"/>
          <w:sz w:val="22"/>
          <w:szCs w:val="22"/>
        </w:rPr>
        <w:t xml:space="preserve">Net savings </w:t>
      </w:r>
      <w:r w:rsidR="002F1621">
        <w:rPr>
          <w:rFonts w:asciiTheme="minorHAnsi" w:eastAsiaTheme="minorEastAsia" w:hAnsiTheme="minorHAnsi"/>
          <w:color w:val="000000" w:themeColor="text1"/>
          <w:sz w:val="22"/>
          <w:szCs w:val="22"/>
        </w:rPr>
        <w:t>in profit is US$171.05 and in operational cost is</w:t>
      </w:r>
      <w:r w:rsidR="002F1621" w:rsidRPr="00244A83">
        <w:rPr>
          <w:rFonts w:asciiTheme="minorHAnsi" w:eastAsiaTheme="minorEastAsia" w:hAnsiTheme="minorHAnsi"/>
          <w:color w:val="000000" w:themeColor="text1"/>
          <w:sz w:val="22"/>
          <w:szCs w:val="22"/>
        </w:rPr>
        <w:t xml:space="preserve"> US$</w:t>
      </w:r>
      <w:r w:rsidR="00D87AE5">
        <w:rPr>
          <w:rFonts w:asciiTheme="minorHAnsi" w:eastAsiaTheme="minorEastAsia" w:hAnsiTheme="minorHAnsi"/>
          <w:color w:val="000000" w:themeColor="text1"/>
          <w:sz w:val="22"/>
          <w:szCs w:val="22"/>
        </w:rPr>
        <w:t>73.62</w:t>
      </w:r>
      <w:r w:rsidR="002F1621">
        <w:rPr>
          <w:rFonts w:asciiTheme="minorHAnsi" w:eastAsiaTheme="minorEastAsia" w:hAnsiTheme="minorHAnsi"/>
          <w:color w:val="000000" w:themeColor="text1"/>
          <w:sz w:val="22"/>
          <w:szCs w:val="22"/>
        </w:rPr>
        <w:t xml:space="preserve"> </w:t>
      </w:r>
      <w:r w:rsidR="00D87AE5">
        <w:rPr>
          <w:rFonts w:asciiTheme="minorHAnsi" w:eastAsiaTheme="minorEastAsia" w:hAnsiTheme="minorHAnsi"/>
          <w:color w:val="000000" w:themeColor="text1"/>
          <w:sz w:val="22"/>
          <w:szCs w:val="22"/>
        </w:rPr>
        <w:t>billion</w:t>
      </w:r>
      <w:r w:rsidR="002F1621" w:rsidRPr="00244A83">
        <w:rPr>
          <w:rFonts w:asciiTheme="minorHAnsi" w:eastAsiaTheme="minorEastAsia" w:hAnsiTheme="minorHAnsi"/>
          <w:color w:val="000000" w:themeColor="text1"/>
          <w:sz w:val="22"/>
          <w:szCs w:val="22"/>
        </w:rPr>
        <w:t xml:space="preserve">. </w:t>
      </w:r>
    </w:p>
    <w:bookmarkEnd w:id="1"/>
    <w:p w14:paraId="7AEC7A3F" w14:textId="091C7583" w:rsidR="00D87AE5" w:rsidRDefault="00926949" w:rsidP="00D87AE5">
      <w:pPr>
        <w:spacing w:after="240"/>
        <w:rPr>
          <w:rFonts w:asciiTheme="minorHAnsi" w:eastAsiaTheme="minorEastAsia" w:hAnsiTheme="minorHAnsi"/>
          <w:color w:val="000000" w:themeColor="text1"/>
          <w:sz w:val="22"/>
          <w:szCs w:val="22"/>
        </w:rPr>
      </w:pPr>
      <w:r w:rsidRPr="00C93C8A">
        <w:rPr>
          <w:rFonts w:asciiTheme="minorHAnsi" w:eastAsiaTheme="minorEastAsia" w:hAnsiTheme="minorHAnsi"/>
          <w:color w:val="000000" w:themeColor="text1"/>
          <w:sz w:val="22"/>
          <w:szCs w:val="22"/>
        </w:rPr>
        <w:t xml:space="preserve">Total adoption in the </w:t>
      </w:r>
      <w:r w:rsidR="5C3DE408" w:rsidRPr="00C93C8A">
        <w:rPr>
          <w:rFonts w:asciiTheme="minorHAnsi" w:eastAsiaTheme="minorEastAsia" w:hAnsiTheme="minorHAnsi"/>
          <w:i/>
          <w:iCs/>
          <w:color w:val="000000" w:themeColor="text1"/>
          <w:sz w:val="22"/>
          <w:szCs w:val="22"/>
        </w:rPr>
        <w:t>Drawdown</w:t>
      </w:r>
      <w:r w:rsidRPr="00C93C8A">
        <w:rPr>
          <w:rFonts w:asciiTheme="minorHAnsi" w:eastAsiaTheme="minorEastAsia" w:hAnsiTheme="minorHAnsi"/>
          <w:color w:val="000000" w:themeColor="text1"/>
          <w:sz w:val="22"/>
          <w:szCs w:val="22"/>
        </w:rPr>
        <w:t xml:space="preserve"> </w:t>
      </w:r>
      <w:r w:rsidR="5C3DE408" w:rsidRPr="00C93C8A">
        <w:rPr>
          <w:rFonts w:asciiTheme="minorHAnsi" w:eastAsiaTheme="minorEastAsia" w:hAnsiTheme="minorHAnsi"/>
          <w:color w:val="000000" w:themeColor="text1"/>
          <w:sz w:val="22"/>
          <w:szCs w:val="22"/>
        </w:rPr>
        <w:t>S</w:t>
      </w:r>
      <w:r w:rsidRPr="00C93C8A">
        <w:rPr>
          <w:rFonts w:asciiTheme="minorHAnsi" w:eastAsiaTheme="minorEastAsia" w:hAnsiTheme="minorHAnsi"/>
          <w:color w:val="000000" w:themeColor="text1"/>
          <w:sz w:val="22"/>
          <w:szCs w:val="22"/>
        </w:rPr>
        <w:t xml:space="preserve">cenario is </w:t>
      </w:r>
      <w:r w:rsidR="002F1621">
        <w:rPr>
          <w:rFonts w:asciiTheme="minorHAnsi" w:eastAsiaTheme="minorEastAsia" w:hAnsiTheme="minorHAnsi"/>
          <w:color w:val="000000" w:themeColor="text1"/>
          <w:sz w:val="22"/>
          <w:szCs w:val="22"/>
        </w:rPr>
        <w:t>16.3</w:t>
      </w:r>
      <w:r w:rsidRPr="00C93C8A">
        <w:rPr>
          <w:rFonts w:asciiTheme="minorHAnsi" w:eastAsiaTheme="minorEastAsia" w:hAnsiTheme="minorHAnsi"/>
          <w:color w:val="000000" w:themeColor="text1"/>
          <w:sz w:val="22"/>
          <w:szCs w:val="22"/>
        </w:rPr>
        <w:t xml:space="preserve"> </w:t>
      </w:r>
      <w:r w:rsidR="398FFB6C" w:rsidRPr="00C93C8A">
        <w:rPr>
          <w:rFonts w:asciiTheme="minorHAnsi" w:eastAsiaTheme="minorEastAsia" w:hAnsiTheme="minorHAnsi"/>
          <w:sz w:val="22"/>
          <w:szCs w:val="22"/>
        </w:rPr>
        <w:t>million hectares</w:t>
      </w:r>
      <w:r w:rsidRPr="00C93C8A">
        <w:rPr>
          <w:rFonts w:asciiTheme="minorHAnsi" w:eastAsiaTheme="minorEastAsia" w:hAnsiTheme="minorHAnsi"/>
          <w:color w:val="000000" w:themeColor="text1"/>
          <w:sz w:val="22"/>
          <w:szCs w:val="22"/>
        </w:rPr>
        <w:t xml:space="preserve"> in 2050, representing </w:t>
      </w:r>
      <w:r w:rsidR="002F1621">
        <w:rPr>
          <w:rFonts w:asciiTheme="minorHAnsi" w:eastAsiaTheme="minorEastAsia" w:hAnsiTheme="minorHAnsi"/>
          <w:color w:val="000000" w:themeColor="text1"/>
          <w:sz w:val="22"/>
          <w:szCs w:val="22"/>
        </w:rPr>
        <w:t>86</w:t>
      </w:r>
      <w:r w:rsidR="04186569" w:rsidRPr="00C93C8A">
        <w:rPr>
          <w:rFonts w:asciiTheme="minorHAnsi" w:eastAsiaTheme="minorEastAsia" w:hAnsiTheme="minorHAnsi"/>
          <w:color w:val="000000" w:themeColor="text1"/>
          <w:sz w:val="22"/>
          <w:szCs w:val="22"/>
        </w:rPr>
        <w:t xml:space="preserve"> percent</w:t>
      </w:r>
      <w:r w:rsidRPr="00C93C8A">
        <w:rPr>
          <w:rFonts w:asciiTheme="minorHAnsi" w:eastAsiaTheme="minorEastAsia" w:hAnsiTheme="minorHAnsi"/>
          <w:color w:val="000000" w:themeColor="text1"/>
          <w:sz w:val="22"/>
          <w:szCs w:val="22"/>
        </w:rPr>
        <w:t xml:space="preserve"> of the total suitable land. Of this, </w:t>
      </w:r>
      <w:r w:rsidR="002F1621">
        <w:rPr>
          <w:rFonts w:asciiTheme="minorHAnsi" w:eastAsiaTheme="minorEastAsia" w:hAnsiTheme="minorHAnsi"/>
          <w:color w:val="000000" w:themeColor="text1"/>
          <w:sz w:val="22"/>
          <w:szCs w:val="22"/>
        </w:rPr>
        <w:t>16.3</w:t>
      </w:r>
      <w:r w:rsidRPr="00C93C8A">
        <w:rPr>
          <w:rFonts w:asciiTheme="minorHAnsi" w:eastAsiaTheme="minorEastAsia" w:hAnsiTheme="minorHAnsi"/>
          <w:color w:val="000000" w:themeColor="text1"/>
          <w:sz w:val="22"/>
          <w:szCs w:val="22"/>
        </w:rPr>
        <w:t xml:space="preserve"> </w:t>
      </w:r>
      <w:r w:rsidR="398FFB6C" w:rsidRPr="00C93C8A">
        <w:rPr>
          <w:rFonts w:asciiTheme="minorHAnsi" w:eastAsiaTheme="minorEastAsia" w:hAnsiTheme="minorHAnsi"/>
          <w:sz w:val="22"/>
          <w:szCs w:val="22"/>
        </w:rPr>
        <w:t>million hectares</w:t>
      </w:r>
      <w:r w:rsidRPr="00C93C8A">
        <w:rPr>
          <w:rFonts w:asciiTheme="minorHAnsi" w:eastAsiaTheme="minorEastAsia" w:hAnsiTheme="minorHAnsi"/>
          <w:color w:val="000000" w:themeColor="text1"/>
          <w:sz w:val="22"/>
          <w:szCs w:val="22"/>
        </w:rPr>
        <w:t xml:space="preserve"> are adopted from 20</w:t>
      </w:r>
      <w:r w:rsidR="3A0EE5DB" w:rsidRPr="00C93C8A">
        <w:rPr>
          <w:rFonts w:asciiTheme="minorHAnsi" w:eastAsiaTheme="minorEastAsia" w:hAnsiTheme="minorHAnsi"/>
          <w:color w:val="000000" w:themeColor="text1"/>
          <w:sz w:val="22"/>
          <w:szCs w:val="22"/>
        </w:rPr>
        <w:t>20</w:t>
      </w:r>
      <w:r w:rsidRPr="00C93C8A">
        <w:rPr>
          <w:rFonts w:asciiTheme="minorHAnsi" w:eastAsiaTheme="minorEastAsia" w:hAnsiTheme="minorHAnsi"/>
          <w:color w:val="000000" w:themeColor="text1"/>
          <w:sz w:val="22"/>
          <w:szCs w:val="22"/>
        </w:rPr>
        <w:t xml:space="preserve">-2050. The impact of this scenario is </w:t>
      </w:r>
      <w:r w:rsidR="002F1621" w:rsidRPr="002F1621">
        <w:rPr>
          <w:rFonts w:asciiTheme="minorHAnsi" w:eastAsiaTheme="minorEastAsia" w:hAnsiTheme="minorHAnsi"/>
          <w:color w:val="000000" w:themeColor="text1"/>
          <w:sz w:val="22"/>
          <w:szCs w:val="22"/>
        </w:rPr>
        <w:t xml:space="preserve">0.68 </w:t>
      </w:r>
      <w:r w:rsidR="2A13D05B" w:rsidRPr="00C93C8A">
        <w:rPr>
          <w:rFonts w:asciiTheme="minorHAnsi" w:eastAsiaTheme="minorEastAsia" w:hAnsiTheme="minorHAnsi"/>
          <w:color w:val="000000" w:themeColor="text1"/>
          <w:sz w:val="22"/>
          <w:szCs w:val="22"/>
        </w:rPr>
        <w:t>gigatons of carbon dioxide</w:t>
      </w:r>
      <w:r w:rsidR="1DFA96B8" w:rsidRPr="00C93C8A">
        <w:rPr>
          <w:rFonts w:asciiTheme="minorHAnsi" w:eastAsiaTheme="minorEastAsia" w:hAnsiTheme="minorHAnsi"/>
          <w:color w:val="000000" w:themeColor="text1"/>
          <w:sz w:val="22"/>
          <w:szCs w:val="22"/>
        </w:rPr>
        <w:t>-</w:t>
      </w:r>
      <w:r w:rsidR="2A13D05B" w:rsidRPr="00C93C8A">
        <w:rPr>
          <w:rFonts w:asciiTheme="minorHAnsi" w:eastAsiaTheme="minorEastAsia" w:hAnsiTheme="minorHAnsi"/>
          <w:color w:val="000000" w:themeColor="text1"/>
          <w:sz w:val="22"/>
          <w:szCs w:val="22"/>
        </w:rPr>
        <w:t>equivalent</w:t>
      </w:r>
      <w:r w:rsidRPr="00C93C8A">
        <w:rPr>
          <w:rFonts w:asciiTheme="minorHAnsi" w:eastAsiaTheme="minorEastAsia" w:hAnsiTheme="minorHAnsi"/>
          <w:color w:val="000000" w:themeColor="text1"/>
          <w:sz w:val="22"/>
          <w:szCs w:val="22"/>
        </w:rPr>
        <w:t xml:space="preserve"> by 2050. </w:t>
      </w:r>
      <w:r w:rsidR="00D87AE5" w:rsidRPr="00244A83">
        <w:rPr>
          <w:rFonts w:asciiTheme="minorHAnsi" w:eastAsiaTheme="minorEastAsia" w:hAnsiTheme="minorHAnsi"/>
          <w:color w:val="000000" w:themeColor="text1"/>
          <w:sz w:val="22"/>
          <w:szCs w:val="22"/>
        </w:rPr>
        <w:t xml:space="preserve">Net savings </w:t>
      </w:r>
      <w:r w:rsidR="00D87AE5">
        <w:rPr>
          <w:rFonts w:asciiTheme="minorHAnsi" w:eastAsiaTheme="minorEastAsia" w:hAnsiTheme="minorHAnsi"/>
          <w:color w:val="000000" w:themeColor="text1"/>
          <w:sz w:val="22"/>
          <w:szCs w:val="22"/>
        </w:rPr>
        <w:t>in profit is US$344.64 and in lifetime operational cost is</w:t>
      </w:r>
      <w:r w:rsidR="00D87AE5" w:rsidRPr="00244A83">
        <w:rPr>
          <w:rFonts w:asciiTheme="minorHAnsi" w:eastAsiaTheme="minorEastAsia" w:hAnsiTheme="minorHAnsi"/>
          <w:color w:val="000000" w:themeColor="text1"/>
          <w:sz w:val="22"/>
          <w:szCs w:val="22"/>
        </w:rPr>
        <w:t xml:space="preserve"> US$</w:t>
      </w:r>
      <w:r w:rsidR="00D87AE5">
        <w:rPr>
          <w:rFonts w:asciiTheme="minorHAnsi" w:eastAsiaTheme="minorEastAsia" w:hAnsiTheme="minorHAnsi"/>
          <w:color w:val="000000" w:themeColor="text1"/>
          <w:sz w:val="22"/>
          <w:szCs w:val="22"/>
        </w:rPr>
        <w:t>148.35 billion</w:t>
      </w:r>
      <w:r w:rsidR="00D87AE5" w:rsidRPr="00244A83">
        <w:rPr>
          <w:rFonts w:asciiTheme="minorHAnsi" w:eastAsiaTheme="minorEastAsia" w:hAnsiTheme="minorHAnsi"/>
          <w:color w:val="000000" w:themeColor="text1"/>
          <w:sz w:val="22"/>
          <w:szCs w:val="22"/>
        </w:rPr>
        <w:t xml:space="preserve">. </w:t>
      </w:r>
    </w:p>
    <w:p w14:paraId="291451C1" w14:textId="5D1AC45D" w:rsidR="00926949" w:rsidRPr="00C93C8A" w:rsidRDefault="00926949" w:rsidP="005525AF">
      <w:pPr>
        <w:spacing w:after="240"/>
        <w:rPr>
          <w:rFonts w:asciiTheme="minorHAnsi" w:eastAsiaTheme="minorEastAsia" w:hAnsiTheme="minorHAnsi"/>
          <w:color w:val="000000" w:themeColor="text1"/>
          <w:sz w:val="22"/>
          <w:szCs w:val="22"/>
        </w:rPr>
      </w:pPr>
    </w:p>
    <w:p w14:paraId="00662269" w14:textId="5FB05E64" w:rsidR="00896408" w:rsidRPr="00C93C8A" w:rsidRDefault="00BC4CE6" w:rsidP="005525AF">
      <w:pPr>
        <w:spacing w:before="120" w:after="240"/>
        <w:rPr>
          <w:rFonts w:asciiTheme="minorHAnsi" w:eastAsiaTheme="minorEastAsia" w:hAnsiTheme="minorHAnsi"/>
          <w:b/>
          <w:bCs/>
          <w:i/>
          <w:iCs/>
          <w:sz w:val="22"/>
          <w:szCs w:val="22"/>
        </w:rPr>
      </w:pPr>
      <w:r w:rsidRPr="00C93C8A">
        <w:rPr>
          <w:rFonts w:asciiTheme="minorHAnsi" w:eastAsiaTheme="minorEastAsia" w:hAnsiTheme="minorHAnsi"/>
          <w:b/>
          <w:bCs/>
          <w:sz w:val="22"/>
          <w:szCs w:val="22"/>
        </w:rPr>
        <w:t>Discussion</w:t>
      </w:r>
    </w:p>
    <w:p w14:paraId="1563C30F" w14:textId="77777777" w:rsidR="0008063C" w:rsidRDefault="0008063C" w:rsidP="005525AF">
      <w:pPr>
        <w:spacing w:before="120" w:after="240"/>
        <w:rPr>
          <w:rFonts w:asciiTheme="minorHAnsi" w:eastAsiaTheme="minorEastAsia" w:hAnsiTheme="minorHAnsi"/>
          <w:i/>
          <w:sz w:val="22"/>
          <w:szCs w:val="22"/>
        </w:rPr>
      </w:pPr>
      <w:r>
        <w:rPr>
          <w:rFonts w:asciiTheme="minorHAnsi" w:eastAsiaTheme="minorEastAsia" w:hAnsiTheme="minorHAnsi"/>
          <w:i/>
          <w:sz w:val="22"/>
          <w:szCs w:val="22"/>
        </w:rPr>
        <w:t>Benchmarks</w:t>
      </w:r>
    </w:p>
    <w:p w14:paraId="61242D05" w14:textId="06AB338E" w:rsidR="00A06D46" w:rsidRPr="00C93C8A" w:rsidRDefault="00A06D46" w:rsidP="005525AF">
      <w:pPr>
        <w:spacing w:before="120" w:after="240"/>
        <w:rPr>
          <w:rFonts w:asciiTheme="minorHAnsi" w:eastAsiaTheme="minorEastAsia" w:hAnsiTheme="minorHAnsi"/>
          <w:sz w:val="22"/>
          <w:szCs w:val="22"/>
        </w:rPr>
      </w:pPr>
      <w:r w:rsidRPr="00C93C8A">
        <w:rPr>
          <w:rFonts w:asciiTheme="minorHAnsi" w:eastAsiaTheme="minorEastAsia" w:hAnsiTheme="minorHAnsi"/>
          <w:sz w:val="22"/>
          <w:szCs w:val="22"/>
        </w:rPr>
        <w:t>Climate impact benchmarks for this solution are unavailable.</w:t>
      </w:r>
      <w:r w:rsidR="00540546" w:rsidRPr="00C93C8A">
        <w:rPr>
          <w:rFonts w:asciiTheme="minorHAnsi" w:eastAsiaTheme="minorEastAsia" w:hAnsiTheme="minorHAnsi"/>
          <w:sz w:val="22"/>
          <w:szCs w:val="22"/>
        </w:rPr>
        <w:t xml:space="preserve"> </w:t>
      </w:r>
      <w:r w:rsidR="00C437A4" w:rsidRPr="00C93C8A">
        <w:rPr>
          <w:rFonts w:asciiTheme="minorHAnsi" w:eastAsiaTheme="minorEastAsia" w:hAnsiTheme="minorHAnsi"/>
          <w:sz w:val="22"/>
          <w:szCs w:val="22"/>
        </w:rPr>
        <w:t xml:space="preserve">A </w:t>
      </w:r>
      <w:proofErr w:type="gramStart"/>
      <w:r w:rsidR="00C437A4" w:rsidRPr="00C93C8A">
        <w:rPr>
          <w:rFonts w:asciiTheme="minorHAnsi" w:eastAsiaTheme="minorEastAsia" w:hAnsiTheme="minorHAnsi"/>
          <w:sz w:val="22"/>
          <w:szCs w:val="22"/>
        </w:rPr>
        <w:t>highly-cited</w:t>
      </w:r>
      <w:proofErr w:type="gramEnd"/>
      <w:r w:rsidR="00C437A4" w:rsidRPr="00C93C8A">
        <w:rPr>
          <w:rFonts w:asciiTheme="minorHAnsi" w:eastAsiaTheme="minorEastAsia" w:hAnsiTheme="minorHAnsi"/>
          <w:sz w:val="22"/>
          <w:szCs w:val="22"/>
        </w:rPr>
        <w:t xml:space="preserve"> paper reports that agricultural intensification in general (all farm sizes, all genders, worldwide) can reduce emissions </w:t>
      </w:r>
      <w:r w:rsidR="07D44CD5" w:rsidRPr="00C93C8A">
        <w:rPr>
          <w:rFonts w:asciiTheme="minorHAnsi" w:eastAsiaTheme="minorEastAsia" w:hAnsiTheme="minorHAnsi"/>
          <w:sz w:val="22"/>
          <w:szCs w:val="22"/>
        </w:rPr>
        <w:t xml:space="preserve">by a </w:t>
      </w:r>
      <w:r w:rsidR="00C437A4" w:rsidRPr="00C93C8A">
        <w:rPr>
          <w:rFonts w:asciiTheme="minorHAnsi" w:eastAsiaTheme="minorEastAsia" w:hAnsiTheme="minorHAnsi"/>
          <w:sz w:val="22"/>
          <w:szCs w:val="22"/>
        </w:rPr>
        <w:t>total</w:t>
      </w:r>
      <w:r w:rsidR="07D44CD5" w:rsidRPr="00C93C8A">
        <w:rPr>
          <w:rFonts w:asciiTheme="minorHAnsi" w:eastAsiaTheme="minorEastAsia" w:hAnsiTheme="minorHAnsi"/>
          <w:sz w:val="22"/>
          <w:szCs w:val="22"/>
        </w:rPr>
        <w:t xml:space="preserve"> of</w:t>
      </w:r>
      <w:r w:rsidR="00C437A4" w:rsidRPr="00C93C8A">
        <w:rPr>
          <w:rFonts w:asciiTheme="minorHAnsi" w:eastAsiaTheme="minorEastAsia" w:hAnsiTheme="minorHAnsi"/>
          <w:sz w:val="22"/>
          <w:szCs w:val="22"/>
        </w:rPr>
        <w:t xml:space="preserve"> 3.6 </w:t>
      </w:r>
      <w:r w:rsidR="710FF345" w:rsidRPr="00C93C8A">
        <w:rPr>
          <w:rFonts w:asciiTheme="minorHAnsi" w:eastAsiaTheme="minorEastAsia" w:hAnsiTheme="minorHAnsi"/>
          <w:color w:val="000000" w:themeColor="text1"/>
          <w:sz w:val="22"/>
          <w:szCs w:val="22"/>
        </w:rPr>
        <w:t>gigatons of carbon dioxide</w:t>
      </w:r>
      <w:r w:rsidR="07D44CD5" w:rsidRPr="00C93C8A">
        <w:rPr>
          <w:rFonts w:asciiTheme="minorHAnsi" w:eastAsiaTheme="minorEastAsia" w:hAnsiTheme="minorHAnsi"/>
          <w:color w:val="000000" w:themeColor="text1"/>
          <w:sz w:val="22"/>
          <w:szCs w:val="22"/>
        </w:rPr>
        <w:t>-</w:t>
      </w:r>
      <w:r w:rsidR="710FF345" w:rsidRPr="00C93C8A">
        <w:rPr>
          <w:rFonts w:asciiTheme="minorHAnsi" w:eastAsiaTheme="minorEastAsia" w:hAnsiTheme="minorHAnsi"/>
          <w:color w:val="000000" w:themeColor="text1"/>
          <w:sz w:val="22"/>
          <w:szCs w:val="22"/>
        </w:rPr>
        <w:t>equivalent per year</w:t>
      </w:r>
      <w:r w:rsidR="1E609742" w:rsidRPr="00C93C8A">
        <w:rPr>
          <w:rFonts w:asciiTheme="minorHAnsi" w:eastAsiaTheme="minorEastAsia" w:hAnsiTheme="minorHAnsi"/>
          <w:color w:val="000000" w:themeColor="text1"/>
          <w:sz w:val="22"/>
          <w:szCs w:val="22"/>
        </w:rPr>
        <w:t xml:space="preserve"> </w:t>
      </w:r>
      <w:r w:rsidR="7D04E92F" w:rsidRPr="00C93C8A">
        <w:rPr>
          <w:rFonts w:asciiTheme="minorHAnsi" w:eastAsiaTheme="minorEastAsia" w:hAnsiTheme="minorHAnsi"/>
          <w:sz w:val="22"/>
          <w:szCs w:val="22"/>
        </w:rPr>
        <w:t>(Burney et al</w:t>
      </w:r>
      <w:r w:rsidR="07D44CD5" w:rsidRPr="00C93C8A">
        <w:rPr>
          <w:rFonts w:asciiTheme="minorHAnsi" w:eastAsiaTheme="minorEastAsia" w:hAnsiTheme="minorHAnsi"/>
          <w:sz w:val="22"/>
          <w:szCs w:val="22"/>
        </w:rPr>
        <w:t>,</w:t>
      </w:r>
      <w:r w:rsidR="7D04E92F" w:rsidRPr="00C93C8A">
        <w:rPr>
          <w:rFonts w:asciiTheme="minorHAnsi" w:eastAsiaTheme="minorEastAsia" w:hAnsiTheme="minorHAnsi"/>
          <w:sz w:val="22"/>
          <w:szCs w:val="22"/>
        </w:rPr>
        <w:t xml:space="preserve"> 2010)</w:t>
      </w:r>
      <w:r w:rsidR="00C437A4" w:rsidRPr="00C93C8A">
        <w:rPr>
          <w:rFonts w:asciiTheme="minorHAnsi" w:eastAsiaTheme="minorEastAsia" w:hAnsiTheme="minorHAnsi"/>
          <w:sz w:val="22"/>
          <w:szCs w:val="22"/>
        </w:rPr>
        <w:t>.</w:t>
      </w:r>
      <w:r w:rsidR="7474AEC9" w:rsidRPr="00C93C8A">
        <w:rPr>
          <w:rFonts w:asciiTheme="minorHAnsi" w:eastAsiaTheme="minorEastAsia" w:hAnsiTheme="minorHAnsi"/>
          <w:sz w:val="22"/>
          <w:szCs w:val="22"/>
        </w:rPr>
        <w:t xml:space="preserve"> </w:t>
      </w:r>
    </w:p>
    <w:p w14:paraId="189006DB" w14:textId="77777777" w:rsidR="0008063C" w:rsidRDefault="0008063C" w:rsidP="005525AF">
      <w:pPr>
        <w:spacing w:before="120" w:after="240"/>
        <w:rPr>
          <w:rFonts w:asciiTheme="minorHAnsi" w:eastAsiaTheme="minorEastAsia" w:hAnsiTheme="minorHAnsi"/>
          <w:i/>
          <w:sz w:val="22"/>
          <w:szCs w:val="22"/>
        </w:rPr>
      </w:pPr>
      <w:r>
        <w:rPr>
          <w:rFonts w:asciiTheme="minorHAnsi" w:eastAsiaTheme="minorEastAsia" w:hAnsiTheme="minorHAnsi"/>
          <w:i/>
          <w:sz w:val="22"/>
          <w:szCs w:val="22"/>
        </w:rPr>
        <w:t>Limitations</w:t>
      </w:r>
    </w:p>
    <w:p w14:paraId="4C4025AA" w14:textId="6863C41E" w:rsidR="00896408" w:rsidRPr="00C93C8A" w:rsidRDefault="00896408" w:rsidP="005525AF">
      <w:pPr>
        <w:spacing w:before="120" w:after="240"/>
        <w:rPr>
          <w:rFonts w:asciiTheme="minorHAnsi" w:eastAsiaTheme="minorEastAsia" w:hAnsiTheme="minorHAnsi"/>
          <w:sz w:val="22"/>
          <w:szCs w:val="22"/>
        </w:rPr>
      </w:pPr>
      <w:r w:rsidRPr="00C93C8A">
        <w:rPr>
          <w:rFonts w:asciiTheme="minorHAnsi" w:eastAsiaTheme="minorEastAsia" w:hAnsiTheme="minorHAnsi"/>
          <w:sz w:val="22"/>
          <w:szCs w:val="22"/>
        </w:rPr>
        <w:t>Data on current and projected adoption</w:t>
      </w:r>
      <w:r w:rsidR="00F30380" w:rsidRPr="00C93C8A">
        <w:rPr>
          <w:rFonts w:asciiTheme="minorHAnsi" w:eastAsiaTheme="minorEastAsia" w:hAnsiTheme="minorHAnsi"/>
          <w:sz w:val="22"/>
          <w:szCs w:val="22"/>
        </w:rPr>
        <w:t>, financials, and emissions reduction</w:t>
      </w:r>
      <w:r w:rsidRPr="00C93C8A">
        <w:rPr>
          <w:rFonts w:asciiTheme="minorHAnsi" w:eastAsiaTheme="minorEastAsia" w:hAnsiTheme="minorHAnsi"/>
          <w:sz w:val="22"/>
          <w:szCs w:val="22"/>
        </w:rPr>
        <w:t xml:space="preserve"> is extremely limited. Additional data</w:t>
      </w:r>
      <w:r w:rsidR="77361922" w:rsidRPr="00C93C8A">
        <w:rPr>
          <w:rFonts w:asciiTheme="minorHAnsi" w:eastAsiaTheme="minorEastAsia" w:hAnsiTheme="minorHAnsi"/>
          <w:sz w:val="22"/>
          <w:szCs w:val="22"/>
        </w:rPr>
        <w:t xml:space="preserve"> would improve this study,</w:t>
      </w:r>
      <w:r w:rsidRPr="00C93C8A">
        <w:rPr>
          <w:rFonts w:asciiTheme="minorHAnsi" w:eastAsiaTheme="minorEastAsia" w:hAnsiTheme="minorHAnsi"/>
          <w:sz w:val="22"/>
          <w:szCs w:val="22"/>
        </w:rPr>
        <w:t xml:space="preserve"> should it become ava</w:t>
      </w:r>
      <w:r w:rsidR="0026215C" w:rsidRPr="00C93C8A">
        <w:rPr>
          <w:rFonts w:asciiTheme="minorHAnsi" w:eastAsiaTheme="minorEastAsia" w:hAnsiTheme="minorHAnsi"/>
          <w:sz w:val="22"/>
          <w:szCs w:val="22"/>
        </w:rPr>
        <w:t>ilable.</w:t>
      </w:r>
      <w:r w:rsidR="00F30380" w:rsidRPr="00C93C8A">
        <w:rPr>
          <w:rFonts w:asciiTheme="minorHAnsi" w:eastAsiaTheme="minorEastAsia" w:hAnsiTheme="minorHAnsi"/>
          <w:sz w:val="22"/>
          <w:szCs w:val="22"/>
        </w:rPr>
        <w:t xml:space="preserve"> </w:t>
      </w:r>
    </w:p>
    <w:p w14:paraId="56679474" w14:textId="77777777" w:rsidR="0008063C" w:rsidRDefault="0008063C" w:rsidP="005525AF">
      <w:pPr>
        <w:spacing w:before="120" w:after="240"/>
        <w:rPr>
          <w:rFonts w:asciiTheme="minorHAnsi" w:eastAsiaTheme="minorEastAsia" w:hAnsiTheme="minorHAnsi"/>
          <w:i/>
          <w:sz w:val="22"/>
          <w:szCs w:val="22"/>
        </w:rPr>
      </w:pPr>
      <w:r>
        <w:rPr>
          <w:rFonts w:asciiTheme="minorHAnsi" w:eastAsiaTheme="minorEastAsia" w:hAnsiTheme="minorHAnsi"/>
          <w:i/>
          <w:sz w:val="22"/>
          <w:szCs w:val="22"/>
        </w:rPr>
        <w:t>Conclusions</w:t>
      </w:r>
    </w:p>
    <w:p w14:paraId="316C5E7D" w14:textId="38103566" w:rsidR="19DCD138" w:rsidRPr="00C93C8A" w:rsidRDefault="134B2081" w:rsidP="005525AF">
      <w:pPr>
        <w:spacing w:before="120" w:after="240"/>
        <w:rPr>
          <w:rFonts w:asciiTheme="minorHAnsi" w:eastAsiaTheme="minorEastAsia" w:hAnsiTheme="minorHAnsi"/>
          <w:sz w:val="20"/>
          <w:szCs w:val="20"/>
        </w:rPr>
      </w:pPr>
      <w:r w:rsidRPr="00C93C8A">
        <w:rPr>
          <w:rFonts w:asciiTheme="minorHAnsi" w:eastAsiaTheme="minorEastAsia" w:hAnsiTheme="minorHAnsi"/>
          <w:sz w:val="22"/>
          <w:szCs w:val="22"/>
        </w:rPr>
        <w:lastRenderedPageBreak/>
        <w:t xml:space="preserve">Bringing resource access for </w:t>
      </w:r>
      <w:r w:rsidR="00553155">
        <w:rPr>
          <w:rFonts w:asciiTheme="minorHAnsi" w:eastAsiaTheme="minorEastAsia" w:hAnsiTheme="minorHAnsi"/>
          <w:sz w:val="22"/>
          <w:szCs w:val="22"/>
        </w:rPr>
        <w:t>sustainable intensification for smallholders</w:t>
      </w:r>
      <w:r w:rsidRPr="00C93C8A">
        <w:rPr>
          <w:rFonts w:asciiTheme="minorHAnsi" w:eastAsiaTheme="minorEastAsia" w:hAnsiTheme="minorHAnsi"/>
          <w:sz w:val="22"/>
          <w:szCs w:val="22"/>
        </w:rPr>
        <w:t xml:space="preserve"> to </w:t>
      </w:r>
      <w:r w:rsidR="77361922" w:rsidRPr="00C93C8A">
        <w:rPr>
          <w:rFonts w:asciiTheme="minorHAnsi" w:eastAsiaTheme="minorEastAsia" w:hAnsiTheme="minorHAnsi"/>
          <w:sz w:val="22"/>
          <w:szCs w:val="22"/>
        </w:rPr>
        <w:t>a level equal to</w:t>
      </w:r>
      <w:r w:rsidRPr="00C93C8A">
        <w:rPr>
          <w:rFonts w:asciiTheme="minorHAnsi" w:eastAsiaTheme="minorEastAsia" w:hAnsiTheme="minorHAnsi"/>
          <w:sz w:val="22"/>
          <w:szCs w:val="22"/>
        </w:rPr>
        <w:t xml:space="preserve"> men offers substantial emissions reductions due to avoided deforestation. It also offers co-benefits of </w:t>
      </w:r>
      <w:r w:rsidR="291AEB85" w:rsidRPr="00C93C8A">
        <w:rPr>
          <w:rFonts w:asciiTheme="minorHAnsi" w:eastAsiaTheme="minorEastAsia" w:hAnsiTheme="minorHAnsi"/>
          <w:sz w:val="22"/>
          <w:szCs w:val="22"/>
        </w:rPr>
        <w:t>human rights and food security. This strategy should be a</w:t>
      </w:r>
      <w:r w:rsidR="6B9D3E30" w:rsidRPr="00C93C8A">
        <w:rPr>
          <w:rFonts w:asciiTheme="minorHAnsi" w:eastAsiaTheme="minorEastAsia" w:hAnsiTheme="minorHAnsi"/>
          <w:sz w:val="22"/>
          <w:szCs w:val="22"/>
        </w:rPr>
        <w:t>n important</w:t>
      </w:r>
      <w:r w:rsidR="291AEB85" w:rsidRPr="00C93C8A">
        <w:rPr>
          <w:rFonts w:asciiTheme="minorHAnsi" w:eastAsiaTheme="minorEastAsia" w:hAnsiTheme="minorHAnsi"/>
          <w:sz w:val="22"/>
          <w:szCs w:val="22"/>
        </w:rPr>
        <w:t xml:space="preserve"> component of land-based mitigation efforts.</w:t>
      </w:r>
    </w:p>
    <w:sectPr w:rsidR="19DCD138" w:rsidRPr="00C93C8A" w:rsidSect="00C93C8A">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6EDFB" w14:textId="77777777" w:rsidR="00ED0F1E" w:rsidRDefault="00ED0F1E" w:rsidP="006C605B">
      <w:r>
        <w:separator/>
      </w:r>
    </w:p>
  </w:endnote>
  <w:endnote w:type="continuationSeparator" w:id="0">
    <w:p w14:paraId="2B3E2F56" w14:textId="77777777" w:rsidR="00ED0F1E" w:rsidRDefault="00ED0F1E" w:rsidP="006C605B">
      <w:r>
        <w:continuationSeparator/>
      </w:r>
    </w:p>
  </w:endnote>
  <w:endnote w:id="1">
    <w:p w14:paraId="6B75614E" w14:textId="77777777" w:rsidR="006F4026" w:rsidRPr="0008063C" w:rsidRDefault="006F4026" w:rsidP="0008063C">
      <w:pPr>
        <w:rPr>
          <w:rFonts w:asciiTheme="minorHAnsi" w:eastAsiaTheme="minorEastAsia" w:hAnsiTheme="minorHAnsi"/>
          <w:color w:val="000000" w:themeColor="text1"/>
          <w:sz w:val="18"/>
          <w:szCs w:val="18"/>
        </w:rPr>
      </w:pPr>
      <w:r w:rsidRPr="0008063C">
        <w:rPr>
          <w:rStyle w:val="EndnoteReference"/>
          <w:rFonts w:asciiTheme="minorHAnsi" w:hAnsiTheme="minorHAnsi"/>
          <w:sz w:val="18"/>
          <w:szCs w:val="18"/>
        </w:rPr>
        <w:endnoteRef/>
      </w:r>
      <w:r w:rsidRPr="0008063C">
        <w:rPr>
          <w:rFonts w:asciiTheme="minorHAnsi" w:hAnsiTheme="minorHAnsi"/>
          <w:sz w:val="18"/>
          <w:szCs w:val="18"/>
        </w:rPr>
        <w:t xml:space="preserve"> </w:t>
      </w:r>
      <w:r w:rsidRPr="0008063C">
        <w:rPr>
          <w:rFonts w:asciiTheme="minorHAnsi" w:eastAsia="Times New Roman" w:hAnsiTheme="minorHAnsi" w:cs="Arial"/>
          <w:color w:val="222222"/>
          <w:sz w:val="18"/>
          <w:szCs w:val="18"/>
          <w:shd w:val="clear" w:color="auto" w:fill="FFFFFF"/>
        </w:rPr>
        <w:t xml:space="preserve">To learn more about the Total Land Area for the Land Use Sector, click the </w:t>
      </w:r>
      <w:r w:rsidRPr="0008063C">
        <w:rPr>
          <w:rFonts w:asciiTheme="minorHAnsi" w:eastAsia="Times New Roman" w:hAnsiTheme="minorHAnsi" w:cs="Arial"/>
          <w:b/>
          <w:color w:val="222222"/>
          <w:sz w:val="18"/>
          <w:szCs w:val="18"/>
          <w:shd w:val="clear" w:color="auto" w:fill="FFFFFF"/>
        </w:rPr>
        <w:t>Sector Summary: Land Use</w:t>
      </w:r>
      <w:r w:rsidRPr="0008063C">
        <w:rPr>
          <w:rFonts w:asciiTheme="minorHAnsi" w:eastAsia="Times New Roman" w:hAnsiTheme="minorHAnsi" w:cs="Arial"/>
          <w:color w:val="222222"/>
          <w:sz w:val="18"/>
          <w:szCs w:val="18"/>
          <w:shd w:val="clear" w:color="auto" w:fill="FFFFFF"/>
        </w:rPr>
        <w:t xml:space="preserve"> link below.</w:t>
      </w:r>
    </w:p>
  </w:endnote>
  <w:endnote w:id="2">
    <w:p w14:paraId="2CD41720" w14:textId="77777777" w:rsidR="006F4026" w:rsidRPr="0008063C" w:rsidRDefault="006F4026" w:rsidP="0008063C">
      <w:pPr>
        <w:rPr>
          <w:rFonts w:asciiTheme="minorHAnsi" w:eastAsia="Times New Roman" w:hAnsiTheme="minorHAnsi" w:cs="Arial"/>
          <w:color w:val="222222"/>
          <w:sz w:val="18"/>
          <w:szCs w:val="18"/>
          <w:shd w:val="clear" w:color="auto" w:fill="FFFFFF"/>
        </w:rPr>
      </w:pPr>
      <w:r w:rsidRPr="0008063C">
        <w:rPr>
          <w:rStyle w:val="EndnoteReference"/>
          <w:rFonts w:asciiTheme="minorHAnsi" w:hAnsiTheme="minorHAnsi"/>
          <w:sz w:val="18"/>
          <w:szCs w:val="18"/>
        </w:rPr>
        <w:endnoteRef/>
      </w:r>
      <w:r w:rsidRPr="0008063C">
        <w:rPr>
          <w:rFonts w:asciiTheme="minorHAnsi" w:hAnsiTheme="minorHAnsi"/>
          <w:sz w:val="18"/>
          <w:szCs w:val="18"/>
        </w:rPr>
        <w:t xml:space="preserve"> </w:t>
      </w:r>
      <w:r w:rsidRPr="0008063C">
        <w:rPr>
          <w:rFonts w:asciiTheme="minorHAnsi" w:eastAsia="Times New Roman" w:hAnsiTheme="minorHAnsi" w:cs="Arial"/>
          <w:color w:val="222222"/>
          <w:sz w:val="18"/>
          <w:szCs w:val="18"/>
          <w:shd w:val="clear" w:color="auto" w:fill="FFFFFF"/>
        </w:rPr>
        <w:t xml:space="preserve">To learn more about Project Drawdown’s three growth scenarios, click the </w:t>
      </w:r>
      <w:r w:rsidRPr="0008063C">
        <w:rPr>
          <w:rFonts w:asciiTheme="minorHAnsi" w:eastAsia="Times New Roman" w:hAnsiTheme="minorHAnsi" w:cs="Arial"/>
          <w:b/>
          <w:color w:val="222222"/>
          <w:sz w:val="18"/>
          <w:szCs w:val="18"/>
          <w:shd w:val="clear" w:color="auto" w:fill="FFFFFF"/>
        </w:rPr>
        <w:t>Scenarios</w:t>
      </w:r>
      <w:r w:rsidRPr="0008063C">
        <w:rPr>
          <w:rFonts w:asciiTheme="minorHAnsi" w:eastAsia="Times New Roman" w:hAnsiTheme="minorHAnsi" w:cs="Arial"/>
          <w:color w:val="222222"/>
          <w:sz w:val="18"/>
          <w:szCs w:val="18"/>
          <w:shd w:val="clear" w:color="auto" w:fill="FFFFFF"/>
        </w:rPr>
        <w:t xml:space="preserve"> link below. For information on Land Use Sector-specific scenarios, click the </w:t>
      </w:r>
      <w:r w:rsidRPr="0008063C">
        <w:rPr>
          <w:rFonts w:asciiTheme="minorHAnsi" w:eastAsia="Times New Roman" w:hAnsiTheme="minorHAnsi" w:cs="Arial"/>
          <w:b/>
          <w:color w:val="222222"/>
          <w:sz w:val="18"/>
          <w:szCs w:val="18"/>
          <w:shd w:val="clear" w:color="auto" w:fill="FFFFFF"/>
        </w:rPr>
        <w:t>Sector Summary: Land Use</w:t>
      </w:r>
      <w:r w:rsidRPr="0008063C">
        <w:rPr>
          <w:rFonts w:asciiTheme="minorHAnsi" w:eastAsia="Times New Roman" w:hAnsiTheme="minorHAnsi" w:cs="Arial"/>
          <w:color w:val="222222"/>
          <w:sz w:val="18"/>
          <w:szCs w:val="18"/>
          <w:shd w:val="clear" w:color="auto" w:fill="FFFFFF"/>
        </w:rPr>
        <w:t xml:space="preserve"> link.</w:t>
      </w:r>
    </w:p>
  </w:endnote>
  <w:endnote w:id="3">
    <w:p w14:paraId="227C69AD" w14:textId="30613102" w:rsidR="006F4026" w:rsidRPr="0008063C" w:rsidRDefault="006F4026" w:rsidP="00C93C8A">
      <w:pPr>
        <w:pStyle w:val="EndnoteText"/>
        <w:rPr>
          <w:rFonts w:asciiTheme="minorHAnsi" w:eastAsia="Calibri" w:hAnsiTheme="minorHAnsi" w:cs="Calibri"/>
          <w:color w:val="222222"/>
          <w:sz w:val="18"/>
          <w:szCs w:val="18"/>
        </w:rPr>
      </w:pPr>
      <w:r w:rsidRPr="0008063C">
        <w:rPr>
          <w:rStyle w:val="EndnoteReference"/>
          <w:rFonts w:asciiTheme="minorHAnsi" w:hAnsiTheme="minorHAnsi"/>
          <w:sz w:val="18"/>
          <w:szCs w:val="18"/>
        </w:rPr>
        <w:endnoteRef/>
      </w:r>
      <w:r w:rsidRPr="0008063C">
        <w:rPr>
          <w:rFonts w:asciiTheme="minorHAnsi" w:hAnsiTheme="minorHAnsi"/>
          <w:sz w:val="18"/>
          <w:szCs w:val="18"/>
        </w:rPr>
        <w:t xml:space="preserve"> </w:t>
      </w:r>
      <w:r w:rsidRPr="0008063C">
        <w:rPr>
          <w:rFonts w:asciiTheme="minorHAnsi" w:eastAsia="Calibri" w:hAnsiTheme="minorHAnsi" w:cs="Calibri"/>
          <w:color w:val="222222"/>
          <w:sz w:val="18"/>
          <w:szCs w:val="18"/>
        </w:rPr>
        <w:t>All monetary values are presented in US2014$.</w:t>
      </w:r>
    </w:p>
  </w:endnote>
  <w:endnote w:id="4">
    <w:p w14:paraId="4378C375" w14:textId="77777777" w:rsidR="006F4026" w:rsidRPr="0008063C" w:rsidRDefault="006F4026" w:rsidP="0008063C">
      <w:pPr>
        <w:rPr>
          <w:rFonts w:asciiTheme="minorHAnsi" w:eastAsiaTheme="minorEastAsia" w:hAnsiTheme="minorHAnsi"/>
          <w:color w:val="000000" w:themeColor="text1"/>
          <w:sz w:val="18"/>
          <w:szCs w:val="18"/>
        </w:rPr>
      </w:pPr>
      <w:r w:rsidRPr="0008063C">
        <w:rPr>
          <w:rStyle w:val="EndnoteReference"/>
          <w:rFonts w:asciiTheme="minorHAnsi" w:hAnsiTheme="minorHAnsi"/>
          <w:sz w:val="18"/>
          <w:szCs w:val="18"/>
        </w:rPr>
        <w:endnoteRef/>
      </w:r>
      <w:r w:rsidRPr="0008063C">
        <w:rPr>
          <w:rFonts w:asciiTheme="minorHAnsi" w:hAnsiTheme="minorHAnsi"/>
          <w:sz w:val="18"/>
          <w:szCs w:val="18"/>
        </w:rPr>
        <w:t xml:space="preserve"> For more on Project Drawdown’s Land Use integration model, </w:t>
      </w:r>
      <w:r w:rsidRPr="0008063C">
        <w:rPr>
          <w:rFonts w:asciiTheme="minorHAnsi" w:eastAsia="Times New Roman" w:hAnsiTheme="minorHAnsi" w:cs="Arial"/>
          <w:color w:val="222222"/>
          <w:sz w:val="18"/>
          <w:szCs w:val="18"/>
          <w:shd w:val="clear" w:color="auto" w:fill="FFFFFF"/>
        </w:rPr>
        <w:t xml:space="preserve">click the </w:t>
      </w:r>
      <w:r w:rsidRPr="0008063C">
        <w:rPr>
          <w:rFonts w:asciiTheme="minorHAnsi" w:eastAsia="Times New Roman" w:hAnsiTheme="minorHAnsi" w:cs="Arial"/>
          <w:b/>
          <w:color w:val="222222"/>
          <w:sz w:val="18"/>
          <w:szCs w:val="18"/>
          <w:shd w:val="clear" w:color="auto" w:fill="FFFFFF"/>
        </w:rPr>
        <w:t>Sector Summary: Land Use</w:t>
      </w:r>
      <w:r w:rsidRPr="0008063C">
        <w:rPr>
          <w:rFonts w:asciiTheme="minorHAnsi" w:eastAsia="Times New Roman" w:hAnsiTheme="minorHAnsi" w:cs="Arial"/>
          <w:color w:val="222222"/>
          <w:sz w:val="18"/>
          <w:szCs w:val="18"/>
          <w:shd w:val="clear" w:color="auto" w:fill="FFFFFF"/>
        </w:rPr>
        <w:t xml:space="preserve"> link below.</w:t>
      </w:r>
    </w:p>
    <w:p w14:paraId="0AEF3227" w14:textId="77777777" w:rsidR="006F4026" w:rsidRDefault="006F4026" w:rsidP="0008063C">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053D6" w14:textId="77777777" w:rsidR="00ED0F1E" w:rsidRDefault="00ED0F1E" w:rsidP="006C605B">
      <w:r>
        <w:separator/>
      </w:r>
    </w:p>
  </w:footnote>
  <w:footnote w:type="continuationSeparator" w:id="0">
    <w:p w14:paraId="22522D29" w14:textId="77777777" w:rsidR="00ED0F1E" w:rsidRDefault="00ED0F1E" w:rsidP="006C60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6285"/>
    <w:multiLevelType w:val="hybridMultilevel"/>
    <w:tmpl w:val="AF560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1F20CD"/>
    <w:multiLevelType w:val="hybridMultilevel"/>
    <w:tmpl w:val="4E24175C"/>
    <w:lvl w:ilvl="0" w:tplc="7E3E7634">
      <w:start w:val="1"/>
      <w:numFmt w:val="upperRoman"/>
      <w:lvlText w:val="%1."/>
      <w:lvlJc w:val="left"/>
      <w:pPr>
        <w:ind w:left="1080" w:hanging="720"/>
      </w:pPr>
      <w:rPr>
        <w:rFonts w:hint="default"/>
        <w:b/>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b w:val="0"/>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50A53"/>
    <w:multiLevelType w:val="hybridMultilevel"/>
    <w:tmpl w:val="7048DF3A"/>
    <w:lvl w:ilvl="0" w:tplc="2FA4F9B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FC16A5B"/>
    <w:multiLevelType w:val="hybridMultilevel"/>
    <w:tmpl w:val="3EE66C8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F515F0"/>
    <w:multiLevelType w:val="hybridMultilevel"/>
    <w:tmpl w:val="96F6F5BA"/>
    <w:lvl w:ilvl="0" w:tplc="E01E67E6">
      <w:start w:val="1"/>
      <w:numFmt w:val="lowerRoman"/>
      <w:lvlText w:val="(%1)"/>
      <w:lvlJc w:val="right"/>
      <w:pPr>
        <w:ind w:left="1068"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6" w15:restartNumberingAfterBreak="0">
    <w:nsid w:val="497A160F"/>
    <w:multiLevelType w:val="hybridMultilevel"/>
    <w:tmpl w:val="E3303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8C499E"/>
    <w:multiLevelType w:val="hybridMultilevel"/>
    <w:tmpl w:val="CFDE35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B2F"/>
    <w:rsid w:val="0000646C"/>
    <w:rsid w:val="0001573A"/>
    <w:rsid w:val="0008063C"/>
    <w:rsid w:val="000811AE"/>
    <w:rsid w:val="00091B6B"/>
    <w:rsid w:val="000A1710"/>
    <w:rsid w:val="000A219E"/>
    <w:rsid w:val="000A44B3"/>
    <w:rsid w:val="000D6CF5"/>
    <w:rsid w:val="00106E3D"/>
    <w:rsid w:val="00107E2C"/>
    <w:rsid w:val="00122330"/>
    <w:rsid w:val="0012276D"/>
    <w:rsid w:val="0015464D"/>
    <w:rsid w:val="00155AA2"/>
    <w:rsid w:val="001E70CD"/>
    <w:rsid w:val="00202919"/>
    <w:rsid w:val="00232261"/>
    <w:rsid w:val="00257F14"/>
    <w:rsid w:val="0026215C"/>
    <w:rsid w:val="00276B92"/>
    <w:rsid w:val="00280636"/>
    <w:rsid w:val="002B0F95"/>
    <w:rsid w:val="002B1B49"/>
    <w:rsid w:val="002B41BD"/>
    <w:rsid w:val="002B6846"/>
    <w:rsid w:val="002F1621"/>
    <w:rsid w:val="003217E8"/>
    <w:rsid w:val="00341043"/>
    <w:rsid w:val="003621B9"/>
    <w:rsid w:val="003C7E82"/>
    <w:rsid w:val="003D270C"/>
    <w:rsid w:val="003E690F"/>
    <w:rsid w:val="00404F62"/>
    <w:rsid w:val="00472034"/>
    <w:rsid w:val="00486C95"/>
    <w:rsid w:val="004F6983"/>
    <w:rsid w:val="0050334D"/>
    <w:rsid w:val="005269EB"/>
    <w:rsid w:val="00540546"/>
    <w:rsid w:val="005525AF"/>
    <w:rsid w:val="00553155"/>
    <w:rsid w:val="00554EC4"/>
    <w:rsid w:val="005570BC"/>
    <w:rsid w:val="005A4B92"/>
    <w:rsid w:val="005C5B59"/>
    <w:rsid w:val="00617401"/>
    <w:rsid w:val="00675C43"/>
    <w:rsid w:val="006867DD"/>
    <w:rsid w:val="006C605B"/>
    <w:rsid w:val="006E0992"/>
    <w:rsid w:val="006F4026"/>
    <w:rsid w:val="007077E0"/>
    <w:rsid w:val="00731C9F"/>
    <w:rsid w:val="007E6085"/>
    <w:rsid w:val="00802FBC"/>
    <w:rsid w:val="008058A8"/>
    <w:rsid w:val="0081590C"/>
    <w:rsid w:val="00825586"/>
    <w:rsid w:val="00854C3A"/>
    <w:rsid w:val="00855B74"/>
    <w:rsid w:val="00896408"/>
    <w:rsid w:val="008C44AC"/>
    <w:rsid w:val="008E4E68"/>
    <w:rsid w:val="00903E83"/>
    <w:rsid w:val="00913E9A"/>
    <w:rsid w:val="00926949"/>
    <w:rsid w:val="0094309B"/>
    <w:rsid w:val="00960A27"/>
    <w:rsid w:val="00974B54"/>
    <w:rsid w:val="00985B4F"/>
    <w:rsid w:val="009861AA"/>
    <w:rsid w:val="00993DFB"/>
    <w:rsid w:val="00996F84"/>
    <w:rsid w:val="00A05948"/>
    <w:rsid w:val="00A06D46"/>
    <w:rsid w:val="00A32716"/>
    <w:rsid w:val="00A606AA"/>
    <w:rsid w:val="00A60DC1"/>
    <w:rsid w:val="00A77C03"/>
    <w:rsid w:val="00A83254"/>
    <w:rsid w:val="00A90A4B"/>
    <w:rsid w:val="00A9140E"/>
    <w:rsid w:val="00AB41FE"/>
    <w:rsid w:val="00AB7F18"/>
    <w:rsid w:val="00AE372D"/>
    <w:rsid w:val="00AF3FC2"/>
    <w:rsid w:val="00B12385"/>
    <w:rsid w:val="00B62567"/>
    <w:rsid w:val="00B7489D"/>
    <w:rsid w:val="00B90B49"/>
    <w:rsid w:val="00B90B6A"/>
    <w:rsid w:val="00BA0B8B"/>
    <w:rsid w:val="00BA3F05"/>
    <w:rsid w:val="00BB48A2"/>
    <w:rsid w:val="00BC4CE6"/>
    <w:rsid w:val="00C02DDE"/>
    <w:rsid w:val="00C23801"/>
    <w:rsid w:val="00C43564"/>
    <w:rsid w:val="00C437A4"/>
    <w:rsid w:val="00C46782"/>
    <w:rsid w:val="00C93C8A"/>
    <w:rsid w:val="00CB590F"/>
    <w:rsid w:val="00CD5499"/>
    <w:rsid w:val="00D203ED"/>
    <w:rsid w:val="00D33053"/>
    <w:rsid w:val="00D35F1B"/>
    <w:rsid w:val="00D87AE5"/>
    <w:rsid w:val="00DB4FFF"/>
    <w:rsid w:val="00DE3DF9"/>
    <w:rsid w:val="00E374AD"/>
    <w:rsid w:val="00E40B3D"/>
    <w:rsid w:val="00E47B2F"/>
    <w:rsid w:val="00E6267E"/>
    <w:rsid w:val="00E80F89"/>
    <w:rsid w:val="00EB7B9F"/>
    <w:rsid w:val="00EC1FEC"/>
    <w:rsid w:val="00ED0F1E"/>
    <w:rsid w:val="00EE60D0"/>
    <w:rsid w:val="00F165DA"/>
    <w:rsid w:val="00F30380"/>
    <w:rsid w:val="00F362A3"/>
    <w:rsid w:val="00F36DB5"/>
    <w:rsid w:val="00F821EB"/>
    <w:rsid w:val="00FA7569"/>
    <w:rsid w:val="00FD1C3D"/>
    <w:rsid w:val="02786928"/>
    <w:rsid w:val="02A3F634"/>
    <w:rsid w:val="03F54776"/>
    <w:rsid w:val="04186569"/>
    <w:rsid w:val="07D44CD5"/>
    <w:rsid w:val="0819C2F9"/>
    <w:rsid w:val="0901735A"/>
    <w:rsid w:val="095D6FD1"/>
    <w:rsid w:val="0ABEA061"/>
    <w:rsid w:val="0AFA46E9"/>
    <w:rsid w:val="0CB5D402"/>
    <w:rsid w:val="1092A302"/>
    <w:rsid w:val="11551258"/>
    <w:rsid w:val="130E63FF"/>
    <w:rsid w:val="134B2081"/>
    <w:rsid w:val="19DCD138"/>
    <w:rsid w:val="1CEE8CBE"/>
    <w:rsid w:val="1DFA96B8"/>
    <w:rsid w:val="1E47B4E6"/>
    <w:rsid w:val="1E609742"/>
    <w:rsid w:val="208B167E"/>
    <w:rsid w:val="2265F419"/>
    <w:rsid w:val="230E60F1"/>
    <w:rsid w:val="2315D264"/>
    <w:rsid w:val="240126CA"/>
    <w:rsid w:val="2457EBEB"/>
    <w:rsid w:val="25E629AD"/>
    <w:rsid w:val="291AEB85"/>
    <w:rsid w:val="2A13D05B"/>
    <w:rsid w:val="2D3A8B80"/>
    <w:rsid w:val="2E7C2D72"/>
    <w:rsid w:val="2FD6030B"/>
    <w:rsid w:val="315BEDC6"/>
    <w:rsid w:val="31FDE624"/>
    <w:rsid w:val="325067F9"/>
    <w:rsid w:val="3345948B"/>
    <w:rsid w:val="35D2B22B"/>
    <w:rsid w:val="37B742FF"/>
    <w:rsid w:val="398FFB6C"/>
    <w:rsid w:val="399AA820"/>
    <w:rsid w:val="3A0EE5DB"/>
    <w:rsid w:val="40806381"/>
    <w:rsid w:val="40935F65"/>
    <w:rsid w:val="40E1BFC7"/>
    <w:rsid w:val="42C10F8A"/>
    <w:rsid w:val="46208E62"/>
    <w:rsid w:val="46DC30BE"/>
    <w:rsid w:val="47C0902B"/>
    <w:rsid w:val="4E538F70"/>
    <w:rsid w:val="528DB2DC"/>
    <w:rsid w:val="53D4B23D"/>
    <w:rsid w:val="55D0C718"/>
    <w:rsid w:val="5C0AB8ED"/>
    <w:rsid w:val="5C3DE408"/>
    <w:rsid w:val="5C55E80D"/>
    <w:rsid w:val="5E0BF530"/>
    <w:rsid w:val="5E6DE852"/>
    <w:rsid w:val="61975908"/>
    <w:rsid w:val="62D7A308"/>
    <w:rsid w:val="6322F0E6"/>
    <w:rsid w:val="646E6510"/>
    <w:rsid w:val="6474B36C"/>
    <w:rsid w:val="64BD5141"/>
    <w:rsid w:val="6B9D3E30"/>
    <w:rsid w:val="6C53A32B"/>
    <w:rsid w:val="70576431"/>
    <w:rsid w:val="710FF345"/>
    <w:rsid w:val="71AC86E8"/>
    <w:rsid w:val="7474AEC9"/>
    <w:rsid w:val="75180753"/>
    <w:rsid w:val="764521D2"/>
    <w:rsid w:val="77361922"/>
    <w:rsid w:val="78E8822A"/>
    <w:rsid w:val="7B01C878"/>
    <w:rsid w:val="7B678752"/>
    <w:rsid w:val="7CA2323F"/>
    <w:rsid w:val="7D04E92F"/>
    <w:rsid w:val="7D08AA33"/>
    <w:rsid w:val="7F40F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FBB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267E"/>
    <w:pPr>
      <w:keepNext/>
      <w:keepLines/>
      <w:numPr>
        <w:numId w:val="2"/>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lang w:eastAsia="ja-JP"/>
    </w:rPr>
  </w:style>
  <w:style w:type="paragraph" w:styleId="Heading2">
    <w:name w:val="heading 2"/>
    <w:basedOn w:val="Normal"/>
    <w:next w:val="Normal"/>
    <w:link w:val="Heading2Char"/>
    <w:uiPriority w:val="9"/>
    <w:unhideWhenUsed/>
    <w:qFormat/>
    <w:rsid w:val="00E6267E"/>
    <w:pPr>
      <w:keepNext/>
      <w:keepLines/>
      <w:numPr>
        <w:ilvl w:val="1"/>
        <w:numId w:val="2"/>
      </w:numPr>
      <w:spacing w:before="360" w:line="259" w:lineRule="auto"/>
      <w:outlineLvl w:val="1"/>
    </w:pPr>
    <w:rPr>
      <w:rFonts w:asciiTheme="majorHAnsi" w:eastAsiaTheme="majorEastAsia" w:hAnsiTheme="majorHAnsi" w:cstheme="majorBidi"/>
      <w:b/>
      <w:bCs/>
      <w:smallCaps/>
      <w:color w:val="000000" w:themeColor="text1"/>
      <w:sz w:val="28"/>
      <w:szCs w:val="28"/>
      <w:lang w:eastAsia="ja-JP"/>
    </w:rPr>
  </w:style>
  <w:style w:type="paragraph" w:styleId="Heading3">
    <w:name w:val="heading 3"/>
    <w:basedOn w:val="Normal"/>
    <w:next w:val="Normal"/>
    <w:link w:val="Heading3Char"/>
    <w:uiPriority w:val="9"/>
    <w:unhideWhenUsed/>
    <w:qFormat/>
    <w:rsid w:val="00E6267E"/>
    <w:pPr>
      <w:keepNext/>
      <w:keepLines/>
      <w:numPr>
        <w:ilvl w:val="2"/>
        <w:numId w:val="2"/>
      </w:numPr>
      <w:spacing w:before="200" w:line="259" w:lineRule="auto"/>
      <w:outlineLvl w:val="2"/>
    </w:pPr>
    <w:rPr>
      <w:rFonts w:asciiTheme="majorHAnsi" w:eastAsiaTheme="majorEastAsia" w:hAnsiTheme="majorHAnsi" w:cstheme="majorBidi"/>
      <w:b/>
      <w:bCs/>
      <w:color w:val="000000" w:themeColor="text1"/>
      <w:sz w:val="22"/>
      <w:szCs w:val="22"/>
      <w:lang w:eastAsia="ja-JP"/>
    </w:rPr>
  </w:style>
  <w:style w:type="paragraph" w:styleId="Heading4">
    <w:name w:val="heading 4"/>
    <w:basedOn w:val="Normal"/>
    <w:next w:val="Normal"/>
    <w:link w:val="Heading4Char"/>
    <w:uiPriority w:val="9"/>
    <w:unhideWhenUsed/>
    <w:qFormat/>
    <w:rsid w:val="00E6267E"/>
    <w:pPr>
      <w:keepNext/>
      <w:keepLines/>
      <w:numPr>
        <w:ilvl w:val="3"/>
        <w:numId w:val="2"/>
      </w:numPr>
      <w:spacing w:before="200" w:line="259" w:lineRule="auto"/>
      <w:outlineLvl w:val="3"/>
    </w:pPr>
    <w:rPr>
      <w:rFonts w:asciiTheme="majorHAnsi" w:eastAsiaTheme="majorEastAsia" w:hAnsiTheme="majorHAnsi" w:cstheme="majorBidi"/>
      <w:b/>
      <w:bCs/>
      <w:i/>
      <w:iCs/>
      <w:color w:val="000000" w:themeColor="text1"/>
      <w:sz w:val="22"/>
      <w:szCs w:val="22"/>
      <w:lang w:eastAsia="ja-JP"/>
    </w:rPr>
  </w:style>
  <w:style w:type="paragraph" w:styleId="Heading5">
    <w:name w:val="heading 5"/>
    <w:basedOn w:val="Normal"/>
    <w:next w:val="Normal"/>
    <w:link w:val="Heading5Char"/>
    <w:uiPriority w:val="9"/>
    <w:semiHidden/>
    <w:unhideWhenUsed/>
    <w:qFormat/>
    <w:rsid w:val="00E6267E"/>
    <w:pPr>
      <w:keepNext/>
      <w:keepLines/>
      <w:numPr>
        <w:ilvl w:val="4"/>
        <w:numId w:val="2"/>
      </w:numPr>
      <w:spacing w:before="200" w:line="259" w:lineRule="auto"/>
      <w:outlineLvl w:val="4"/>
    </w:pPr>
    <w:rPr>
      <w:rFonts w:asciiTheme="majorHAnsi" w:eastAsiaTheme="majorEastAsia" w:hAnsiTheme="majorHAnsi" w:cstheme="majorBidi"/>
      <w:color w:val="323E4F" w:themeColor="text2" w:themeShade="BF"/>
      <w:sz w:val="22"/>
      <w:szCs w:val="22"/>
      <w:lang w:eastAsia="ja-JP"/>
    </w:rPr>
  </w:style>
  <w:style w:type="paragraph" w:styleId="Heading6">
    <w:name w:val="heading 6"/>
    <w:basedOn w:val="Normal"/>
    <w:next w:val="Normal"/>
    <w:link w:val="Heading6Char"/>
    <w:uiPriority w:val="9"/>
    <w:semiHidden/>
    <w:unhideWhenUsed/>
    <w:qFormat/>
    <w:rsid w:val="00E6267E"/>
    <w:pPr>
      <w:keepNext/>
      <w:keepLines/>
      <w:numPr>
        <w:ilvl w:val="5"/>
        <w:numId w:val="2"/>
      </w:numPr>
      <w:spacing w:before="200" w:line="259" w:lineRule="auto"/>
      <w:outlineLvl w:val="5"/>
    </w:pPr>
    <w:rPr>
      <w:rFonts w:asciiTheme="majorHAnsi" w:eastAsiaTheme="majorEastAsia" w:hAnsiTheme="majorHAnsi" w:cstheme="majorBidi"/>
      <w:i/>
      <w:iCs/>
      <w:color w:val="323E4F" w:themeColor="text2" w:themeShade="BF"/>
      <w:sz w:val="22"/>
      <w:szCs w:val="22"/>
      <w:lang w:eastAsia="ja-JP"/>
    </w:rPr>
  </w:style>
  <w:style w:type="paragraph" w:styleId="Heading7">
    <w:name w:val="heading 7"/>
    <w:basedOn w:val="Normal"/>
    <w:next w:val="Normal"/>
    <w:link w:val="Heading7Char"/>
    <w:uiPriority w:val="9"/>
    <w:semiHidden/>
    <w:unhideWhenUsed/>
    <w:qFormat/>
    <w:rsid w:val="00E6267E"/>
    <w:pPr>
      <w:keepNext/>
      <w:keepLines/>
      <w:numPr>
        <w:ilvl w:val="6"/>
        <w:numId w:val="2"/>
      </w:numPr>
      <w:spacing w:before="200" w:line="259" w:lineRule="auto"/>
      <w:outlineLvl w:val="6"/>
    </w:pPr>
    <w:rPr>
      <w:rFonts w:asciiTheme="majorHAnsi" w:eastAsiaTheme="majorEastAsia" w:hAnsiTheme="majorHAnsi" w:cstheme="majorBidi"/>
      <w:i/>
      <w:iCs/>
      <w:color w:val="404040" w:themeColor="text1" w:themeTint="BF"/>
      <w:sz w:val="22"/>
      <w:szCs w:val="22"/>
      <w:lang w:eastAsia="ja-JP"/>
    </w:rPr>
  </w:style>
  <w:style w:type="paragraph" w:styleId="Heading8">
    <w:name w:val="heading 8"/>
    <w:basedOn w:val="Normal"/>
    <w:next w:val="Normal"/>
    <w:link w:val="Heading8Char"/>
    <w:uiPriority w:val="9"/>
    <w:semiHidden/>
    <w:unhideWhenUsed/>
    <w:qFormat/>
    <w:rsid w:val="00E6267E"/>
    <w:pPr>
      <w:keepNext/>
      <w:keepLines/>
      <w:numPr>
        <w:ilvl w:val="7"/>
        <w:numId w:val="2"/>
      </w:numPr>
      <w:spacing w:before="200" w:line="259" w:lineRule="auto"/>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E6267E"/>
    <w:pPr>
      <w:keepNext/>
      <w:keepLines/>
      <w:numPr>
        <w:ilvl w:val="8"/>
        <w:numId w:val="2"/>
      </w:numPr>
      <w:spacing w:before="200" w:line="259" w:lineRule="auto"/>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B2F"/>
    <w:pPr>
      <w:ind w:left="720"/>
      <w:contextualSpacing/>
    </w:pPr>
    <w:rPr>
      <w:rFonts w:asciiTheme="minorHAnsi" w:eastAsiaTheme="minorEastAsia" w:hAnsiTheme="minorHAnsi"/>
    </w:rPr>
  </w:style>
  <w:style w:type="character" w:customStyle="1" w:styleId="Heading1Char">
    <w:name w:val="Heading 1 Char"/>
    <w:basedOn w:val="DefaultParagraphFont"/>
    <w:link w:val="Heading1"/>
    <w:uiPriority w:val="9"/>
    <w:rsid w:val="00E6267E"/>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6267E"/>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6267E"/>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rsid w:val="00E6267E"/>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E6267E"/>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E6267E"/>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E6267E"/>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E6267E"/>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6267E"/>
    <w:rPr>
      <w:rFonts w:asciiTheme="majorHAnsi" w:eastAsiaTheme="majorEastAsia" w:hAnsiTheme="majorHAnsi" w:cstheme="majorBidi"/>
      <w:i/>
      <w:iCs/>
      <w:color w:val="404040" w:themeColor="text1" w:themeTint="BF"/>
      <w:sz w:val="20"/>
      <w:szCs w:val="20"/>
      <w:lang w:eastAsia="ja-JP"/>
    </w:rPr>
  </w:style>
  <w:style w:type="paragraph" w:styleId="Caption">
    <w:name w:val="caption"/>
    <w:aliases w:val="~Caption"/>
    <w:basedOn w:val="Normal"/>
    <w:next w:val="Normal"/>
    <w:unhideWhenUsed/>
    <w:qFormat/>
    <w:rsid w:val="00E6267E"/>
    <w:pPr>
      <w:spacing w:after="200"/>
    </w:pPr>
    <w:rPr>
      <w:rFonts w:asciiTheme="minorHAnsi" w:eastAsiaTheme="minorEastAsia" w:hAnsiTheme="minorHAnsi"/>
      <w:i/>
      <w:iCs/>
      <w:color w:val="44546A" w:themeColor="text2"/>
      <w:sz w:val="18"/>
      <w:szCs w:val="18"/>
      <w:lang w:eastAsia="ja-JP"/>
    </w:rPr>
  </w:style>
  <w:style w:type="character" w:styleId="CommentReference">
    <w:name w:val="annotation reference"/>
    <w:basedOn w:val="DefaultParagraphFont"/>
    <w:uiPriority w:val="99"/>
    <w:semiHidden/>
    <w:unhideWhenUsed/>
    <w:rsid w:val="00E374AD"/>
    <w:rPr>
      <w:sz w:val="16"/>
      <w:szCs w:val="16"/>
    </w:rPr>
  </w:style>
  <w:style w:type="paragraph" w:styleId="CommentText">
    <w:name w:val="annotation text"/>
    <w:basedOn w:val="Normal"/>
    <w:link w:val="CommentTextChar"/>
    <w:uiPriority w:val="99"/>
    <w:semiHidden/>
    <w:unhideWhenUsed/>
    <w:rsid w:val="00E374AD"/>
    <w:rPr>
      <w:sz w:val="20"/>
      <w:szCs w:val="20"/>
    </w:rPr>
  </w:style>
  <w:style w:type="character" w:customStyle="1" w:styleId="CommentTextChar">
    <w:name w:val="Comment Text Char"/>
    <w:basedOn w:val="DefaultParagraphFont"/>
    <w:link w:val="CommentText"/>
    <w:uiPriority w:val="99"/>
    <w:semiHidden/>
    <w:rsid w:val="00E374AD"/>
    <w:rPr>
      <w:sz w:val="20"/>
      <w:szCs w:val="20"/>
    </w:rPr>
  </w:style>
  <w:style w:type="paragraph" w:styleId="CommentSubject">
    <w:name w:val="annotation subject"/>
    <w:basedOn w:val="CommentText"/>
    <w:next w:val="CommentText"/>
    <w:link w:val="CommentSubjectChar"/>
    <w:uiPriority w:val="99"/>
    <w:semiHidden/>
    <w:unhideWhenUsed/>
    <w:rsid w:val="00E374AD"/>
    <w:rPr>
      <w:b/>
      <w:bCs/>
    </w:rPr>
  </w:style>
  <w:style w:type="character" w:customStyle="1" w:styleId="CommentSubjectChar">
    <w:name w:val="Comment Subject Char"/>
    <w:basedOn w:val="CommentTextChar"/>
    <w:link w:val="CommentSubject"/>
    <w:uiPriority w:val="99"/>
    <w:semiHidden/>
    <w:rsid w:val="00E374AD"/>
    <w:rPr>
      <w:b/>
      <w:bCs/>
      <w:sz w:val="20"/>
      <w:szCs w:val="20"/>
    </w:rPr>
  </w:style>
  <w:style w:type="paragraph" w:styleId="BalloonText">
    <w:name w:val="Balloon Text"/>
    <w:basedOn w:val="Normal"/>
    <w:link w:val="BalloonTextChar"/>
    <w:uiPriority w:val="99"/>
    <w:semiHidden/>
    <w:unhideWhenUsed/>
    <w:rsid w:val="00E374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4AD"/>
    <w:rPr>
      <w:rFonts w:ascii="Segoe UI" w:hAnsi="Segoe UI" w:cs="Segoe UI"/>
      <w:sz w:val="18"/>
      <w:szCs w:val="18"/>
    </w:rPr>
  </w:style>
  <w:style w:type="paragraph" w:styleId="FootnoteText">
    <w:name w:val="footnote text"/>
    <w:basedOn w:val="Normal"/>
    <w:link w:val="FootnoteTextChar"/>
    <w:uiPriority w:val="99"/>
    <w:unhideWhenUsed/>
    <w:rsid w:val="006C605B"/>
    <w:rPr>
      <w:sz w:val="20"/>
      <w:szCs w:val="20"/>
    </w:rPr>
  </w:style>
  <w:style w:type="character" w:customStyle="1" w:styleId="FootnoteTextChar">
    <w:name w:val="Footnote Text Char"/>
    <w:basedOn w:val="DefaultParagraphFont"/>
    <w:link w:val="FootnoteText"/>
    <w:uiPriority w:val="99"/>
    <w:rsid w:val="006C605B"/>
    <w:rPr>
      <w:sz w:val="20"/>
      <w:szCs w:val="20"/>
    </w:rPr>
  </w:style>
  <w:style w:type="character" w:styleId="FootnoteReference">
    <w:name w:val="footnote reference"/>
    <w:basedOn w:val="DefaultParagraphFont"/>
    <w:uiPriority w:val="99"/>
    <w:unhideWhenUsed/>
    <w:rsid w:val="006C605B"/>
    <w:rPr>
      <w:vertAlign w:val="superscript"/>
    </w:rPr>
  </w:style>
  <w:style w:type="paragraph" w:styleId="Title">
    <w:name w:val="Title"/>
    <w:basedOn w:val="Normal"/>
    <w:next w:val="Normal"/>
    <w:link w:val="TitleChar"/>
    <w:uiPriority w:val="10"/>
    <w:qFormat/>
    <w:rsid w:val="00CD54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499"/>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CD5499"/>
    <w:rPr>
      <w:rFonts w:asciiTheme="minorHAnsi" w:eastAsiaTheme="minorEastAsia" w:hAnsiTheme="minorHAnsi"/>
      <w:color w:val="5A5A5A" w:themeColor="text1" w:themeTint="A5"/>
      <w:spacing w:val="15"/>
      <w:sz w:val="22"/>
      <w:szCs w:val="22"/>
    </w:rPr>
  </w:style>
  <w:style w:type="character" w:styleId="SubtleEmphasis">
    <w:name w:val="Subtle Emphasis"/>
    <w:basedOn w:val="DefaultParagraphFont"/>
    <w:uiPriority w:val="19"/>
    <w:qFormat/>
    <w:rsid w:val="00CD5499"/>
    <w:rPr>
      <w:i/>
      <w:iCs/>
      <w:color w:val="404040" w:themeColor="text1" w:themeTint="BF"/>
    </w:rPr>
  </w:style>
  <w:style w:type="character" w:styleId="Emphasis">
    <w:name w:val="Emphasis"/>
    <w:basedOn w:val="DefaultParagraphFont"/>
    <w:uiPriority w:val="20"/>
    <w:qFormat/>
    <w:rsid w:val="00CD5499"/>
    <w:rPr>
      <w:i/>
      <w:iCs/>
    </w:rPr>
  </w:style>
  <w:style w:type="character" w:styleId="Hyperlink">
    <w:name w:val="Hyperlink"/>
    <w:basedOn w:val="DefaultParagraphFont"/>
    <w:uiPriority w:val="99"/>
    <w:unhideWhenUsed/>
    <w:rsid w:val="00896408"/>
    <w:rPr>
      <w:color w:val="0563C1" w:themeColor="hyperlink"/>
      <w:u w:val="single"/>
    </w:rPr>
  </w:style>
  <w:style w:type="paragraph" w:styleId="EndnoteText">
    <w:name w:val="endnote text"/>
    <w:basedOn w:val="Normal"/>
    <w:link w:val="EndnoteTextChar"/>
    <w:uiPriority w:val="99"/>
    <w:unhideWhenUsed/>
    <w:rsid w:val="005C5B59"/>
  </w:style>
  <w:style w:type="character" w:customStyle="1" w:styleId="EndnoteTextChar">
    <w:name w:val="Endnote Text Char"/>
    <w:basedOn w:val="DefaultParagraphFont"/>
    <w:link w:val="EndnoteText"/>
    <w:uiPriority w:val="99"/>
    <w:rsid w:val="005C5B59"/>
  </w:style>
  <w:style w:type="character" w:styleId="EndnoteReference">
    <w:name w:val="endnote reference"/>
    <w:basedOn w:val="DefaultParagraphFont"/>
    <w:uiPriority w:val="99"/>
    <w:unhideWhenUsed/>
    <w:rsid w:val="005C5B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0BE34-E94E-4061-95D7-1555E8985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Chissell</dc:creator>
  <cp:keywords/>
  <dc:description/>
  <cp:lastModifiedBy>Mamta</cp:lastModifiedBy>
  <cp:revision>3</cp:revision>
  <dcterms:created xsi:type="dcterms:W3CDTF">2020-02-14T14:48:00Z</dcterms:created>
  <dcterms:modified xsi:type="dcterms:W3CDTF">2021-10-27T00:57:00Z</dcterms:modified>
</cp:coreProperties>
</file>