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  <w:jc w:val="center"/>
      </w:pPr>
      <w:r>
        <w:rPr>
          <w:b/>
          <w:sz w:val="28"/>
        </w:rPr>
        <w:t xml:space="preserve">ДОГОВОР СТРАХОВАНИЯ ТОРГОВЫХ КРЕДИТОВ № {{policy.number}}</w:t>
      </w:r>
    </w:p>
    <w:p>
      <w:pPr>
        <w:spacing w:after="240"/>
        <w:jc w:val="center"/>
      </w:pPr>
      <w:r>
        <w:rPr>
          <w:sz w:val="20"/>
        </w:rPr>
        <w:t xml:space="preserve">ПРОЕКТ · {{document.date}}</w:t>
      </w:r>
    </w:p>
    <w:p>
      <w:pPr>
        <w:spacing w:after="120"/>
        <w:jc w:val="both"/>
      </w:pPr>
      <w:r>
        <w:rPr>
          <w:sz w:val="21"/>
        </w:rPr>
        <w:t xml:space="preserve">{{insurer.name}}, {{insurer.legal_form}}, лицензия № {{insurer.license_number}} от {{insurer.license_date}}, в лице {{insurer.signatory_title}} {{insurer.signatory_name}}, действующего на основании {{insurer.signatory_basis}}, именуемое в дальнейшем «Страховщик», с одной стороны, и {{policyholder.name}}, {{policyholder.legal_form}}, регистрационный номер {{policyholder.registration_number}}, именуемое в дальнейшем «Страхователь», с другой стороны, заключили настоящий договор о нижеследующем.</w:t>
      </w:r>
    </w:p>
    <w:p>
      <w:pPr>
        <w:spacing w:after="80"/>
      </w:pPr>
      <w:r>
        <w:rPr>
          <w:b/>
          <w:sz w:val="22"/>
        </w:rPr>
        <w:t xml:space="preserve">1. Предмет договора</w:t>
      </w:r>
    </w:p>
    <w:p>
      <w:pPr>
        <w:spacing w:after="120"/>
        <w:jc w:val="both"/>
      </w:pPr>
      <w:r>
        <w:rPr>
          <w:sz w:val="21"/>
        </w:rPr>
        <w:t xml:space="preserve">1.1. Страховщик обязуется возместить Страхователю убытки, понесённые вследствие неоплаты байерами (покупателями) дебиторской задолженности за товары, работы и услуги, поставленные Страхователем на условиях отсрочки платежа, при наступлении страхового случая — неплатёжеспособности байера либо длительной неуплаты.</w:t>
      </w:r>
    </w:p>
    <w:p>
      <w:pPr>
        <w:spacing w:after="120"/>
        <w:jc w:val="both"/>
      </w:pPr>
      <w:r>
        <w:rPr>
          <w:sz w:val="21"/>
        </w:rPr>
        <w:t xml:space="preserve">1.2. Структура покрытия: {{policy.product}}. Валюта договора: {{policy.currency}}.</w:t>
      </w:r>
    </w:p>
    <w:p>
      <w:pPr>
        <w:spacing w:after="120"/>
        <w:jc w:val="both"/>
      </w:pPr>
      <w:r>
        <w:rPr>
          <w:sz w:val="21"/>
        </w:rPr>
        <w:t xml:space="preserve">1.3. Срок действия договора: с {{policy.inception_date}} по {{policy.expiry_date}} включительно.</w:t>
      </w:r>
    </w:p>
    <w:p>
      <w:pPr>
        <w:spacing w:after="80"/>
      </w:pPr>
      <w:r>
        <w:rPr>
          <w:b/>
          <w:sz w:val="22"/>
        </w:rPr>
        <w:t xml:space="preserve">2. Страховое покрытие</w:t>
      </w:r>
    </w:p>
    <w:p>
      <w:pPr>
        <w:spacing w:after="120"/>
        <w:jc w:val="both"/>
      </w:pPr>
      <w:r>
        <w:rPr>
          <w:sz w:val="21"/>
        </w:rPr>
        <w:t xml:space="preserve">2.1. Застрахованная доля убытка: {{policy.insured_percentage}}.</w:t>
      </w:r>
    </w:p>
    <w:p>
      <w:pPr>
        <w:spacing w:after="120"/>
        <w:jc w:val="both"/>
      </w:pPr>
      <w:r>
        <w:rPr>
          <w:sz w:val="21"/>
        </w:rPr>
        <w:t xml:space="preserve">2.2. Покрытие по каждому байеру ограничено кредитным лимитом, установленным Страховщиком (Приложение 1), либо дискреционным лимитом в размере {{policy.discretionary_limit}} {{policy.currency}} для байеров без кредитного лимита.</w:t>
      </w:r>
    </w:p>
    <w:p>
      <w:pPr>
        <w:spacing w:after="120"/>
        <w:jc w:val="both"/>
      </w:pPr>
      <w:r>
        <w:rPr>
          <w:sz w:val="21"/>
        </w:rPr>
        <w:t xml:space="preserve">2.3. Максимальный срок отсрочки платежа по застрахованным поставкам: {{policy.max_payment_terms_days}} дней.</w:t>
      </w:r>
    </w:p>
    <w:p>
      <w:pPr>
        <w:spacing w:after="120"/>
        <w:jc w:val="both"/>
      </w:pPr>
      <w:r>
        <w:rPr>
          <w:sz w:val="21"/>
        </w:rPr>
        <w:t xml:space="preserve">2.4. Не подлежащий возмещению убыток (NQL): убытки по одному байеру менее {{policy.nql_amount}} {{policy.currency}} не возмещаются.</w:t>
      </w:r>
    </w:p>
    <w:p>
      <w:pPr>
        <w:spacing w:after="120"/>
        <w:jc w:val="both"/>
      </w:pPr>
      <w:r>
        <w:rPr>
          <w:sz w:val="21"/>
        </w:rPr>
        <w:t xml:space="preserve">{{#policy.deductible}}2.5. Франшиза по каждому убытку: {{policy.deductible}} {{policy.currency}}.{{/policy.deductible}}</w:t>
      </w:r>
    </w:p>
    <w:p>
      <w:pPr>
        <w:spacing w:after="120"/>
        <w:jc w:val="both"/>
      </w:pPr>
      <w:r>
        <w:rPr>
          <w:sz w:val="21"/>
        </w:rPr>
        <w:t xml:space="preserve">{{#policy.aggregate_first_loss}}2.6. Агрегатная франшиза (первый риск Страхователя) за срок договора: {{policy.aggregate_first_loss}} {{policy.currency}}.{{/policy.aggregate_first_loss}}</w:t>
      </w:r>
    </w:p>
    <w:p>
      <w:pPr>
        <w:spacing w:after="120"/>
        <w:jc w:val="both"/>
      </w:pPr>
      <w:r>
        <w:rPr>
          <w:sz w:val="21"/>
        </w:rPr>
        <w:t xml:space="preserve">2.7. Максимальная ответственность Страховщика по договору: {{policy.max_liability_amount}} {{policy.currency}}.</w:t>
      </w:r>
    </w:p>
    <w:p>
      <w:pPr>
        <w:spacing w:after="80"/>
      </w:pPr>
      <w:r>
        <w:rPr>
          <w:b/>
          <w:sz w:val="22"/>
        </w:rPr>
        <w:t xml:space="preserve">3. Страховая премия</w:t>
      </w:r>
    </w:p>
    <w:p>
      <w:pPr>
        <w:spacing w:after="120"/>
        <w:jc w:val="both"/>
      </w:pPr>
      <w:r>
        <w:rPr>
          <w:sz w:val="21"/>
        </w:rPr>
        <w:t xml:space="preserve">3.1. Ставка премии: {{policy.premium_rate}} от застрахованного оборота, задекларированного Страхователем.</w:t>
      </w:r>
    </w:p>
    <w:p>
      <w:pPr>
        <w:spacing w:after="120"/>
        <w:jc w:val="both"/>
      </w:pPr>
      <w:r>
        <w:rPr>
          <w:sz w:val="21"/>
        </w:rPr>
        <w:t xml:space="preserve">3.2. Минимальная премия за срок договора: {{policy.minimum_premium}} {{policy.currency}} ({{policy.premium_basis}}).</w:t>
      </w:r>
    </w:p>
    <w:p>
      <w:pPr>
        <w:spacing w:after="120"/>
        <w:jc w:val="both"/>
      </w:pPr>
      <w:r>
        <w:rPr>
          <w:sz w:val="21"/>
        </w:rPr>
        <w:t xml:space="preserve">3.3. Страхователь представляет декларации оборота с периодичностью: {{policy.declaration_frequency}}.</w:t>
      </w:r>
    </w:p>
    <w:p>
      <w:pPr>
        <w:spacing w:after="80"/>
      </w:pPr>
      <w:r>
        <w:rPr>
          <w:b/>
          <w:sz w:val="22"/>
        </w:rPr>
        <w:t xml:space="preserve">4. Обязанности Страхователя</w:t>
      </w:r>
    </w:p>
    <w:p>
      <w:pPr>
        <w:spacing w:after="120"/>
        <w:jc w:val="both"/>
      </w:pPr>
      <w:r>
        <w:rPr>
          <w:sz w:val="21"/>
        </w:rPr>
        <w:t xml:space="preserve">4.1. Страхователь уведомляет Страховщика о просрочке платежа байера не позднее {{policy.noa_window_days}} дней после истечения максимального срока продления ({{policy.max_extension_days}} дней) и прекращает поставки такому байеру на условиях отсрочки до согласования со Страховщиком.</w:t>
      </w:r>
    </w:p>
    <w:p>
      <w:pPr>
        <w:spacing w:after="120"/>
        <w:jc w:val="both"/>
      </w:pPr>
      <w:r>
        <w:rPr>
          <w:sz w:val="21"/>
        </w:rPr>
        <w:t xml:space="preserve">4.2. Страхователь принимает разумные меры по взысканию задолженности и передаёт Страховщику права требования в пределах выплаченного возмещения (суброгация).</w:t>
      </w:r>
    </w:p>
    <w:p>
      <w:pPr>
        <w:spacing w:after="80"/>
      </w:pPr>
      <w:r>
        <w:rPr>
          <w:b/>
          <w:sz w:val="22"/>
        </w:rPr>
        <w:t xml:space="preserve">5. Урегулирование убытков</w:t>
      </w:r>
    </w:p>
    <w:p>
      <w:pPr>
        <w:spacing w:after="120"/>
        <w:jc w:val="both"/>
      </w:pPr>
      <w:r>
        <w:rPr>
          <w:sz w:val="21"/>
        </w:rPr>
        <w:t xml:space="preserve">5.1. Возмещение выплачивается по истечении периода ожидания {{policy.waiting_period_days}} дней с даты уведомления о длительной неуплате либо после документального подтверждения неплатёжеспособности байера.</w:t>
      </w:r>
    </w:p>
    <w:p>
      <w:pPr>
        <w:spacing w:after="120"/>
        <w:jc w:val="both"/>
      </w:pPr>
      <w:r>
        <w:rPr>
          <w:sz w:val="21"/>
        </w:rPr>
        <w:t xml:space="preserve">5.2. Взысканные после выплаты суммы распределяются между Страховщиком и Страхователем пропорционально понесённым ими убыткам.</w:t>
      </w:r>
    </w:p>
    <w:p>
      <w:pPr>
        <w:spacing w:after="80"/>
      </w:pPr>
      <w:r>
        <w:rPr>
          <w:b/>
          <w:sz w:val="22"/>
        </w:rPr>
        <w:t xml:space="preserve">6. Прочие условия</w:t>
      </w:r>
    </w:p>
    <w:p>
      <w:pPr>
        <w:spacing w:after="120"/>
        <w:jc w:val="both"/>
      </w:pPr>
      <w:r>
        <w:rPr>
          <w:sz w:val="21"/>
        </w:rPr>
        <w:t xml:space="preserve">6.1. Во всём, что не урегулировано настоящим договором, стороны руководствуются правилами страхования Страховщика и применимым законодательством.</w:t>
      </w:r>
    </w:p>
    <w:p>
      <w:pPr>
        <w:spacing w:after="80"/>
      </w:pPr>
      <w:r>
        <w:rPr>
          <w:b/>
          <w:sz w:val="22"/>
        </w:rPr>
        <w:t xml:space="preserve">Реквизиты и подписи сторон</w:t>
      </w:r>
    </w:p>
    <w:tbl>
      <w:tblPr>
        <w:tblW w:w="5000" w:type="pct"/>
      </w:tblPr>
      <w:tr>
        <w:tc>
          <w:tcPr>
            <w:tcW w:w="2500" w:type="pct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Страховщик</w:t>
            </w:r>
          </w:p>
          <w:p>
            <w:pPr>
              <w:spacing w:after="40"/>
            </w:pPr>
            <w:r>
              <w:rPr>
                <w:sz w:val="20"/>
              </w:rPr>
              <w:t xml:space="preserve">{{insurer.name}}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{{insurer.address}}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ИНН: {{insurer.tax_id}}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Банк: {{insurer.bank_name}}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Счёт: {{insurer.bank_account}}, код: {{insurer.bank_code}}</w:t>
            </w:r>
          </w:p>
          <w:p>
            <w:pPr>
              <w:spacing w:after="40"/>
            </w:pPr>
            <w:r>
              <w:rPr>
                <w:sz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</w:rPr>
              <w:t xml:space="preserve">{{insurer.signatory_title}} _______________ {{insurer.signatory_name}}</w:t>
            </w:r>
          </w:p>
        </w:tc>
        <w:tc>
          <w:tcPr>
            <w:tcW w:w="2500" w:type="pct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Страхователь</w:t>
            </w:r>
          </w:p>
          <w:p>
            <w:pPr>
              <w:spacing w:after="40"/>
            </w:pPr>
            <w:r>
              <w:rPr>
                <w:sz w:val="20"/>
              </w:rPr>
              <w:t xml:space="preserve">{{policyholder.name}}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{{policyholder.address}}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Рег. №: {{policyholder.registration_number}}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{{policyholder.email}} {{policyholder.phone}}</w:t>
            </w:r>
          </w:p>
          <w:p>
            <w:pPr>
              <w:spacing w:after="40"/>
            </w:pPr>
            <w:r>
              <w:rPr>
                <w:sz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</w:rPr>
              <w:t xml:space="preserve">_______________ {{policyholder.contact_person}}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sz w:val="22"/>
        </w:rPr>
        <w:t xml:space="preserve">Приложение 1. Кредитные лимиты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Байер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Страна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Рег. №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Лимит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Валюта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Отсрочка, дней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Действует с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по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18"/>
              </w:rPr>
              <w:t xml:space="preserve">{{#limits}}{{buyer_name}}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{{buyer_country}}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{{buyer_registration_number}}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{{amount}}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{{currency}}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{{payment_terms_days}}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{{valid_from}}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{{valid_until}}{{/limits}}</w:t>
            </w:r>
          </w:p>
        </w:tc>
      </w:tr>
    </w:tbl>
    <w:sectPr>
      <w:pgSz w:w="11906" w:h="16838"/>
      <w:pgMar w:top="1134" w:right="850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1"/>
        <w:lang w:val="ru-RU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