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28"/>
        </w:rPr>
        <w:t xml:space="preserve">SAVDO KREDITLARINI SUG‘URTALASH SHARTNOMASI № {{policy.number}}</w:t>
      </w:r>
    </w:p>
    <w:p>
      <w:pPr>
        <w:spacing w:after="240"/>
        <w:jc w:val="center"/>
      </w:pPr>
      <w:r>
        <w:rPr>
          <w:sz w:val="20"/>
        </w:rPr>
        <w:t xml:space="preserve">LOYIHA · {{document.date}}</w:t>
      </w:r>
    </w:p>
    <w:p>
      <w:pPr>
        <w:spacing w:after="120"/>
        <w:jc w:val="both"/>
      </w:pPr>
      <w:r>
        <w:rPr>
          <w:sz w:val="21"/>
        </w:rPr>
        <w:t xml:space="preserve">{{insurer.name}}, {{insurer.legal_form}}, {{insurer.license_date}} sanadagi {{insurer.license_number}}-sonli litsenziya, {{insurer.signatory_basis}} asosida faoliyat yurituvchi {{insurer.signatory_title}} {{insurer.signatory_name}} timsolida, bundan buyon «Sug‘urtalovchi» deb ataladi, bir tomondan, va {{policyholder.name}}, {{policyholder.legal_form}}, ro‘yxatdan o‘tish raqami {{policyholder.registration_number}}, bundan buyon «Sug‘urtalanuvchi» deb ataladi, ikkinchi tomondan, quyidagilar haqida ushbu shartnomani tuzdilar.</w:t>
      </w:r>
    </w:p>
    <w:p>
      <w:pPr>
        <w:spacing w:after="80"/>
      </w:pPr>
      <w:r>
        <w:rPr>
          <w:b/>
          <w:sz w:val="22"/>
        </w:rPr>
        <w:t xml:space="preserve">1. Shartnoma predmeti</w:t>
      </w:r>
    </w:p>
    <w:p>
      <w:pPr>
        <w:spacing w:after="120"/>
        <w:jc w:val="both"/>
      </w:pPr>
      <w:r>
        <w:rPr>
          <w:sz w:val="21"/>
        </w:rPr>
        <w:t xml:space="preserve">1.1. Sug‘urtalovchi Sug‘urtalanuvchiga u to‘lovni kechiktirish shartlarida yetkazib bergan tovarlar, ishlar va xizmatlar uchun bayerlar tomonidan debitorlik qarzi to‘lanmasligi natijasida ko‘rilgan zararni sug‘urta hodisasi — bayerning to‘lovga qobiliyatsizligi yoki uzoq muddatli to‘lamaslik yuz berganda qoplash majburiyatini oladi.</w:t>
      </w:r>
    </w:p>
    <w:p>
      <w:pPr>
        <w:spacing w:after="120"/>
        <w:jc w:val="both"/>
      </w:pPr>
      <w:r>
        <w:rPr>
          <w:sz w:val="21"/>
        </w:rPr>
        <w:t xml:space="preserve">1.2. Qoplash tuzilmasi: {{policy.product}}. Shartnoma valyutasi: {{policy.currency}}.</w:t>
      </w:r>
    </w:p>
    <w:p>
      <w:pPr>
        <w:spacing w:after="120"/>
        <w:jc w:val="both"/>
      </w:pPr>
      <w:r>
        <w:rPr>
          <w:sz w:val="21"/>
        </w:rPr>
        <w:t xml:space="preserve">1.3. Shartnomaning amal qilish muddati: {{policy.inception_date}}dan {{policy.expiry_date}}gacha (shu kun ham kiradi).</w:t>
      </w:r>
    </w:p>
    <w:p>
      <w:pPr>
        <w:spacing w:after="80"/>
      </w:pPr>
      <w:r>
        <w:rPr>
          <w:b/>
          <w:sz w:val="22"/>
        </w:rPr>
        <w:t xml:space="preserve">2. Sug‘urta qoplamasi</w:t>
      </w:r>
    </w:p>
    <w:p>
      <w:pPr>
        <w:spacing w:after="120"/>
        <w:jc w:val="both"/>
      </w:pPr>
      <w:r>
        <w:rPr>
          <w:sz w:val="21"/>
        </w:rPr>
        <w:t xml:space="preserve">2.1. Zararning sug‘urtalangan ulushi: {{policy.insured_percentage}}.</w:t>
      </w:r>
    </w:p>
    <w:p>
      <w:pPr>
        <w:spacing w:after="120"/>
        <w:jc w:val="both"/>
      </w:pPr>
      <w:r>
        <w:rPr>
          <w:sz w:val="21"/>
        </w:rPr>
        <w:t xml:space="preserve">2.2. Har bir bayer bo‘yicha qoplama Sug‘urtalovchi belgilagan kredit limiti (1-ilova) bilan, kredit limiti bo‘lmagan bayerlar uchun esa {{policy.discretionary_limit}} {{policy.currency}} miqdoridagi diskretsion limit bilan cheklanadi.</w:t>
      </w:r>
    </w:p>
    <w:p>
      <w:pPr>
        <w:spacing w:after="120"/>
        <w:jc w:val="both"/>
      </w:pPr>
      <w:r>
        <w:rPr>
          <w:sz w:val="21"/>
        </w:rPr>
        <w:t xml:space="preserve">2.3. Sug‘urtalangan yetkazib berishlar bo‘yicha to‘lovni kechiktirishning eng uzoq muddati: {{policy.max_payment_terms_days}} kun.</w:t>
      </w:r>
    </w:p>
    <w:p>
      <w:pPr>
        <w:spacing w:after="120"/>
        <w:jc w:val="both"/>
      </w:pPr>
      <w:r>
        <w:rPr>
          <w:sz w:val="21"/>
        </w:rPr>
        <w:t xml:space="preserve">2.4. Qoplanmaydigan zarar (NQL): bitta bayer bo‘yicha {{policy.nql_amount}} {{policy.currency}}dan kam zarar qoplanmaydi.</w:t>
      </w:r>
    </w:p>
    <w:p>
      <w:pPr>
        <w:spacing w:after="120"/>
        <w:jc w:val="both"/>
      </w:pPr>
      <w:r>
        <w:rPr>
          <w:sz w:val="21"/>
        </w:rPr>
        <w:t xml:space="preserve">{{#policy.deductible}}2.5. Har bir zarar bo‘yicha franshiza: {{policy.deductible}} {{policy.currency}}.{{/policy.deductible}}</w:t>
      </w:r>
    </w:p>
    <w:p>
      <w:pPr>
        <w:spacing w:after="120"/>
        <w:jc w:val="both"/>
      </w:pPr>
      <w:r>
        <w:rPr>
          <w:sz w:val="21"/>
        </w:rPr>
        <w:t xml:space="preserve">{{#policy.aggregate_first_loss}}2.6. Shartnoma muddati uchun agregat franshiza: {{policy.aggregate_first_loss}} {{policy.currency}}.{{/policy.aggregate_first_loss}}</w:t>
      </w:r>
    </w:p>
    <w:p>
      <w:pPr>
        <w:spacing w:after="120"/>
        <w:jc w:val="both"/>
      </w:pPr>
      <w:r>
        <w:rPr>
          <w:sz w:val="21"/>
        </w:rPr>
        <w:t xml:space="preserve">2.7. Sug‘urtalovchining shartnoma bo‘yicha eng yuqori javobgarligi: {{policy.max_liability_amount}} {{policy.currency}}.</w:t>
      </w:r>
    </w:p>
    <w:p>
      <w:pPr>
        <w:spacing w:after="80"/>
      </w:pPr>
      <w:r>
        <w:rPr>
          <w:b/>
          <w:sz w:val="22"/>
        </w:rPr>
        <w:t xml:space="preserve">3. Sug‘urta mukofoti</w:t>
      </w:r>
    </w:p>
    <w:p>
      <w:pPr>
        <w:spacing w:after="120"/>
        <w:jc w:val="both"/>
      </w:pPr>
      <w:r>
        <w:rPr>
          <w:sz w:val="21"/>
        </w:rPr>
        <w:t xml:space="preserve">3.1. Mukofot stavkasi: Sug‘urtalanuvchi e’lon qilgan sug‘urtalangan aylanmaning {{policy.premium_rate}}.</w:t>
      </w:r>
    </w:p>
    <w:p>
      <w:pPr>
        <w:spacing w:after="120"/>
        <w:jc w:val="both"/>
      </w:pPr>
      <w:r>
        <w:rPr>
          <w:sz w:val="21"/>
        </w:rPr>
        <w:t xml:space="preserve">3.2. Shartnoma muddati uchun minimal mukofot: {{policy.minimum_premium}} {{policy.currency}} ({{policy.premium_basis}}).</w:t>
      </w:r>
    </w:p>
    <w:p>
      <w:pPr>
        <w:spacing w:after="120"/>
        <w:jc w:val="both"/>
      </w:pPr>
      <w:r>
        <w:rPr>
          <w:sz w:val="21"/>
        </w:rPr>
        <w:t xml:space="preserve">3.3. Sug‘urtalanuvchi aylanma deklaratsiyalarini quyidagi davriylikda taqdim etadi: {{policy.declaration_frequency}}.</w:t>
      </w:r>
    </w:p>
    <w:p>
      <w:pPr>
        <w:spacing w:after="80"/>
      </w:pPr>
      <w:r>
        <w:rPr>
          <w:b/>
          <w:sz w:val="22"/>
        </w:rPr>
        <w:t xml:space="preserve">4. Sug‘urtalanuvchining majburiyatlari</w:t>
      </w:r>
    </w:p>
    <w:p>
      <w:pPr>
        <w:spacing w:after="120"/>
        <w:jc w:val="both"/>
      </w:pPr>
      <w:r>
        <w:rPr>
          <w:sz w:val="21"/>
        </w:rPr>
        <w:t xml:space="preserve">4.1. Sug‘urtalanuvchi bayer to‘lovi muddati o‘tganligi haqida eng uzoq uzaytirish muddati ({{policy.max_extension_days}} kun) tugaganidan keyin {{policy.noa_window_days}} kundan kechiktirmay Sug‘urtalovchiga xabar beradi va Sug‘urtalovchi bilan kelishilgunga qadar ushbu bayerga kechiktirilgan to‘lov shartlarida yetkazib berishni to‘xtatadi.</w:t>
      </w:r>
    </w:p>
    <w:p>
      <w:pPr>
        <w:spacing w:after="120"/>
        <w:jc w:val="both"/>
      </w:pPr>
      <w:r>
        <w:rPr>
          <w:sz w:val="21"/>
        </w:rPr>
        <w:t xml:space="preserve">4.2. Sug‘urtalanuvchi qarzni undirish uchun oqilona choralar ko‘radi va to‘langan qoplama doirasida talab huquqlarini Sug‘urtalovchiga o‘tkazadi (subrogatsiya).</w:t>
      </w:r>
    </w:p>
    <w:p>
      <w:pPr>
        <w:spacing w:after="80"/>
      </w:pPr>
      <w:r>
        <w:rPr>
          <w:b/>
          <w:sz w:val="22"/>
        </w:rPr>
        <w:t xml:space="preserve">5. Zararlarni tartibga solish</w:t>
      </w:r>
    </w:p>
    <w:p>
      <w:pPr>
        <w:spacing w:after="120"/>
        <w:jc w:val="both"/>
      </w:pPr>
      <w:r>
        <w:rPr>
          <w:sz w:val="21"/>
        </w:rPr>
        <w:t xml:space="preserve">5.1. Qoplama uzoq muddatli to‘lamaslik haqida xabar berilgan sanadan boshlab {{policy.waiting_period_days}} kunlik kutish davri o‘tgach yoki bayerning to‘lovga qobiliyatsizligi hujjatlar bilan tasdiqlangach to‘lanadi.</w:t>
      </w:r>
    </w:p>
    <w:p>
      <w:pPr>
        <w:spacing w:after="120"/>
        <w:jc w:val="both"/>
      </w:pPr>
      <w:r>
        <w:rPr>
          <w:sz w:val="21"/>
        </w:rPr>
        <w:t xml:space="preserve">5.2. To‘lovdan keyin undirilgan summalar Sug‘urtalovchi va Sug‘urtalanuvchi o‘rtasida ular ko‘rgan zararga mutanosib taqsimlanadi.</w:t>
      </w:r>
    </w:p>
    <w:p>
      <w:pPr>
        <w:spacing w:after="80"/>
      </w:pPr>
      <w:r>
        <w:rPr>
          <w:b/>
          <w:sz w:val="22"/>
        </w:rPr>
        <w:t xml:space="preserve">6. Boshqa shartlar</w:t>
      </w:r>
    </w:p>
    <w:p>
      <w:pPr>
        <w:spacing w:after="120"/>
        <w:jc w:val="both"/>
      </w:pPr>
      <w:r>
        <w:rPr>
          <w:sz w:val="21"/>
        </w:rPr>
        <w:t xml:space="preserve">6.1. Ushbu shartnomada nazarda tutilmagan barcha masalalarda tomonlar Sug‘urtalovchining sug‘urta qoidalari va amaldagi qonunchilikka amal qiladilar.</w:t>
      </w:r>
    </w:p>
    <w:p>
      <w:pPr>
        <w:spacing w:after="80"/>
      </w:pPr>
      <w:r>
        <w:rPr>
          <w:b/>
          <w:sz w:val="22"/>
        </w:rPr>
        <w:t xml:space="preserve">Tomonlarning rekvizitlari va imzolari</w:t>
      </w:r>
    </w:p>
    <w:tbl>
      <w:tblPr>
        <w:tblW w:w="5000" w:type="pct"/>
      </w:tblPr>
      <w:tr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Sug‘urtalovchi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STIR: {{insurer.tax_id}}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Bank: {{insurer.bank_name}}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Hisob raqami: {{insurer.bank_account}}, kod: {{insurer.bank_code}}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{{insurer.signatory_title}} _______________ {{insurer.signatory_name}}</w:t>
            </w:r>
          </w:p>
        </w:tc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Sug‘urtalanuvchi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Ro‘yxat raqami: {{policyholder.registration_number}}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{{policyholder.email}} {{policyholder.phone}}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_______________ {{policyholder.contact_person}}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 xml:space="preserve">1-ilova. Kredit limitlari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Bayer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Mamlakat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Ro‘yxat raqami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Limit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Valyuta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Kechiktirish, kun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Amal qiladi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gacha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18"/>
              </w:rPr>
              <w:t xml:space="preserve">{{#limits}}{{buyer_name}}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{{buyer_country}}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{{buyer_registration_number}}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{{amount}}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{{currency}}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{{payment_terms_days}}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{{valid_from}}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{{valid_until}}{{/limits}}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