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  <w:jc w:val="center"/>
      </w:pPr>
      <w:r>
        <w:rPr>
          <w:b/>
          <w:sz w:val="28"/>
        </w:rPr>
        <w:t xml:space="preserve">TRADE CREDIT INSURANCE POLICY No. {{policy.number}}</w:t>
      </w:r>
    </w:p>
    <w:p>
      <w:pPr>
        <w:spacing w:after="240"/>
        <w:jc w:val="center"/>
      </w:pPr>
      <w:r>
        <w:rPr>
          <w:sz w:val="20"/>
        </w:rPr>
        <w:t xml:space="preserve">DRAFT · {{document.date}}</w:t>
      </w:r>
    </w:p>
    <w:p>
      <w:pPr>
        <w:spacing w:after="120"/>
        <w:jc w:val="both"/>
      </w:pPr>
      <w:r>
        <w:rPr>
          <w:sz w:val="21"/>
        </w:rPr>
        <w:t xml:space="preserve">{{insurer.name}}, {{insurer.legal_form}}, licence No. {{insurer.license_number}} dated {{insurer.license_date}}, represented by {{insurer.signatory_title}} {{insurer.signatory_name}}, acting under {{insurer.signatory_basis}} (the "Insurer"), and {{policyholder.name}}, {{policyholder.legal_form}}, registration number {{policyholder.registration_number}} (the "Policyholder"), agree as follows.</w:t>
      </w:r>
    </w:p>
    <w:p>
      <w:pPr>
        <w:spacing w:after="80"/>
      </w:pPr>
      <w:r>
        <w:rPr>
          <w:b/>
          <w:sz w:val="22"/>
        </w:rPr>
        <w:t xml:space="preserve">1. Subject of the policy</w:t>
      </w:r>
    </w:p>
    <w:p>
      <w:pPr>
        <w:spacing w:after="120"/>
        <w:jc w:val="both"/>
      </w:pPr>
      <w:r>
        <w:rPr>
          <w:sz w:val="21"/>
        </w:rPr>
        <w:t xml:space="preserve">1.1. The Insurer shall indemnify the Policyholder for losses arising from the non-payment by buyers of receivables for goods, works and services supplied by the Policyholder on credit terms, when an insured event occurs: the insolvency of the buyer or its protracted default.</w:t>
      </w:r>
    </w:p>
    <w:p>
      <w:pPr>
        <w:spacing w:after="120"/>
        <w:jc w:val="both"/>
      </w:pPr>
      <w:r>
        <w:rPr>
          <w:sz w:val="21"/>
        </w:rPr>
        <w:t xml:space="preserve">1.2. Cover structure: {{policy.product}}. Policy currency: {{policy.currency}}.</w:t>
      </w:r>
    </w:p>
    <w:p>
      <w:pPr>
        <w:spacing w:after="120"/>
        <w:jc w:val="both"/>
      </w:pPr>
      <w:r>
        <w:rPr>
          <w:sz w:val="21"/>
        </w:rPr>
        <w:t xml:space="preserve">1.3. Period of insurance: from {{policy.inception_date}} to {{policy.expiry_date}} inclusive.</w:t>
      </w:r>
    </w:p>
    <w:p>
      <w:pPr>
        <w:spacing w:after="80"/>
      </w:pPr>
      <w:r>
        <w:rPr>
          <w:b/>
          <w:sz w:val="22"/>
        </w:rPr>
        <w:t xml:space="preserve">2. Cover</w:t>
      </w:r>
    </w:p>
    <w:p>
      <w:pPr>
        <w:spacing w:after="120"/>
        <w:jc w:val="both"/>
      </w:pPr>
      <w:r>
        <w:rPr>
          <w:sz w:val="21"/>
        </w:rPr>
        <w:t xml:space="preserve">2.1. Insured percentage: {{policy.insured_percentage}}.</w:t>
      </w:r>
    </w:p>
    <w:p>
      <w:pPr>
        <w:spacing w:after="120"/>
        <w:jc w:val="both"/>
      </w:pPr>
      <w:r>
        <w:rPr>
          <w:sz w:val="21"/>
        </w:rPr>
        <w:t xml:space="preserve">2.2. Cover on each buyer is limited to the credit limit set by the Insurer (Schedule 1) or, for a buyer without a credit limit, to the discretionary limit of {{policy.discretionary_limit}} {{policy.currency}}.</w:t>
      </w:r>
    </w:p>
    <w:p>
      <w:pPr>
        <w:spacing w:after="120"/>
        <w:jc w:val="both"/>
      </w:pPr>
      <w:r>
        <w:rPr>
          <w:sz w:val="21"/>
        </w:rPr>
        <w:t xml:space="preserve">2.3. Maximum credit period on insured supplies: {{policy.max_payment_terms_days}} days.</w:t>
      </w:r>
    </w:p>
    <w:p>
      <w:pPr>
        <w:spacing w:after="120"/>
        <w:jc w:val="both"/>
      </w:pPr>
      <w:r>
        <w:rPr>
          <w:sz w:val="21"/>
        </w:rPr>
        <w:t xml:space="preserve">2.4. Non-qualifying loss (NQL): a loss on one buyer below {{policy.nql_amount}} {{policy.currency}} is not indemnified.</w:t>
      </w:r>
    </w:p>
    <w:p>
      <w:pPr>
        <w:spacing w:after="120"/>
        <w:jc w:val="both"/>
      </w:pPr>
      <w:r>
        <w:rPr>
          <w:sz w:val="21"/>
        </w:rPr>
        <w:t xml:space="preserve">{{#policy.deductible}}2.5. Deductible each loss: {{policy.deductible}} {{policy.currency}}.{{/policy.deductible}}</w:t>
      </w:r>
    </w:p>
    <w:p>
      <w:pPr>
        <w:spacing w:after="120"/>
        <w:jc w:val="both"/>
      </w:pPr>
      <w:r>
        <w:rPr>
          <w:sz w:val="21"/>
        </w:rPr>
        <w:t xml:space="preserve">{{#policy.aggregate_first_loss}}2.6. Aggregate first loss for the period of insurance: {{policy.aggregate_first_loss}} {{policy.currency}}.{{/policy.aggregate_first_loss}}</w:t>
      </w:r>
    </w:p>
    <w:p>
      <w:pPr>
        <w:spacing w:after="120"/>
        <w:jc w:val="both"/>
      </w:pPr>
      <w:r>
        <w:rPr>
          <w:sz w:val="21"/>
        </w:rPr>
        <w:t xml:space="preserve">2.7. Maximum liability of the Insurer under this policy: {{policy.max_liability_amount}} {{policy.currency}}.</w:t>
      </w:r>
    </w:p>
    <w:p>
      <w:pPr>
        <w:spacing w:after="80"/>
      </w:pPr>
      <w:r>
        <w:rPr>
          <w:b/>
          <w:sz w:val="22"/>
        </w:rPr>
        <w:t xml:space="preserve">3. Premium</w:t>
      </w:r>
    </w:p>
    <w:p>
      <w:pPr>
        <w:spacing w:after="120"/>
        <w:jc w:val="both"/>
      </w:pPr>
      <w:r>
        <w:rPr>
          <w:sz w:val="21"/>
        </w:rPr>
        <w:t xml:space="preserve">3.1. Premium rate: {{policy.premium_rate}} of the insured turnover declared by the Policyholder.</w:t>
      </w:r>
    </w:p>
    <w:p>
      <w:pPr>
        <w:spacing w:after="120"/>
        <w:jc w:val="both"/>
      </w:pPr>
      <w:r>
        <w:rPr>
          <w:sz w:val="21"/>
        </w:rPr>
        <w:t xml:space="preserve">3.2. Minimum premium for the period of insurance: {{policy.minimum_premium}} {{policy.currency}} ({{policy.premium_basis}}).</w:t>
      </w:r>
    </w:p>
    <w:p>
      <w:pPr>
        <w:spacing w:after="120"/>
        <w:jc w:val="both"/>
      </w:pPr>
      <w:r>
        <w:rPr>
          <w:sz w:val="21"/>
        </w:rPr>
        <w:t xml:space="preserve">3.3. The Policyholder submits turnover declarations: {{policy.declaration_frequency}}.</w:t>
      </w:r>
    </w:p>
    <w:p>
      <w:pPr>
        <w:spacing w:after="80"/>
      </w:pPr>
      <w:r>
        <w:rPr>
          <w:b/>
          <w:sz w:val="22"/>
        </w:rPr>
        <w:t xml:space="preserve">4. Obligations of the Policyholder</w:t>
      </w:r>
    </w:p>
    <w:p>
      <w:pPr>
        <w:spacing w:after="120"/>
        <w:jc w:val="both"/>
      </w:pPr>
      <w:r>
        <w:rPr>
          <w:sz w:val="21"/>
        </w:rPr>
        <w:t xml:space="preserve">4.1. The Policyholder notifies the Insurer of a buyer's overdue payment no later than {{policy.noa_window_days}} days after the maximum extension period ({{policy.max_extension_days}} days) has expired, and stops supplying that buyer on credit terms until agreed with the Insurer.</w:t>
      </w:r>
    </w:p>
    <w:p>
      <w:pPr>
        <w:spacing w:after="120"/>
        <w:jc w:val="both"/>
      </w:pPr>
      <w:r>
        <w:rPr>
          <w:sz w:val="21"/>
        </w:rPr>
        <w:t xml:space="preserve">4.2. The Policyholder takes all reasonable steps to recover the debt and assigns its rights of recovery to the Insurer to the extent of the indemnity paid (subrogation).</w:t>
      </w:r>
    </w:p>
    <w:p>
      <w:pPr>
        <w:spacing w:after="80"/>
      </w:pPr>
      <w:r>
        <w:rPr>
          <w:b/>
          <w:sz w:val="22"/>
        </w:rPr>
        <w:t xml:space="preserve">5. Claims</w:t>
      </w:r>
    </w:p>
    <w:p>
      <w:pPr>
        <w:spacing w:after="120"/>
        <w:jc w:val="both"/>
      </w:pPr>
      <w:r>
        <w:rPr>
          <w:sz w:val="21"/>
        </w:rPr>
        <w:t xml:space="preserve">5.1. The indemnity is paid after a waiting period of {{policy.waiting_period_days}} days from the notification of protracted default, or once the buyer's insolvency is established.</w:t>
      </w:r>
    </w:p>
    <w:p>
      <w:pPr>
        <w:spacing w:after="120"/>
        <w:jc w:val="both"/>
      </w:pPr>
      <w:r>
        <w:rPr>
          <w:sz w:val="21"/>
        </w:rPr>
        <w:t xml:space="preserve">5.2. Recoveries after payment are shared between the Insurer and the Policyholder in proportion to the loss each bore.</w:t>
      </w:r>
    </w:p>
    <w:p>
      <w:pPr>
        <w:spacing w:after="80"/>
      </w:pPr>
      <w:r>
        <w:rPr>
          <w:b/>
          <w:sz w:val="22"/>
        </w:rPr>
        <w:t xml:space="preserve">6. General</w:t>
      </w:r>
    </w:p>
    <w:p>
      <w:pPr>
        <w:spacing w:after="120"/>
        <w:jc w:val="both"/>
      </w:pPr>
      <w:r>
        <w:rPr>
          <w:sz w:val="21"/>
        </w:rPr>
        <w:t xml:space="preserve">6.1. Anything not provided for in this policy is governed by the Insurer's rules of insurance and the applicable law.</w:t>
      </w:r>
    </w:p>
    <w:p>
      <w:pPr>
        <w:spacing w:after="80"/>
      </w:pPr>
      <w:r>
        <w:rPr>
          <w:b/>
          <w:sz w:val="22"/>
        </w:rPr>
        <w:t xml:space="preserve">Particulars and signatures</w:t>
      </w:r>
    </w:p>
    <w:tbl>
      <w:tblPr>
        <w:tblW w:w="5000" w:type="pct"/>
      </w:tblPr>
      <w:tr>
        <w:tc>
          <w:tcPr>
            <w:tcW w:w="2500" w:type="pct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Insurer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{{insurer.address}}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Tax ID: {{insurer.tax_id}}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Bank: {{insurer.bank_name}}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Account: {{insurer.bank_account}}, code: {{insurer.bank_code}}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>{{insurer.signatory_title}} _______________ {{insurer.signatory_name}}</w:t>
            </w:r>
          </w:p>
        </w:tc>
        <w:tc>
          <w:tcPr>
            <w:tcW w:w="2500" w:type="pct"/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Policyholder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{{policyholder.name}}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{{policyholder.address}}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Reg. No.: {{policyholder.registration_number}}</w:t>
            </w:r>
          </w:p>
          <w:p>
            <w:pPr>
              <w:spacing w:after="40"/>
            </w:pPr>
            <w:r>
              <w:rPr>
                <w:sz w:val="20"/>
              </w:rPr>
              <w:t xml:space="preserve">{{policyholder.email}} {{policyholder.phone}}</w:t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/>
            </w:r>
          </w:p>
          <w:p>
            <w:pPr>
              <w:spacing w:after="40"/>
            </w:pPr>
            <w:r>
              <w:rPr>
                <w:sz w:val="20"/>
              </w:rPr>
              <w:t xml:space="preserve">_______________ {{policyholder.contact_person}}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sz w:val="22"/>
        </w:rPr>
        <w:t xml:space="preserve">Schedule 1. Credit limits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Buyer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Country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Reg. No.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Limit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Currency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Credit period, days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Valid from</w:t>
            </w:r>
          </w:p>
        </w:tc>
        <w:tc>
          <w:tcPr/>
          <w:p>
            <w:pPr>
              <w:spacing w:after="0"/>
            </w:pPr>
            <w:r>
              <w:rPr>
                <w:b/>
                <w:sz w:val="18"/>
              </w:rPr>
              <w:t xml:space="preserve">until</w:t>
            </w:r>
          </w:p>
        </w:tc>
      </w:tr>
      <w:tr>
        <w:tc>
          <w:tcPr/>
          <w:p>
            <w:pPr>
              <w:spacing w:after="0"/>
            </w:pPr>
            <w:r>
              <w:rPr>
                <w:sz w:val="18"/>
              </w:rPr>
              <w:t xml:space="preserve">{{#limits}}{{buyer_name}}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{{buyer_country}}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{{buyer_registration_number}}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{{amount}}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{{currency}}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{{payment_terms_days}}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{{valid_from}}</w:t>
            </w:r>
          </w:p>
        </w:tc>
        <w:tc>
          <w:tcPr/>
          <w:p>
            <w:pPr>
              <w:spacing w:after="0"/>
            </w:pPr>
            <w:r>
              <w:rPr>
                <w:sz w:val="18"/>
              </w:rPr>
              <w:t xml:space="preserve">{{valid_until}}{{/limits}}</w:t>
            </w:r>
          </w:p>
        </w:tc>
      </w:tr>
    </w:tbl>
    <w:sectPr>
      <w:pgSz w:w="11906" w:h="16838"/>
      <w:pgMar w:top="1134" w:right="850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1"/>
        <w:lang w:val="ru-RU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