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21 неделя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01208903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Для управления следующими системами требуется подключение к процессорным модулям: приточные системы, автономные вытяжные системы, мониторинг систем электроснабжения, управление освещением, мониторинг оборудования ВК (дренажные насосы, насосные установки), ИТП, отопление, кондиционирование, технологическое оборудование, тепловентиляторы, тепловые завесы, обогрев площадок, технологическая вентиляция.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 по пунктам 5–8 осуществляется поэтапно: аванс в размере 50% от стоимости работ по этапу в течение 3 (трёх)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зачет аванса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и выполнение работ по созданию АСУ ТП осуществляется на склад Заказчика по адресу: ____________.</w:t>
      </w:r>
      <w:r w:rsidRPr="00D532A7">
        <w:rPr>
          <w:rFonts w:ascii="Arial" w:eastAsia="Times New Roman" w:hAnsi="Arial" w:cs="Arial"/>
          <w:lang w:eastAsia="ru-RU"/>
        </w:rPr>
        <w:t/>
      </w:r>
      <w:r w:rsidRPr="00D532A7">
        <w:rPr>
          <w:rFonts w:ascii="Arial" w:hAnsi="Arial" w:cs="Arial"/>
          <w:lang w:eastAsia="ru-RU"/>
        </w:rPr>
        <w:t/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или сторонам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Исполнительная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 xml:space="preserve"> документация</w:t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Объём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>Исполнительная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 документация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заземляющими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7C57480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A50D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FA609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КИПиА</w:t>
            </w:r>
          </w:p>
        </w:tc>
      </w:tr>
      <w:tr w:rsidR="009D245F" w:rsidRPr="009D245F" w14:paraId="28A389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B724A7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9EC97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и подключение кабельных линий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шкафов диспетчеризации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  <w:r w:rsidRPr="006E184C">
              <w:rPr>
                <w:rFonts w:ascii="Arial" w:eastAsia="Calibri" w:hAnsi="Arial" w:cs="Arial"/>
              </w:rPr>
              <w:t/>
            </w:r>
            <w:r>
              <w:rPr>
                <w:rFonts w:ascii="Arial" w:eastAsia="Calibri" w:hAnsi="Arial" w:cs="Arial"/>
              </w:rPr>
              <w:t/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Приёмо-сдаточные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>ей</w:t>
            </w:r>
            <w:r w:rsidRPr="00604F04">
              <w:rPr>
                <w:rFonts w:ascii="Arial" w:hAnsi="Arial" w:cs="Arial"/>
                <w:sz w:val="24"/>
                <w:szCs w:val="24"/>
              </w:rPr>
              <w:t>. Срок начала работ согласовывается Сторонами в договоре.</w:t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выдаётся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приёма-передачи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приёма-передачи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приёмо‑сдаточные испытания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приёмо‑сдаточных испытаний. 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3 (три) дня с момента окончания работ по этапу №3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четыре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дн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я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Монтажные работы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5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приёмо-сдаточные испытания. 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о завершении ПНР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персонала (оперативного и инженеров).</w:t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Дата начала выполнения работ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согласовывается в договоре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надёжность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распределенных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производителей,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счёт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трёхуровневой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~220В, =220В, =24В).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включена в состав средств измерения Госреестра под №74207-19, имеет сертификат соответствия таможенного союза ЕАЭС RU C-RU.HB71.B.00395/23 (серия RU №0473603),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пуско-наладочных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</w:t>
      </w:r>
      <w:r w:rsidR="00F93C93" w:rsidRPr="00604F04">
        <w:rPr>
          <w:rFonts w:ascii="Arial" w:hAnsi="Arial" w:cs="Arial"/>
          <w:bCs/>
        </w:rPr>
        <w:t xml:space="preserve"> Р ИСО 9001 – 2015;</w:t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 xml:space="preserve">. ГОСТ Р ИСО </w:t>
      </w:r>
      <w:r w:rsidRPr="00604F04">
        <w:rPr>
          <w:rFonts w:ascii="Arial" w:hAnsi="Arial" w:cs="Arial"/>
          <w:bCs/>
        </w:rPr>
        <w:t>45001</w:t>
      </w:r>
      <w:r w:rsidR="00F93C93" w:rsidRPr="00604F04">
        <w:rPr>
          <w:rFonts w:ascii="Arial" w:hAnsi="Arial" w:cs="Arial"/>
          <w:bCs/>
        </w:rPr>
        <w:t xml:space="preserve"> – </w:t>
      </w:r>
      <w:r w:rsidRPr="00604F04">
        <w:rPr>
          <w:rFonts w:ascii="Arial" w:hAnsi="Arial" w:cs="Arial"/>
          <w:bCs/>
        </w:rPr>
        <w:t>2020</w:t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