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Biostatistics</w:t>
      </w:r>
    </w:p>
    <w:p>
      <w:pPr>
        <w:pStyle w:val="Author"/>
      </w:pPr>
      <w:r>
        <w:t xml:space="preserve">V.</w:t>
      </w:r>
      <w:r>
        <w:t xml:space="preserve"> </w:t>
      </w:r>
      <w:r>
        <w:t xml:space="preserve">Inácio</w:t>
      </w:r>
      <w:r>
        <w:t xml:space="preserve"> </w:t>
      </w:r>
      <w:r>
        <w:t xml:space="preserve">de</w:t>
      </w:r>
      <w:r>
        <w:t xml:space="preserve"> </w:t>
      </w:r>
      <w:r>
        <w:t xml:space="preserve">Carvalho</w:t>
      </w:r>
      <w:r>
        <w:t xml:space="preserve"> </w:t>
      </w:r>
      <w:r>
        <w:t xml:space="preserve">&amp;</w:t>
      </w:r>
      <w:r>
        <w:t xml:space="preserve"> </w:t>
      </w:r>
      <w:r>
        <w:t xml:space="preserve">M.</w:t>
      </w:r>
      <w:r>
        <w:t xml:space="preserve"> </w:t>
      </w:r>
      <w:r>
        <w:t xml:space="preserve">de</w:t>
      </w:r>
      <w:r>
        <w:t xml:space="preserve"> </w:t>
      </w:r>
      <w:r>
        <w:t xml:space="preserve">Carvalho</w:t>
      </w:r>
    </w:p>
    <w:p>
      <w:pPr>
        <w:pStyle w:val="FirstParagraph"/>
      </w:pPr>
      <w:r>
        <w:t xml:space="preserve">We will start by reproducing the plots we have in slides 7 and 9 of the lectures (sampling distributions of</w:t>
      </w:r>
      <w:r>
        <w:t xml:space="preserve"> </w:t>
      </w:r>
      <m:oMath>
        <m:acc>
          <m:accPr>
            <m:chr m:val="̂"/>
          </m:accPr>
          <m:e>
            <m:r>
              <m:rPr>
                <m:nor/>
                <m:sty m:val="p"/>
              </m:rPr>
              <m:t>OR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log</m:t>
        </m:r>
        <m:acc>
          <m:accPr>
            <m:chr m:val="̂"/>
          </m:accPr>
          <m:e>
            <m:r>
              <m:rPr>
                <m:nor/>
                <m:sty m:val="p"/>
              </m:rPr>
              <m:t>OR</m:t>
            </m:r>
          </m:e>
        </m:acc>
      </m:oMath>
      <w:r>
        <w:t xml:space="preserve">). We will also make the corresponding plots for the sampling distributions of</w:t>
      </w:r>
      <w:r>
        <w:t xml:space="preserve"> </w:t>
      </w:r>
      <m:oMath>
        <m:acc>
          <m:accPr>
            <m:chr m:val="̂"/>
          </m:accPr>
          <m:e>
            <m:r>
              <m:rPr>
                <m:nor/>
                <m:sty m:val="p"/>
              </m:rPr>
              <m:t>RR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log</m:t>
        </m:r>
        <m:acc>
          <m:accPr>
            <m:chr m:val="̂"/>
          </m:accPr>
          <m:e>
            <m:r>
              <m:rPr>
                <m:nor/>
                <m:sty m:val="p"/>
              </m:rPr>
              <m:t>RR</m:t>
            </m:r>
          </m:e>
        </m:acc>
      </m:oMath>
      <w:r>
        <w:t xml:space="preserve">. The key is to remember that, under a cohort design, the entry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contingency table (slide 3) follows a binomial distribution whose parameters are the number of exposed individuals and probability of disease given exposure. Similarly, the entry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(in the same contingency table) also follows a binomial distribution whose parameters are, in turn, the number of individuals who are not exposed and the probability of disease given no exposure. We will be assuming that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Pr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E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and that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Pr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not </m:t>
            </m:r>
            <m:r>
              <m:t>E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and, further, that we have 50 individuals in the exposed group and another 50 individuals in the unexposed group. To make the results reproducible, I will be fixing the seed. The code is as follows.</w:t>
      </w:r>
    </w:p>
    <w:p>
      <w:pPr>
        <w:pStyle w:val="SourceCode"/>
      </w:pPr>
      <w:r>
        <w:rPr>
          <w:rStyle w:val="NormalTok"/>
        </w:rPr>
        <w:t xml:space="preserve">n_exp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 exposição</w:t>
      </w:r>
      <w:r>
        <w:br/>
      </w:r>
      <w:r>
        <w:rPr>
          <w:rStyle w:val="NormalTok"/>
        </w:rPr>
        <w:t xml:space="preserve">n_unexp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(nsim)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n_exp, p1) </w:t>
      </w:r>
      <w:r>
        <w:rPr>
          <w:rStyle w:val="CommentTok"/>
        </w:rPr>
        <w:t xml:space="preserve"># distribuição binomial, da contagem associada! a doença e exposição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n_unexp, p2)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n_unexp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 </w:t>
      </w:r>
      <w:r>
        <w:rPr>
          <w:rStyle w:val="CommentTok"/>
        </w:rPr>
        <w:t xml:space="preserve"># simular 1000 tabelas de contigência!</w:t>
      </w:r>
      <w:r>
        <w:br/>
      </w:r>
      <w:r>
        <w:rPr>
          <w:rStyle w:val="NormalTok"/>
        </w:rPr>
        <w:t xml:space="preserve">  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RR[i]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(OR),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(OR))),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(OR),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(OR))),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(OR))),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(OR)))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OR"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(df_OR, </w:t>
      </w:r>
      <w:r>
        <w:rPr>
          <w:rStyle w:val="Attribut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of the sampling distributions of the OR and log OR"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statistics of the sampling distributions of the OR and log OR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 of the sampling distributions of the OR and log OR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(OR,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odds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estimated 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-2---parte-computaciona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(OR),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log odds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estimated log 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-2---parte-computaciona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(RR),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(RR))),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(RR),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(RR))),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(RR),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(RR))),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(RR),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(RR)))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(df_RR)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RR"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(df_RR, </w:t>
      </w:r>
      <w:r>
        <w:rPr>
          <w:rStyle w:val="Attribut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of the sampling distributions of the RR and log RR"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statistics of the sampling distributions of the RR and log RR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 of the sampling distributions of the RR and log RR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(RR,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 relative risk"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estimated 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ula-2---parte-computaciona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(RR),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log relative risk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estimated log 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ula-2---parte-computaciona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now illustrate the usage of the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packages which, among many things, have functions to compute estimates and CIs for different measures of association. We will use the data from the example in slide 17.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(epiR)</w:t>
      </w:r>
    </w:p>
    <w:p>
      <w:pPr>
        <w:pStyle w:val="SourceCode"/>
      </w:pPr>
      <w:r>
        <w:rPr>
          <w:rStyle w:val="VerbatimChar"/>
        </w:rPr>
        <w:t xml:space="preserve">## Warning: package 'epiR' was built under R version 4.3.3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epi.2by2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"case.control"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interpret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"as.columns"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               Odds</w:t>
      </w:r>
      <w:r>
        <w:br/>
      </w:r>
      <w:r>
        <w:rPr>
          <w:rStyle w:val="VerbatimChar"/>
        </w:rPr>
        <w:t xml:space="preserve">## Exposed +           62           76        138        0.82 (0.59 to 1.12)</w:t>
      </w:r>
      <w:r>
        <w:br/>
      </w:r>
      <w:r>
        <w:rPr>
          <w:rStyle w:val="VerbatimChar"/>
        </w:rPr>
        <w:t xml:space="preserve">## Exposed -            5           55         60        0.09 (0.02 to 0.20)</w:t>
      </w:r>
      <w:r>
        <w:br/>
      </w:r>
      <w:r>
        <w:rPr>
          <w:rStyle w:val="VerbatimChar"/>
        </w:rPr>
        <w:t xml:space="preserve">## Total               67          131        198        0.51 (0.37 to 0.68)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Exposure odds ratio                            8.97 (3.38, 23.79)</w:t>
      </w:r>
      <w:r>
        <w:br/>
      </w:r>
      <w:r>
        <w:rPr>
          <w:rStyle w:val="VerbatimChar"/>
        </w:rPr>
        <w:t xml:space="preserve">## Attrib fraction (est) in the exposed (%)      88.75 (69.69, 96.69)</w:t>
      </w:r>
      <w:r>
        <w:br/>
      </w:r>
      <w:r>
        <w:rPr>
          <w:rStyle w:val="VerbatimChar"/>
        </w:rPr>
        <w:t xml:space="preserve">## Attrib fraction (est) in the population (%)   82.23 (57.71, 92.53)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Uncorrected chi2 test that OR = 1: chi2(1) = 25.013 Pr&gt;chi2 = &lt;0.001</w:t>
      </w:r>
      <w:r>
        <w:br/>
      </w:r>
      <w:r>
        <w:rPr>
          <w:rStyle w:val="VerbatimChar"/>
        </w:rPr>
        <w:t xml:space="preserve">## Fisher exact test that OR = 1: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Measures of association strength:</w:t>
      </w:r>
      <w:r>
        <w:br/>
      </w:r>
      <w:r>
        <w:rPr>
          <w:rStyle w:val="VerbatimChar"/>
        </w:rPr>
        <w:t xml:space="preserve">##  The exposure odds among cases was 8.97 (95% CI 3.38 to 23.79) times the exposure odds among controls: the odds of the outcome among cases was greater than the odds of the outcome among controls.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Measures of effect in the exposed:</w:t>
      </w:r>
      <w:r>
        <w:br/>
      </w:r>
      <w:r>
        <w:rPr>
          <w:rStyle w:val="VerbatimChar"/>
        </w:rPr>
        <w:t xml:space="preserve">##  88.7% of outcomes in the exposed were attributable to exposure (95% CI 69.7% to 96.7%).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Measures of effect in the population:</w:t>
      </w:r>
      <w:r>
        <w:br/>
      </w:r>
      <w:r>
        <w:rPr>
          <w:rStyle w:val="VerbatimChar"/>
        </w:rPr>
        <w:t xml:space="preserve">##  82.2% of outcomes in the population were attributable to exposure (95% CI 57.7% to 92.5%).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(epitools)</w:t>
      </w:r>
    </w:p>
    <w:p>
      <w:pPr>
        <w:pStyle w:val="SourceCode"/>
      </w:pPr>
      <w:r>
        <w:rPr>
          <w:rStyle w:val="VerbatimChar"/>
        </w:rPr>
        <w:t xml:space="preserve">## Warning: package 'epitools' was built under R version 4.3.1</w:t>
      </w:r>
    </w:p>
    <w:p>
      <w:pPr>
        <w:pStyle w:val="SourceCode"/>
      </w:pPr>
      <w:r>
        <w:rPr>
          <w:rStyle w:val="FunctionTok"/>
        </w:rPr>
        <w:t xml:space="preserve">oddsratio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     Outcome</w:t>
      </w:r>
      <w:r>
        <w:br/>
      </w:r>
      <w:r>
        <w:rPr>
          <w:rStyle w:val="VerbatimChar"/>
        </w:rPr>
        <w:t xml:space="preserve">## Predictor  Disease1 Disease2 Total</w:t>
      </w:r>
      <w:r>
        <w:br/>
      </w:r>
      <w:r>
        <w:rPr>
          <w:rStyle w:val="VerbatimChar"/>
        </w:rPr>
        <w:t xml:space="preserve">##   Exposed1       62       76   138</w:t>
      </w:r>
      <w:r>
        <w:br/>
      </w:r>
      <w:r>
        <w:rPr>
          <w:rStyle w:val="VerbatimChar"/>
        </w:rPr>
        <w:t xml:space="preserve">##   Exposed2        5       55    60</w:t>
      </w:r>
      <w:r>
        <w:br/>
      </w:r>
      <w:r>
        <w:rPr>
          <w:rStyle w:val="VerbatimChar"/>
        </w:rPr>
        <w:t xml:space="preserve">##   Total          67      131   198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$measure</w:t>
      </w:r>
      <w:r>
        <w:br/>
      </w:r>
      <w:r>
        <w:rPr>
          <w:rStyle w:val="VerbatimChar"/>
        </w:rPr>
        <w:t xml:space="preserve">##           odds ratio with 95% C.I.</w:t>
      </w:r>
      <w:r>
        <w:br/>
      </w:r>
      <w:r>
        <w:rPr>
          <w:rStyle w:val="VerbatimChar"/>
        </w:rPr>
        <w:t xml:space="preserve">## Predictor  estimate    lower    upper</w:t>
      </w:r>
      <w:r>
        <w:br/>
      </w:r>
      <w:r>
        <w:rPr>
          <w:rStyle w:val="VerbatimChar"/>
        </w:rPr>
        <w:t xml:space="preserve">##   Exposed1 1.000000       NA       NA</w:t>
      </w:r>
      <w:r>
        <w:br/>
      </w:r>
      <w:r>
        <w:rPr>
          <w:rStyle w:val="VerbatimChar"/>
        </w:rPr>
        <w:t xml:space="preserve">##   Exposed2 8.973684 3.384777 23.79093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          two-sided</w:t>
      </w:r>
      <w:r>
        <w:br/>
      </w:r>
      <w:r>
        <w:rPr>
          <w:rStyle w:val="VerbatimChar"/>
        </w:rPr>
        <w:t xml:space="preserve">## Predictor    midp.exact fisher.exact   chi.square</w:t>
      </w:r>
      <w:r>
        <w:br/>
      </w:r>
      <w:r>
        <w:rPr>
          <w:rStyle w:val="VerbatimChar"/>
        </w:rPr>
        <w:t xml:space="preserve">##   Exposed1           NA           NA           NA</w:t>
      </w:r>
      <w:r>
        <w:br/>
      </w:r>
      <w:r>
        <w:rPr>
          <w:rStyle w:val="VerbatimChar"/>
        </w:rPr>
        <w:t xml:space="preserve">##   Exposed2 1.225344e-07 1.967011e-07 5.693107e-07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$correction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attr(,"method")</w:t>
      </w:r>
      <w:r>
        <w:br/>
      </w:r>
      <w:r>
        <w:rPr>
          <w:rStyle w:val="VerbatimChar"/>
        </w:rPr>
        <w:t xml:space="preserve">## [1] "Unconditional MLE &amp; normal approximation (Wald) CI"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</dc:title>
  <dc:creator>V. Inácio de Carvalho &amp; M. de Carvalho</dc:creator>
  <cp:keywords/>
  <dcterms:created xsi:type="dcterms:W3CDTF">2024-11-29T11:02:55Z</dcterms:created>
  <dcterms:modified xsi:type="dcterms:W3CDTF">2024-11-29T11:02:55Z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