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PhishHunter: Agentic Phishing Triage (FAAI CA-3)</w:t>
      </w:r>
    </w:p>
    <w:p>
      <w:pPr/>
      <w:r>
        <w:t xml:space="preserve">Oct 19, 2026</w:t>
      </w:r>
      <w:r>
        <w:t xml:space="preserve"> · </w:t>
      </w:r>
      <w:r>
        <w:t xml:space="preserve">@Mani</w:t>
      </w:r>
    </w:p>
    <w:p>
      <w:pPr/>
      <w:r>
        <w:rPr>
          <w:b/>
        </w:rPr>
        <w:t xml:space="preserve">Submitted by:</w:t>
      </w:r>
      <w:r>
        <w:t xml:space="preserve"> Manikantan Ajit Menon · PRN 24070126108 · B.Tech AI &amp; ML, Symbiosis Institute of Technology, Pune</w:t>
      </w:r>
    </w:p>
    <w:p>
      <w:pPr>
        <w:pStyle w:val="Heading2"/>
      </w:pPr>
      <w:r>
        <w:t xml:space="preserve">Overview</w:t>
      </w:r>
    </w:p>
    <w:p>
      <w:pPr/>
      <w:r>
        <w:t xml:space="preserve">PhishHunter is a multi-agent AI system that investigates emails employees report as phishing, decides whether each one is malicious, and contains the attack automatically. The domain is cybersecurity, specifically the Security Operations Centre (SOC).</w:t>
      </w:r>
    </w:p>
    <w:tbl>
      <w:tblPr>
        <w:tblStyle w:val="TableGrid"/>
        <w:tblW w:w="0" w:type="auto"/>
        <w:tblLayout w:type="fixed"/>
        <w:tblLook w:val="04A0" w:firstRow="1" w:lastRow="0" w:firstColumn="0" w:lastColumn="0" w:noHBand="0" w:noVBand="1"/>
      </w:tblPr>
      <w:tblGrid>
        <w:gridCol w:w="2115"/>
        <w:gridCol w:w="7244"/>
      </w:tblGrid>
      <w:tr>
        <w:trPr>
          <w:tblHeader/>
        </w:trPr>
        <w:tc>
          <w:tcPr>
            <w:tcW w:w="2115" w:type="dxa"/>
            <w:shd w:val="clear" w:color="auto" w:fill="F2F2F2"/>
          </w:tcPr>
          <w:p>
            <w:pPr/>
            <w:r>
              <w:t xml:space="preserve">Item</w:t>
            </w:r>
          </w:p>
        </w:tc>
        <w:tc>
          <w:tcPr>
            <w:tcW w:w="7244" w:type="dxa"/>
            <w:shd w:val="clear" w:color="auto" w:fill="F2F2F2"/>
          </w:tcPr>
          <w:p>
            <w:pPr/>
            <w:r>
              <w:t xml:space="preserve">Detail</w:t>
            </w:r>
          </w:p>
        </w:tc>
      </w:tr>
      <w:tr>
        <w:tc>
          <w:tcPr>
            <w:tcW w:w="2115" w:type="dxa"/>
          </w:tcPr>
          <w:p>
            <w:pPr/>
            <w:r>
              <w:t xml:space="preserve">Course</w:t>
            </w:r>
          </w:p>
        </w:tc>
        <w:tc>
          <w:tcPr>
            <w:tcW w:w="7244" w:type="dxa"/>
          </w:tcPr>
          <w:p>
            <w:pPr/>
            <w:r>
              <w:t xml:space="preserve">Foundation of Agentic AI, CA-3 Case Study</w:t>
            </w:r>
          </w:p>
        </w:tc>
      </w:tr>
      <w:tr>
        <w:tc>
          <w:tcPr>
            <w:tcW w:w="2115" w:type="dxa"/>
          </w:tcPr>
          <w:p>
            <w:pPr/>
            <w:r>
              <w:t xml:space="preserve">Type</w:t>
            </w:r>
          </w:p>
        </w:tc>
        <w:tc>
          <w:tcPr>
            <w:tcW w:w="7244" w:type="dxa"/>
          </w:tcPr>
          <w:p>
            <w:pPr/>
            <w:r>
              <w:t xml:space="preserve">Proof of Concept on dummy data</w:t>
            </w:r>
          </w:p>
        </w:tc>
      </w:tr>
      <w:tr>
        <w:tc>
          <w:tcPr>
            <w:tcW w:w="2115" w:type="dxa"/>
          </w:tcPr>
          <w:p>
            <w:pPr/>
            <w:r>
              <w:t xml:space="preserve">Domain</w:t>
            </w:r>
          </w:p>
        </w:tc>
        <w:tc>
          <w:tcPr>
            <w:tcW w:w="7244" w:type="dxa"/>
          </w:tcPr>
          <w:p>
            <w:pPr/>
            <w:r>
              <w:t xml:space="preserve">Cybersecurity: phishing triage and incident response</w:t>
            </w:r>
          </w:p>
        </w:tc>
      </w:tr>
      <w:tr>
        <w:tc>
          <w:tcPr>
            <w:tcW w:w="2115" w:type="dxa"/>
          </w:tcPr>
          <w:p>
            <w:pPr/>
            <w:r>
              <w:t xml:space="preserve">Framework</w:t>
            </w:r>
          </w:p>
        </w:tc>
        <w:tc>
          <w:tcPr>
            <w:tcW w:w="7244" w:type="dxa"/>
          </w:tcPr>
          <w:p>
            <w:pPr/>
            <w:r>
              <w:t xml:space="preserve">LangGraph (Python), Streamlit UI</w:t>
            </w:r>
          </w:p>
        </w:tc>
      </w:tr>
      <w:tr>
        <w:tc>
          <w:tcPr>
            <w:tcW w:w="2115" w:type="dxa"/>
          </w:tcPr>
          <w:p>
            <w:pPr/>
            <w:r>
              <w:t xml:space="preserve">LLM</w:t>
            </w:r>
          </w:p>
        </w:tc>
        <w:tc>
          <w:tcPr>
            <w:tcW w:w="7244" w:type="dxa"/>
          </w:tcPr>
          <w:p>
            <w:pPr/>
            <w:r>
              <w:t xml:space="preserve">Google Gemini 2.5 Flash (free tier), with an offline rule-based fallback</w:t>
            </w:r>
          </w:p>
        </w:tc>
      </w:tr>
      <w:tr>
        <w:tc>
          <w:tcPr>
            <w:tcW w:w="2115" w:type="dxa"/>
          </w:tcPr>
          <w:p>
            <w:pPr/>
            <w:r>
              <w:t xml:space="preserve">Team</w:t>
            </w:r>
          </w:p>
        </w:tc>
        <w:tc>
          <w:tcPr>
            <w:tcW w:w="7244" w:type="dxa"/>
          </w:tcPr>
          <w:p>
            <w:pPr/>
            <w:r>
              <w:t xml:space="preserve">Individual</w:t>
            </w:r>
          </w:p>
        </w:tc>
      </w:tr>
    </w:tbl>
    <w:p>
      <w:pPr>
        <w:pStyle w:val="Heading2"/>
      </w:pPr>
      <w:r>
        <w:t xml:space="preserve">Problem statement</w:t>
      </w:r>
    </w:p>
    <w:p>
      <w:pPr/>
      <w:r>
        <w:t xml:space="preserve">Companies train employees to click "Report phishing", but the security team then has to investigate every report by hand. Most reports are harmless, a few are real attacks, and the real ones spread to many inboxes while they wait in the queue.</w:t>
      </w:r>
    </w:p>
    <w:p>
      <w:pPr/>
      <w:r>
        <w:t xml:space="preserve">For each report an analyst must repeat the same steps: check the sender's authentication (SPF, DKIM, DMARC), look up every link, domain, IP and attachment in threat-intelligence tools, read the text for social-engineering tricks, find who else received it and who clicked, then quarantine, block, reset passwords and write a ticket. Doing this by hand for every report is slow, so attackers get a long window.</w:t>
      </w:r>
    </w:p>
    <w:p>
      <w:pPr/>
      <w:r>
        <w:rPr>
          <w:b/>
        </w:rPr>
        <w:t xml:space="preserve">Problem:</w:t>
      </w:r>
      <w:r>
        <w:t xml:space="preserve"> manual phishing triage is slow, repetitive and inconsistent, which lets real attacks reach more people and leaves analysts buried in harmless reports.</w:t>
      </w:r>
    </w:p>
    <w:p>
      <w:pPr/>
      <w:r>
        <w:rPr>
          <w:b/>
        </w:rPr>
        <w:t xml:space="preserve">Why agentic AI fits:</w:t>
      </w:r>
    </w:p>
    <w:p>
      <w:pPr>
        <w:pStyle w:val="ListParagraph"/>
        <w:numPr>
          <w:ilvl w:val="0"/>
          <w:numId w:val="2"/>
        </w:numPr>
      </w:pPr>
      <w:r>
        <w:t xml:space="preserve">The work splits naturally into specialist roles (header forensics, threat intel, language analysis, response) that can run in parallel.</w:t>
      </w:r>
    </w:p>
    <w:p>
      <w:pPr>
        <w:pStyle w:val="ListParagraph"/>
        <w:numPr>
          <w:ilvl w:val="0"/>
          <w:numId w:val="2"/>
        </w:numPr>
      </w:pPr>
      <w:r>
        <w:t xml:space="preserve">Each step needs tools (lookups, mailbox search, block lists), not just text generation.</w:t>
      </w:r>
    </w:p>
    <w:p>
      <w:pPr>
        <w:pStyle w:val="ListParagraph"/>
        <w:numPr>
          <w:ilvl w:val="0"/>
          <w:numId w:val="2"/>
        </w:numPr>
      </w:pPr>
      <w:r>
        <w:t xml:space="preserve">The next step depends on what was found: safe emails close, clear attacks are contained, and grey-zone cases go to a human.</w:t>
      </w:r>
    </w:p>
    <w:p>
      <w:pPr>
        <w:pStyle w:val="ListParagraph"/>
        <w:numPr>
          <w:ilvl w:val="0"/>
          <w:numId w:val="2"/>
        </w:numPr>
      </w:pPr>
      <w:r>
        <w:t xml:space="preserve">An LLM is needed only where judgement on language matters: reading the email's intent and writing the report.</w:t>
      </w:r>
    </w:p>
    <w:p>
      <w:pPr>
        <w:pStyle w:val="Heading2"/>
      </w:pPr>
      <w:r>
        <w:t xml:space="preserve">Objectives and scope</w:t>
      </w:r>
    </w:p>
    <w:p>
      <w:pPr/>
      <w:r>
        <w:t xml:space="preserve">The PoC shows that a team of agents can take a reported email from inbox to closed incident with no analyst effort for clear cases, and with one click for grey-zone cases.</w:t>
      </w:r>
    </w:p>
    <w:p>
      <w:pPr>
        <w:pStyle w:val="ListParagraph"/>
        <w:numPr>
          <w:ilvl w:val="0"/>
          <w:numId w:val="3"/>
        </w:numPr>
      </w:pPr>
      <w:r>
        <w:t xml:space="preserve">Extract every indicator from a reported email (sender, links, short links, attachments, IP).</w:t>
      </w:r>
    </w:p>
    <w:p>
      <w:pPr>
        <w:pStyle w:val="ListParagraph"/>
        <w:numPr>
          <w:ilvl w:val="0"/>
          <w:numId w:val="3"/>
        </w:numPr>
      </w:pPr>
      <w:r>
        <w:t xml:space="preserve">Investigate it from three angles in parallel: email headers, threat intelligence, and message content.</w:t>
      </w:r>
    </w:p>
    <w:p>
      <w:pPr>
        <w:pStyle w:val="ListParagraph"/>
        <w:numPr>
          <w:ilvl w:val="0"/>
          <w:numId w:val="3"/>
        </w:numPr>
      </w:pPr>
      <w:r>
        <w:t xml:space="preserve">Combine the evidence into an explainable 0 to 100 risk score and a verdict: Malicious, Suspicious or Safe.</w:t>
      </w:r>
    </w:p>
    <w:p>
      <w:pPr>
        <w:pStyle w:val="ListParagraph"/>
        <w:numPr>
          <w:ilvl w:val="0"/>
          <w:numId w:val="3"/>
        </w:numPr>
      </w:pPr>
      <w:r>
        <w:t xml:space="preserve">Act only when sure: auto-contain clear attacks, pause for a human on grey-zone cases, close safe ones.</w:t>
      </w:r>
    </w:p>
    <w:p>
      <w:pPr>
        <w:pStyle w:val="ListParagraph"/>
        <w:numPr>
          <w:ilvl w:val="0"/>
          <w:numId w:val="3"/>
        </w:numPr>
      </w:pPr>
      <w:r>
        <w:t xml:space="preserve">Measure the blast radius (who else got it, who clicked) and respond to match it.</w:t>
      </w:r>
    </w:p>
    <w:p>
      <w:pPr>
        <w:pStyle w:val="ListParagraph"/>
        <w:numPr>
          <w:ilvl w:val="0"/>
          <w:numId w:val="3"/>
        </w:numPr>
      </w:pPr>
      <w:r>
        <w:t xml:space="preserve">Write an incident report for the security team and a thank-you reply to the employee.</w:t>
      </w:r>
    </w:p>
    <w:p>
      <w:pPr/>
      <w:r>
        <w:rPr>
          <w:b/>
        </w:rPr>
        <w:t xml:space="preserve">In scope:</w:t>
      </w:r>
      <w:r>
        <w:t xml:space="preserve"> 7 dummy reported emails, a dummy threat-intel feed, dummy mailbox delivery and click logs, simulated response actions.</w:t>
      </w:r>
    </w:p>
    <w:p>
      <w:pPr/>
      <w:r>
        <w:rPr>
          <w:b/>
        </w:rPr>
        <w:t xml:space="preserve">Out of scope:</w:t>
      </w:r>
      <w:r>
        <w:t xml:space="preserve"> connecting to a real mail server, real threat-intel APIs, or executing real blocks and password resets.</w:t>
      </w:r>
    </w:p>
    <w:p>
      <w:pPr>
        <w:pStyle w:val="Heading2"/>
      </w:pPr>
      <w:r>
        <w:t xml:space="preserve">Defined workflow</w:t>
      </w:r>
    </w:p>
    <w:p>
      <w:pPr/>
      <w:r>
        <w:t xml:space="preserve">A reported email passes through one intake step, three parallel investigations and one scoring step, then takes one of three routes based on the score.</w:t>
      </w:r>
    </w:p>
    <w:p>
      <w:pPr/>
      <w:r>
        <w:drawing>
          <wp:inline distT="0" distB="0" distL="0" distR="0">
            <wp:extent cx="5486400" cy="4457700"/>
            <wp:docPr id="1" name="image1" descr="PhishHunter workflow · 8 agents, 3 routes"/>
            <a:graphic xmlns:a="http://schemas.openxmlformats.org/drawingml/2006/main">
              <a:graphicData uri="http://schemas.openxmlformats.org/drawingml/2006/picture">
                <pic:pic xmlns:pic="http://schemas.openxmlformats.org/drawingml/2006/picture">
                  <pic:nvPicPr>
                    <pic:cNvPr id="1" name="image1" descr="PhishHunter workflow · 8 agents, 3 routes"/>
                    <pic:cNvPicPr/>
                  </pic:nvPicPr>
                  <pic:blipFill>
                    <a:blip r:embed="rId3"/>
                    <a:stretch>
                      <a:fillRect/>
                    </a:stretch>
                  </pic:blipFill>
                  <pic:spPr>
                    <a:xfrm>
                      <a:off x="0" y="0"/>
                      <a:ext cx="5486400" cy="4457700"/>
                    </a:xfrm>
                    <a:prstGeom prst="rect">
                      <a:avLst/>
                    </a:prstGeom>
                  </pic:spPr>
                </pic:pic>
              </a:graphicData>
            </a:graphic>
          </wp:inline>
        </w:drawing>
      </w:r>
    </w:p>
    <w:p>
      <w:pPr/>
      <w:r>
        <w:t xml:space="preserve">PhishHunter workflow · 8 agents, 3 routes</w:t>
      </w:r>
    </w:p>
    <w:p>
      <w:pPr>
        <w:pStyle w:val="ListParagraph"/>
        <w:numPr>
          <w:ilvl w:val="0"/>
          <w:numId w:val="4"/>
        </w:numPr>
      </w:pPr>
      <w:r>
        <w:rPr>
          <w:b/>
        </w:rPr>
        <w:t xml:space="preserve">Intake:</w:t>
      </w:r>
      <w:r>
        <w:t xml:space="preserve"> the employee clicks Report phishing; the Intake Agent extracts sender, links (expanding short links), attachments and IP.</w:t>
      </w:r>
    </w:p>
    <w:p>
      <w:pPr>
        <w:pStyle w:val="ListParagraph"/>
        <w:numPr>
          <w:ilvl w:val="0"/>
          <w:numId w:val="4"/>
        </w:numPr>
      </w:pPr>
      <w:r>
        <w:rPr>
          <w:b/>
        </w:rPr>
        <w:t xml:space="preserve">Investigate in parallel:</w:t>
      </w:r>
      <w:r>
        <w:t xml:space="preserve"> Header Forensics, Threat Intel and Content Analyst each add evidence signals with points.</w:t>
      </w:r>
    </w:p>
    <w:p>
      <w:pPr>
        <w:pStyle w:val="ListParagraph"/>
        <w:numPr>
          <w:ilvl w:val="0"/>
          <w:numId w:val="4"/>
        </w:numPr>
      </w:pPr>
      <w:r>
        <w:rPr>
          <w:b/>
        </w:rPr>
        <w:t xml:space="preserve">Score:</w:t>
      </w:r>
      <w:r>
        <w:t xml:space="preserve"> Risk Scoring sums the points and sets the verdict.</w:t>
      </w:r>
    </w:p>
    <w:p>
      <w:pPr>
        <w:pStyle w:val="ListParagraph"/>
        <w:numPr>
          <w:ilvl w:val="0"/>
          <w:numId w:val="4"/>
        </w:numPr>
      </w:pPr>
      <w:r>
        <w:rPr>
          <w:b/>
        </w:rPr>
        <w:t xml:space="preserve">Route:</w:t>
      </w:r>
      <w:r>
        <w:t xml:space="preserve"> 80+ goes straight to Response; 40 to 79 pauses for a Human Analyst; under 40 skips to the report.</w:t>
      </w:r>
    </w:p>
    <w:p>
      <w:pPr>
        <w:pStyle w:val="ListParagraph"/>
        <w:numPr>
          <w:ilvl w:val="0"/>
          <w:numId w:val="4"/>
        </w:numPr>
      </w:pPr>
      <w:r>
        <w:rPr>
          <w:b/>
        </w:rPr>
        <w:t xml:space="preserve">Respond:</w:t>
      </w:r>
      <w:r>
        <w:t xml:space="preserve"> the Response Agent finds every mailbox that got the email and every user who clicked, then quarantines, blocks, resets passwords, isolates laptops or holds payments as the case needs, and opens a ticket.</w:t>
      </w:r>
    </w:p>
    <w:p>
      <w:pPr>
        <w:pStyle w:val="ListParagraph"/>
        <w:numPr>
          <w:ilvl w:val="0"/>
          <w:numId w:val="4"/>
        </w:numPr>
      </w:pPr>
      <w:r>
        <w:rPr>
          <w:b/>
        </w:rPr>
        <w:t xml:space="preserve">Report:</w:t>
      </w:r>
      <w:r>
        <w:t xml:space="preserve"> the Report Agent writes the incident summary and thanks the employee who reported it.</w:t>
      </w:r>
    </w:p>
    <w:p>
      <w:pPr>
        <w:pStyle w:val="Heading2"/>
      </w:pPr>
      <w:r>
        <w:t xml:space="preserve">Agents and tools</w:t>
      </w:r>
    </w:p>
    <w:p>
      <w:pPr/>
      <w:r>
        <w:t xml:space="preserve">Eight nodes share one LangGraph state. Three analysts run in parallel; only the Content Analyst and Report agents use the LLM, and both fall back to rules if Gemini is unavailable.</w:t>
      </w:r>
    </w:p>
    <w:tbl>
      <w:tblPr>
        <w:tblStyle w:val="TableGrid"/>
        <w:tblW w:w="0" w:type="auto"/>
        <w:tblLayout w:type="fixed"/>
        <w:tblLook w:val="04A0" w:firstRow="1" w:lastRow="0" w:firstColumn="0" w:lastColumn="0" w:noHBand="0" w:noVBand="1"/>
      </w:tblPr>
      <w:tblGrid>
        <w:gridCol w:w="720"/>
        <w:gridCol w:w="1265"/>
        <w:gridCol w:w="3262"/>
        <w:gridCol w:w="2241"/>
        <w:gridCol w:w="1872"/>
      </w:tblGrid>
      <w:tr>
        <w:trPr>
          <w:tblHeader/>
        </w:trPr>
        <w:tc>
          <w:tcPr>
            <w:tcW w:w="720" w:type="dxa"/>
            <w:shd w:val="clear" w:color="auto" w:fill="F2F2F2"/>
          </w:tcPr>
          <w:p>
            <w:pPr/>
            <w:r>
              <w:t xml:space="preserve">#</w:t>
            </w:r>
          </w:p>
        </w:tc>
        <w:tc>
          <w:tcPr>
            <w:tcW w:w="1265" w:type="dxa"/>
            <w:shd w:val="clear" w:color="auto" w:fill="F2F2F2"/>
          </w:tcPr>
          <w:p>
            <w:pPr/>
            <w:r>
              <w:t xml:space="preserve">Agent</w:t>
            </w:r>
          </w:p>
        </w:tc>
        <w:tc>
          <w:tcPr>
            <w:tcW w:w="3262" w:type="dxa"/>
            <w:shd w:val="clear" w:color="auto" w:fill="F2F2F2"/>
          </w:tcPr>
          <w:p>
            <w:pPr/>
            <w:r>
              <w:t xml:space="preserve">What it does</w:t>
            </w:r>
          </w:p>
        </w:tc>
        <w:tc>
          <w:tcPr>
            <w:tcW w:w="2241" w:type="dxa"/>
            <w:shd w:val="clear" w:color="auto" w:fill="F2F2F2"/>
          </w:tcPr>
          <w:p>
            <w:pPr/>
            <w:r>
              <w:t xml:space="preserve">Tools it calls</w:t>
            </w:r>
          </w:p>
        </w:tc>
        <w:tc>
          <w:tcPr>
            <w:tcW w:w="1872" w:type="dxa"/>
            <w:shd w:val="clear" w:color="auto" w:fill="F2F2F2"/>
          </w:tcPr>
          <w:p>
            <w:pPr/>
            <w:r>
              <w:t xml:space="preserve">Output added to state</w:t>
            </w:r>
          </w:p>
        </w:tc>
      </w:tr>
      <w:tr>
        <w:tc>
          <w:tcPr>
            <w:tcW w:w="720" w:type="dxa"/>
          </w:tcPr>
          <w:p>
            <w:pPr/>
            <w:r>
              <w:t xml:space="preserve">1</w:t>
            </w:r>
          </w:p>
        </w:tc>
        <w:tc>
          <w:tcPr>
            <w:tcW w:w="1265" w:type="dxa"/>
          </w:tcPr>
          <w:p>
            <w:pPr/>
            <w:r>
              <w:t xml:space="preserve">Intake</w:t>
            </w:r>
          </w:p>
        </w:tc>
        <w:tc>
          <w:tcPr>
            <w:tcW w:w="3262" w:type="dxa"/>
          </w:tcPr>
          <w:p>
            <w:pPr/>
            <w:r>
              <w:t xml:space="preserve">Parses the reported email and extracts indicators</w:t>
            </w:r>
          </w:p>
        </w:tc>
        <w:tc>
          <w:tcPr>
            <w:tcW w:w="2241" w:type="dxa"/>
          </w:tcPr>
          <w:p>
            <w:pPr/>
            <w:r>
              <w:rPr>
                <w:rStyle w:val="CodeChar"/>
              </w:rPr>
              <w:t xml:space="preserve">extract_urls</w:t>
            </w:r>
            <w:r>
              <w:t xml:space="preserve">, </w:t>
            </w:r>
            <w:r>
              <w:rPr>
                <w:rStyle w:val="CodeChar"/>
              </w:rPr>
              <w:t xml:space="preserve">domain_of</w:t>
            </w:r>
            <w:r>
              <w:t xml:space="preserve">, </w:t>
            </w:r>
            <w:r>
              <w:rPr>
                <w:rStyle w:val="CodeChar"/>
              </w:rPr>
              <w:t xml:space="preserve">expand_short_link</w:t>
            </w:r>
          </w:p>
        </w:tc>
        <w:tc>
          <w:tcPr>
            <w:tcW w:w="1872" w:type="dxa"/>
          </w:tcPr>
          <w:p>
            <w:pPr/>
            <w:r>
              <w:rPr>
                <w:rStyle w:val="CodeChar"/>
              </w:rPr>
              <w:t xml:space="preserve">iocs</w:t>
            </w:r>
          </w:p>
        </w:tc>
      </w:tr>
      <w:tr>
        <w:tc>
          <w:tcPr>
            <w:tcW w:w="720" w:type="dxa"/>
          </w:tcPr>
          <w:p>
            <w:pPr/>
            <w:r>
              <w:t xml:space="preserve">2</w:t>
            </w:r>
          </w:p>
        </w:tc>
        <w:tc>
          <w:tcPr>
            <w:tcW w:w="1265" w:type="dxa"/>
          </w:tcPr>
          <w:p>
            <w:pPr/>
            <w:r>
              <w:t xml:space="preserve">Header Forensics</w:t>
            </w:r>
          </w:p>
        </w:tc>
        <w:tc>
          <w:tcPr>
            <w:tcW w:w="3262" w:type="dxa"/>
          </w:tcPr>
          <w:p>
            <w:pPr/>
            <w:r>
              <w:t xml:space="preserve">Checks SPF/DKIM/DMARC, Reply-To mismatch, executive or internal-team impersonation, look-alike domains</w:t>
            </w:r>
          </w:p>
        </w:tc>
        <w:tc>
          <w:tcPr>
            <w:tcW w:w="2241" w:type="dxa"/>
          </w:tcPr>
          <w:p>
            <w:pPr/>
            <w:r>
              <w:rPr>
                <w:rStyle w:val="CodeChar"/>
              </w:rPr>
              <w:t xml:space="preserve">lookalike_check</w:t>
            </w:r>
            <w:r>
              <w:t xml:space="preserve">, </w:t>
            </w:r>
            <w:r>
              <w:rPr>
                <w:rStyle w:val="CodeChar"/>
              </w:rPr>
              <w:t xml:space="preserve">lookup_domain</w:t>
            </w:r>
          </w:p>
        </w:tc>
        <w:tc>
          <w:tcPr>
            <w:tcW w:w="1872" w:type="dxa"/>
          </w:tcPr>
          <w:p>
            <w:pPr/>
            <w:r>
              <w:t xml:space="preserve">evidence signals</w:t>
            </w:r>
          </w:p>
        </w:tc>
      </w:tr>
      <w:tr>
        <w:tc>
          <w:tcPr>
            <w:tcW w:w="720" w:type="dxa"/>
          </w:tcPr>
          <w:p>
            <w:pPr/>
            <w:r>
              <w:t xml:space="preserve">3</w:t>
            </w:r>
          </w:p>
        </w:tc>
        <w:tc>
          <w:tcPr>
            <w:tcW w:w="1265" w:type="dxa"/>
          </w:tcPr>
          <w:p>
            <w:pPr/>
            <w:r>
              <w:t xml:space="preserve">Threat Intel</w:t>
            </w:r>
          </w:p>
        </w:tc>
        <w:tc>
          <w:tcPr>
            <w:tcW w:w="3262" w:type="dxa"/>
          </w:tcPr>
          <w:p>
            <w:pPr/>
            <w:r>
              <w:t xml:space="preserve">Checks domain, IP and file-hash reputation, domain age, short links, double-extension files</w:t>
            </w:r>
          </w:p>
        </w:tc>
        <w:tc>
          <w:tcPr>
            <w:tcW w:w="2241" w:type="dxa"/>
          </w:tcPr>
          <w:p>
            <w:pPr/>
            <w:r>
              <w:rPr>
                <w:rStyle w:val="CodeChar"/>
              </w:rPr>
              <w:t xml:space="preserve">lookup_domain</w:t>
            </w:r>
            <w:r>
              <w:t xml:space="preserve">, </w:t>
            </w:r>
            <w:r>
              <w:rPr>
                <w:rStyle w:val="CodeChar"/>
              </w:rPr>
              <w:t xml:space="preserve">lookup_ip</w:t>
            </w:r>
            <w:r>
              <w:t xml:space="preserve">, </w:t>
            </w:r>
            <w:r>
              <w:rPr>
                <w:rStyle w:val="CodeChar"/>
              </w:rPr>
              <w:t xml:space="preserve">lookup_file_hash</w:t>
            </w:r>
          </w:p>
        </w:tc>
        <w:tc>
          <w:tcPr>
            <w:tcW w:w="1872" w:type="dxa"/>
          </w:tcPr>
          <w:p>
            <w:pPr/>
            <w:r>
              <w:t xml:space="preserve">evidence signals</w:t>
            </w:r>
          </w:p>
        </w:tc>
      </w:tr>
      <w:tr>
        <w:tc>
          <w:tcPr>
            <w:tcW w:w="720" w:type="dxa"/>
          </w:tcPr>
          <w:p>
            <w:pPr/>
            <w:r>
              <w:t xml:space="preserve">4</w:t>
            </w:r>
          </w:p>
        </w:tc>
        <w:tc>
          <w:tcPr>
            <w:tcW w:w="1265" w:type="dxa"/>
          </w:tcPr>
          <w:p>
            <w:pPr/>
            <w:r>
              <w:t xml:space="preserve">Content Analyst (LLM)</w:t>
            </w:r>
          </w:p>
        </w:tc>
        <w:tc>
          <w:tcPr>
            <w:tcW w:w="3262" w:type="dxa"/>
          </w:tcPr>
          <w:p>
            <w:pPr/>
            <w:r>
              <w:t xml:space="preserve">Reads the text and labels the intent and social-engineering tactics</w:t>
            </w:r>
          </w:p>
        </w:tc>
        <w:tc>
          <w:tcPr>
            <w:tcW w:w="2241" w:type="dxa"/>
          </w:tcPr>
          <w:p>
            <w:pPr/>
            <w:r>
              <w:t xml:space="preserve">Gemini, or keyword rules offline</w:t>
            </w:r>
          </w:p>
        </w:tc>
        <w:tc>
          <w:tcPr>
            <w:tcW w:w="1872" w:type="dxa"/>
          </w:tcPr>
          <w:p>
            <w:pPr/>
            <w:r>
              <w:rPr>
                <w:rStyle w:val="CodeChar"/>
              </w:rPr>
              <w:t xml:space="preserve">content</w:t>
            </w:r>
            <w:r>
              <w:t xml:space="preserve">, evidence signals</w:t>
            </w:r>
          </w:p>
        </w:tc>
      </w:tr>
      <w:tr>
        <w:tc>
          <w:tcPr>
            <w:tcW w:w="720" w:type="dxa"/>
          </w:tcPr>
          <w:p>
            <w:pPr/>
            <w:r>
              <w:t xml:space="preserve">5</w:t>
            </w:r>
          </w:p>
        </w:tc>
        <w:tc>
          <w:tcPr>
            <w:tcW w:w="1265" w:type="dxa"/>
          </w:tcPr>
          <w:p>
            <w:pPr/>
            <w:r>
              <w:t xml:space="preserve">Risk Scoring</w:t>
            </w:r>
          </w:p>
        </w:tc>
        <w:tc>
          <w:tcPr>
            <w:tcW w:w="3262" w:type="dxa"/>
          </w:tcPr>
          <w:p>
            <w:pPr/>
            <w:r>
              <w:t xml:space="preserve">Adds signal points into a 0 to 100 score, sets verdict and threat type, picks the route</w:t>
            </w:r>
          </w:p>
        </w:tc>
        <w:tc>
          <w:tcPr>
            <w:tcW w:w="2241" w:type="dxa"/>
          </w:tcPr>
          <w:p>
            <w:pPr/>
            <w:r>
              <w:t xml:space="preserve">none</w:t>
            </w:r>
          </w:p>
        </w:tc>
        <w:tc>
          <w:tcPr>
            <w:tcW w:w="1872" w:type="dxa"/>
          </w:tcPr>
          <w:p>
            <w:pPr/>
            <w:r>
              <w:rPr>
                <w:rStyle w:val="CodeChar"/>
              </w:rPr>
              <w:t xml:space="preserve">risk_score</w:t>
            </w:r>
            <w:r>
              <w:t xml:space="preserve">, </w:t>
            </w:r>
            <w:r>
              <w:rPr>
                <w:rStyle w:val="CodeChar"/>
              </w:rPr>
              <w:t xml:space="preserve">verdict</w:t>
            </w:r>
            <w:r>
              <w:t xml:space="preserve">, </w:t>
            </w:r>
            <w:r>
              <w:rPr>
                <w:rStyle w:val="CodeChar"/>
              </w:rPr>
              <w:t xml:space="preserve">threat_type</w:t>
            </w:r>
          </w:p>
        </w:tc>
      </w:tr>
      <w:tr>
        <w:tc>
          <w:tcPr>
            <w:tcW w:w="720" w:type="dxa"/>
          </w:tcPr>
          <w:p>
            <w:pPr/>
            <w:r>
              <w:t xml:space="preserve">6</w:t>
            </w:r>
          </w:p>
        </w:tc>
        <w:tc>
          <w:tcPr>
            <w:tcW w:w="1265" w:type="dxa"/>
          </w:tcPr>
          <w:p>
            <w:pPr/>
            <w:r>
              <w:t xml:space="preserve">Human Analyst</w:t>
            </w:r>
          </w:p>
        </w:tc>
        <w:tc>
          <w:tcPr>
            <w:tcW w:w="3262" w:type="dxa"/>
          </w:tcPr>
          <w:p>
            <w:pPr/>
            <w:r>
              <w:t xml:space="preserve">Pauses the graph on grey-zone cases until a person decides</w:t>
            </w:r>
          </w:p>
        </w:tc>
        <w:tc>
          <w:tcPr>
            <w:tcW w:w="2241" w:type="dxa"/>
          </w:tcPr>
          <w:p>
            <w:pPr/>
            <w:r>
              <w:t xml:space="preserve">LangGraph </w:t>
            </w:r>
            <w:r>
              <w:rPr>
                <w:rStyle w:val="CodeChar"/>
              </w:rPr>
              <w:t xml:space="preserve">interrupt</w:t>
            </w:r>
          </w:p>
        </w:tc>
        <w:tc>
          <w:tcPr>
            <w:tcW w:w="1872" w:type="dxa"/>
          </w:tcPr>
          <w:p>
            <w:pPr/>
            <w:r>
              <w:t xml:space="preserve">final </w:t>
            </w:r>
            <w:r>
              <w:rPr>
                <w:rStyle w:val="CodeChar"/>
              </w:rPr>
              <w:t xml:space="preserve">verdict</w:t>
            </w:r>
          </w:p>
        </w:tc>
      </w:tr>
      <w:tr>
        <w:tc>
          <w:tcPr>
            <w:tcW w:w="720" w:type="dxa"/>
          </w:tcPr>
          <w:p>
            <w:pPr/>
            <w:r>
              <w:t xml:space="preserve">7</w:t>
            </w:r>
          </w:p>
        </w:tc>
        <w:tc>
          <w:tcPr>
            <w:tcW w:w="1265" w:type="dxa"/>
          </w:tcPr>
          <w:p>
            <w:pPr/>
            <w:r>
              <w:t xml:space="preserve">Response</w:t>
            </w:r>
          </w:p>
        </w:tc>
        <w:tc>
          <w:tcPr>
            <w:tcW w:w="3262" w:type="dxa"/>
          </w:tcPr>
          <w:p>
            <w:pPr/>
            <w:r>
              <w:t xml:space="preserve">Finds blast radius and clicks, then runs the matching playbook</w:t>
            </w:r>
          </w:p>
        </w:tc>
        <w:tc>
          <w:tcPr>
            <w:tcW w:w="2241" w:type="dxa"/>
          </w:tcPr>
          <w:p>
            <w:pPr/>
            <w:r>
              <w:rPr>
                <w:rStyle w:val="CodeChar"/>
              </w:rPr>
              <w:t xml:space="preserve">find_campaign_recipients</w:t>
            </w:r>
            <w:r>
              <w:t xml:space="preserve">, </w:t>
            </w:r>
            <w:r>
              <w:rPr>
                <w:rStyle w:val="CodeChar"/>
              </w:rPr>
              <w:t xml:space="preserve">find_clicks</w:t>
            </w:r>
            <w:r>
              <w:t xml:space="preserve">, </w:t>
            </w:r>
            <w:r>
              <w:rPr>
                <w:rStyle w:val="CodeChar"/>
              </w:rPr>
              <w:t xml:space="preserve">quarantine_messages</w:t>
            </w:r>
            <w:r>
              <w:t xml:space="preserve">, </w:t>
            </w:r>
            <w:r>
              <w:rPr>
                <w:rStyle w:val="CodeChar"/>
              </w:rPr>
              <w:t xml:space="preserve">block_sender</w:t>
            </w:r>
            <w:r>
              <w:t xml:space="preserve">, </w:t>
            </w:r>
            <w:r>
              <w:rPr>
                <w:rStyle w:val="CodeChar"/>
              </w:rPr>
              <w:t xml:space="preserve">block_url</w:t>
            </w:r>
            <w:r>
              <w:t xml:space="preserve">, </w:t>
            </w:r>
            <w:r>
              <w:rPr>
                <w:rStyle w:val="CodeChar"/>
              </w:rPr>
              <w:t xml:space="preserve">force_password_reset</w:t>
            </w:r>
            <w:r>
              <w:t xml:space="preserve">, </w:t>
            </w:r>
            <w:r>
              <w:rPr>
                <w:rStyle w:val="CodeChar"/>
              </w:rPr>
              <w:t xml:space="preserve">isolate_endpoint</w:t>
            </w:r>
            <w:r>
              <w:t xml:space="preserve">, </w:t>
            </w:r>
            <w:r>
              <w:rPr>
                <w:rStyle w:val="CodeChar"/>
              </w:rPr>
              <w:t xml:space="preserve">hold_payment</w:t>
            </w:r>
            <w:r>
              <w:t xml:space="preserve">, </w:t>
            </w:r>
            <w:r>
              <w:rPr>
                <w:rStyle w:val="CodeChar"/>
              </w:rPr>
              <w:t xml:space="preserve">create_ticket</w:t>
            </w:r>
          </w:p>
        </w:tc>
        <w:tc>
          <w:tcPr>
            <w:tcW w:w="1872" w:type="dxa"/>
          </w:tcPr>
          <w:p>
            <w:pPr/>
            <w:r>
              <w:rPr>
                <w:rStyle w:val="CodeChar"/>
              </w:rPr>
              <w:t xml:space="preserve">actions</w:t>
            </w:r>
            <w:r>
              <w:t xml:space="preserve">, </w:t>
            </w:r>
            <w:r>
              <w:rPr>
                <w:rStyle w:val="CodeChar"/>
              </w:rPr>
              <w:t xml:space="preserve">ticket</w:t>
            </w:r>
            <w:r>
              <w:t xml:space="preserve">, </w:t>
            </w:r>
            <w:r>
              <w:rPr>
                <w:rStyle w:val="CodeChar"/>
              </w:rPr>
              <w:t xml:space="preserve">severity</w:t>
            </w:r>
          </w:p>
        </w:tc>
      </w:tr>
      <w:tr>
        <w:tc>
          <w:tcPr>
            <w:tcW w:w="720" w:type="dxa"/>
          </w:tcPr>
          <w:p>
            <w:pPr/>
            <w:r>
              <w:t xml:space="preserve">8</w:t>
            </w:r>
          </w:p>
        </w:tc>
        <w:tc>
          <w:tcPr>
            <w:tcW w:w="1265" w:type="dxa"/>
          </w:tcPr>
          <w:p>
            <w:pPr/>
            <w:r>
              <w:t xml:space="preserve">Report (LLM)</w:t>
            </w:r>
          </w:p>
        </w:tc>
        <w:tc>
          <w:tcPr>
            <w:tcW w:w="3262" w:type="dxa"/>
          </w:tcPr>
          <w:p>
            <w:pPr/>
            <w:r>
              <w:t xml:space="preserve">Writes the incident summary and the reply to the employee</w:t>
            </w:r>
          </w:p>
        </w:tc>
        <w:tc>
          <w:tcPr>
            <w:tcW w:w="2241" w:type="dxa"/>
          </w:tcPr>
          <w:p>
            <w:pPr/>
            <w:r>
              <w:t xml:space="preserve">Gemini, or a template offline</w:t>
            </w:r>
          </w:p>
        </w:tc>
        <w:tc>
          <w:tcPr>
            <w:tcW w:w="1872" w:type="dxa"/>
          </w:tcPr>
          <w:p>
            <w:pPr/>
            <w:r>
              <w:rPr>
                <w:rStyle w:val="CodeChar"/>
              </w:rPr>
              <w:t xml:space="preserve">report</w:t>
            </w:r>
            <w:r>
              <w:t xml:space="preserve">, </w:t>
            </w:r>
            <w:r>
              <w:rPr>
                <w:rStyle w:val="CodeChar"/>
              </w:rPr>
              <w:t xml:space="preserve">reporter_reply</w:t>
            </w:r>
          </w:p>
        </w:tc>
      </w:tr>
    </w:tbl>
    <w:p>
      <w:pPr>
        <w:pStyle w:val="Heading2"/>
      </w:pPr>
      <w:r>
        <w:t xml:space="preserve">Risk scoring and human-in-the-loop</w:t>
      </w:r>
    </w:p>
    <w:p>
      <w:pPr/>
      <w:r>
        <w:t xml:space="preserve">Every red flag an agent finds becomes a signal worth a fixed number of points. The score is the sum, capped at 100, so every verdict can be explained line by line.</w:t>
      </w:r>
    </w:p>
    <w:tbl>
      <w:tblPr>
        <w:tblStyle w:val="TableGrid"/>
        <w:tblW w:w="0" w:type="auto"/>
        <w:tblLayout w:type="fixed"/>
        <w:tblLook w:val="04A0" w:firstRow="1" w:lastRow="0" w:firstColumn="0" w:lastColumn="0" w:noHBand="0" w:noVBand="1"/>
      </w:tblPr>
      <w:tblGrid>
        <w:gridCol w:w="5810"/>
        <w:gridCol w:w="1168"/>
        <w:gridCol w:w="2381"/>
      </w:tblGrid>
      <w:tr>
        <w:trPr>
          <w:tblHeader/>
        </w:trPr>
        <w:tc>
          <w:tcPr>
            <w:tcW w:w="5810" w:type="dxa"/>
            <w:shd w:val="clear" w:color="auto" w:fill="F2F2F2"/>
          </w:tcPr>
          <w:p>
            <w:pPr/>
            <w:r>
              <w:t xml:space="preserve">Signal</w:t>
            </w:r>
          </w:p>
        </w:tc>
        <w:tc>
          <w:tcPr>
            <w:tcW w:w="1168" w:type="dxa"/>
            <w:shd w:val="clear" w:color="auto" w:fill="F2F2F2"/>
          </w:tcPr>
          <w:p>
            <w:pPr/>
            <w:r>
              <w:t xml:space="preserve">Points</w:t>
            </w:r>
          </w:p>
        </w:tc>
        <w:tc>
          <w:tcPr>
            <w:tcW w:w="2381" w:type="dxa"/>
            <w:shd w:val="clear" w:color="auto" w:fill="F2F2F2"/>
          </w:tcPr>
          <w:p>
            <w:pPr/>
            <w:r>
              <w:t xml:space="preserve">Agent</w:t>
            </w:r>
          </w:p>
        </w:tc>
      </w:tr>
      <w:tr>
        <w:tc>
          <w:tcPr>
            <w:tcW w:w="5810" w:type="dxa"/>
          </w:tcPr>
          <w:p>
            <w:pPr/>
            <w:r>
              <w:t xml:space="preserve">Malware attachment (hash in feed)</w:t>
            </w:r>
          </w:p>
        </w:tc>
        <w:tc>
          <w:tcPr>
            <w:tcW w:w="1168" w:type="dxa"/>
          </w:tcPr>
          <w:p>
            <w:pPr/>
            <w:r>
              <w:t xml:space="preserve">50</w:t>
            </w:r>
          </w:p>
        </w:tc>
        <w:tc>
          <w:tcPr>
            <w:tcW w:w="2381" w:type="dxa"/>
          </w:tcPr>
          <w:p>
            <w:pPr/>
            <w:r>
              <w:t xml:space="preserve">Threat Intel</w:t>
            </w:r>
          </w:p>
        </w:tc>
      </w:tr>
      <w:tr>
        <w:tc>
          <w:tcPr>
            <w:tcW w:w="5810" w:type="dxa"/>
          </w:tcPr>
          <w:p>
            <w:pPr/>
            <w:r>
              <w:t xml:space="preserve">Malicious domain</w:t>
            </w:r>
          </w:p>
        </w:tc>
        <w:tc>
          <w:tcPr>
            <w:tcW w:w="1168" w:type="dxa"/>
          </w:tcPr>
          <w:p>
            <w:pPr/>
            <w:r>
              <w:t xml:space="preserve">35</w:t>
            </w:r>
          </w:p>
        </w:tc>
        <w:tc>
          <w:tcPr>
            <w:tcW w:w="2381" w:type="dxa"/>
          </w:tcPr>
          <w:p>
            <w:pPr/>
            <w:r>
              <w:t xml:space="preserve">Threat Intel</w:t>
            </w:r>
          </w:p>
        </w:tc>
      </w:tr>
      <w:tr>
        <w:tc>
          <w:tcPr>
            <w:tcW w:w="5810" w:type="dxa"/>
          </w:tcPr>
          <w:p>
            <w:pPr/>
            <w:r>
              <w:t xml:space="preserve">Executive impersonation</w:t>
            </w:r>
          </w:p>
        </w:tc>
        <w:tc>
          <w:tcPr>
            <w:tcW w:w="1168" w:type="dxa"/>
          </w:tcPr>
          <w:p>
            <w:pPr/>
            <w:r>
              <w:t xml:space="preserve">30</w:t>
            </w:r>
          </w:p>
        </w:tc>
        <w:tc>
          <w:tcPr>
            <w:tcW w:w="2381" w:type="dxa"/>
          </w:tcPr>
          <w:p>
            <w:pPr/>
            <w:r>
              <w:t xml:space="preserve">Header</w:t>
            </w:r>
          </w:p>
        </w:tc>
      </w:tr>
      <w:tr>
        <w:tc>
          <w:tcPr>
            <w:tcW w:w="5810" w:type="dxa"/>
          </w:tcPr>
          <w:p>
            <w:pPr/>
            <w:r>
              <w:t xml:space="preserve">Look-alike domain (brand / known vendor)</w:t>
            </w:r>
          </w:p>
        </w:tc>
        <w:tc>
          <w:tcPr>
            <w:tcW w:w="1168" w:type="dxa"/>
          </w:tcPr>
          <w:p>
            <w:pPr/>
            <w:r>
              <w:t xml:space="preserve">25 / 20</w:t>
            </w:r>
          </w:p>
        </w:tc>
        <w:tc>
          <w:tcPr>
            <w:tcW w:w="2381" w:type="dxa"/>
          </w:tcPr>
          <w:p>
            <w:pPr/>
            <w:r>
              <w:t xml:space="preserve">Header</w:t>
            </w:r>
          </w:p>
        </w:tc>
      </w:tr>
      <w:tr>
        <w:tc>
          <w:tcPr>
            <w:tcW w:w="5810" w:type="dxa"/>
          </w:tcPr>
          <w:p>
            <w:pPr/>
            <w:r>
              <w:t xml:space="preserve">Disguised executable (e.g. .pdf.exe)</w:t>
            </w:r>
          </w:p>
        </w:tc>
        <w:tc>
          <w:tcPr>
            <w:tcW w:w="1168" w:type="dxa"/>
          </w:tcPr>
          <w:p>
            <w:pPr/>
            <w:r>
              <w:t xml:space="preserve">25</w:t>
            </w:r>
          </w:p>
        </w:tc>
        <w:tc>
          <w:tcPr>
            <w:tcW w:w="2381" w:type="dxa"/>
          </w:tcPr>
          <w:p>
            <w:pPr/>
            <w:r>
              <w:t xml:space="preserve">Threat Intel</w:t>
            </w:r>
          </w:p>
        </w:tc>
      </w:tr>
      <w:tr>
        <w:tc>
          <w:tcPr>
            <w:tcW w:w="5810" w:type="dxa"/>
          </w:tcPr>
          <w:p>
            <w:pPr/>
            <w:r>
              <w:t xml:space="preserve">Gift-card request</w:t>
            </w:r>
          </w:p>
        </w:tc>
        <w:tc>
          <w:tcPr>
            <w:tcW w:w="1168" w:type="dxa"/>
          </w:tcPr>
          <w:p>
            <w:pPr/>
            <w:r>
              <w:t xml:space="preserve">25</w:t>
            </w:r>
          </w:p>
        </w:tc>
        <w:tc>
          <w:tcPr>
            <w:tcW w:w="2381" w:type="dxa"/>
          </w:tcPr>
          <w:p>
            <w:pPr/>
            <w:r>
              <w:t xml:space="preserve">Content</w:t>
            </w:r>
          </w:p>
        </w:tc>
      </w:tr>
      <w:tr>
        <w:tc>
          <w:tcPr>
            <w:tcW w:w="5810" w:type="dxa"/>
          </w:tcPr>
          <w:p>
            <w:pPr/>
            <w:r>
              <w:t xml:space="preserve">Bank-detail change, credential request</w:t>
            </w:r>
          </w:p>
        </w:tc>
        <w:tc>
          <w:tcPr>
            <w:tcW w:w="1168" w:type="dxa"/>
          </w:tcPr>
          <w:p>
            <w:pPr/>
            <w:r>
              <w:t xml:space="preserve">20</w:t>
            </w:r>
          </w:p>
        </w:tc>
        <w:tc>
          <w:tcPr>
            <w:tcW w:w="2381" w:type="dxa"/>
          </w:tcPr>
          <w:p>
            <w:pPr/>
            <w:r>
              <w:t xml:space="preserve">Content</w:t>
            </w:r>
          </w:p>
        </w:tc>
      </w:tr>
      <w:tr>
        <w:tc>
          <w:tcPr>
            <w:tcW w:w="5810" w:type="dxa"/>
          </w:tcPr>
          <w:p>
            <w:pPr/>
            <w:r>
              <w:t xml:space="preserve">SPF fail, internal-team impersonation, malicious IP, suspicious domain, domain under 30 days old</w:t>
            </w:r>
          </w:p>
        </w:tc>
        <w:tc>
          <w:tcPr>
            <w:tcW w:w="1168" w:type="dxa"/>
          </w:tcPr>
          <w:p>
            <w:pPr/>
            <w:r>
              <w:t xml:space="preserve">15</w:t>
            </w:r>
          </w:p>
        </w:tc>
        <w:tc>
          <w:tcPr>
            <w:tcW w:w="2381" w:type="dxa"/>
          </w:tcPr>
          <w:p>
            <w:pPr/>
            <w:r>
              <w:t xml:space="preserve">Header / Intel</w:t>
            </w:r>
          </w:p>
        </w:tc>
      </w:tr>
      <w:tr>
        <w:tc>
          <w:tcPr>
            <w:tcW w:w="5810" w:type="dxa"/>
          </w:tcPr>
          <w:p>
            <w:pPr/>
            <w:r>
              <w:t xml:space="preserve">DMARC fail, Reply-To mismatch, urgency, threat of loss, secrecy, payment request</w:t>
            </w:r>
          </w:p>
        </w:tc>
        <w:tc>
          <w:tcPr>
            <w:tcW w:w="1168" w:type="dxa"/>
          </w:tcPr>
          <w:p>
            <w:pPr/>
            <w:r>
              <w:t xml:space="preserve">10</w:t>
            </w:r>
          </w:p>
        </w:tc>
        <w:tc>
          <w:tcPr>
            <w:tcW w:w="2381" w:type="dxa"/>
          </w:tcPr>
          <w:p>
            <w:pPr/>
            <w:r>
              <w:t xml:space="preserve">Header / Content</w:t>
            </w:r>
          </w:p>
        </w:tc>
      </w:tr>
      <w:tr>
        <w:tc>
          <w:tcPr>
            <w:tcW w:w="5810" w:type="dxa"/>
          </w:tcPr>
          <w:p>
            <w:pPr/>
            <w:r>
              <w:t xml:space="preserve">SPF softfail</w:t>
            </w:r>
          </w:p>
        </w:tc>
        <w:tc>
          <w:tcPr>
            <w:tcW w:w="1168" w:type="dxa"/>
          </w:tcPr>
          <w:p>
            <w:pPr/>
            <w:r>
              <w:t xml:space="preserve">8</w:t>
            </w:r>
          </w:p>
        </w:tc>
        <w:tc>
          <w:tcPr>
            <w:tcW w:w="2381" w:type="dxa"/>
          </w:tcPr>
          <w:p>
            <w:pPr/>
            <w:r>
              <w:t xml:space="preserve">Header</w:t>
            </w:r>
          </w:p>
        </w:tc>
      </w:tr>
      <w:tr>
        <w:tc>
          <w:tcPr>
            <w:tcW w:w="5810" w:type="dxa"/>
          </w:tcPr>
          <w:p>
            <w:pPr/>
            <w:r>
              <w:t xml:space="preserve">Free webmail sender, URL shortener</w:t>
            </w:r>
          </w:p>
        </w:tc>
        <w:tc>
          <w:tcPr>
            <w:tcW w:w="1168" w:type="dxa"/>
          </w:tcPr>
          <w:p>
            <w:pPr/>
            <w:r>
              <w:t xml:space="preserve">5</w:t>
            </w:r>
          </w:p>
        </w:tc>
        <w:tc>
          <w:tcPr>
            <w:tcW w:w="2381" w:type="dxa"/>
          </w:tcPr>
          <w:p>
            <w:pPr/>
            <w:r>
              <w:t xml:space="preserve">Header / Intel</w:t>
            </w:r>
          </w:p>
        </w:tc>
      </w:tr>
    </w:tbl>
    <w:p/>
    <w:tbl>
      <w:tblPr>
        <w:tblStyle w:val="TableGrid"/>
        <w:tblW w:w="0" w:type="auto"/>
        <w:tblLayout w:type="fixed"/>
        <w:tblLook w:val="04A0" w:firstRow="1" w:lastRow="0" w:firstColumn="0" w:lastColumn="0" w:noHBand="0" w:noVBand="1"/>
      </w:tblPr>
      <w:tblGrid>
        <w:gridCol w:w="1483"/>
        <w:gridCol w:w="1729"/>
        <w:gridCol w:w="6147"/>
      </w:tblGrid>
      <w:tr>
        <w:trPr>
          <w:tblHeader/>
        </w:trPr>
        <w:tc>
          <w:tcPr>
            <w:tcW w:w="1483" w:type="dxa"/>
            <w:shd w:val="clear" w:color="auto" w:fill="F2F2F2"/>
          </w:tcPr>
          <w:p>
            <w:pPr/>
            <w:r>
              <w:t xml:space="preserve">Score</w:t>
            </w:r>
          </w:p>
        </w:tc>
        <w:tc>
          <w:tcPr>
            <w:tcW w:w="1729" w:type="dxa"/>
            <w:shd w:val="clear" w:color="auto" w:fill="F2F2F2"/>
          </w:tcPr>
          <w:p>
            <w:pPr/>
            <w:r>
              <w:t xml:space="preserve">Verdict</w:t>
            </w:r>
          </w:p>
        </w:tc>
        <w:tc>
          <w:tcPr>
            <w:tcW w:w="6147" w:type="dxa"/>
            <w:shd w:val="clear" w:color="auto" w:fill="F2F2F2"/>
          </w:tcPr>
          <w:p>
            <w:pPr/>
            <w:r>
              <w:t xml:space="preserve">What happens</w:t>
            </w:r>
          </w:p>
        </w:tc>
      </w:tr>
      <w:tr>
        <w:tc>
          <w:tcPr>
            <w:tcW w:w="1483" w:type="dxa"/>
          </w:tcPr>
          <w:p>
            <w:pPr/>
            <w:r>
              <w:t xml:space="preserve">80 to 100</w:t>
            </w:r>
          </w:p>
        </w:tc>
        <w:tc>
          <w:tcPr>
            <w:tcW w:w="1729" w:type="dxa"/>
          </w:tcPr>
          <w:p>
            <w:pPr/>
            <w:r>
              <w:t xml:space="preserve">Malicious</w:t>
            </w:r>
          </w:p>
        </w:tc>
        <w:tc>
          <w:tcPr>
            <w:tcW w:w="6147" w:type="dxa"/>
          </w:tcPr>
          <w:p>
            <w:pPr/>
            <w:r>
              <w:t xml:space="preserve">Response agent contains it automatically</w:t>
            </w:r>
          </w:p>
        </w:tc>
      </w:tr>
      <w:tr>
        <w:tc>
          <w:tcPr>
            <w:tcW w:w="1483" w:type="dxa"/>
          </w:tcPr>
          <w:p>
            <w:pPr/>
            <w:r>
              <w:t xml:space="preserve">40 to 79</w:t>
            </w:r>
          </w:p>
        </w:tc>
        <w:tc>
          <w:tcPr>
            <w:tcW w:w="1729" w:type="dxa"/>
          </w:tcPr>
          <w:p>
            <w:pPr/>
            <w:r>
              <w:t xml:space="preserve">Suspicious</w:t>
            </w:r>
          </w:p>
        </w:tc>
        <w:tc>
          <w:tcPr>
            <w:tcW w:w="6147" w:type="dxa"/>
          </w:tcPr>
          <w:p>
            <w:pPr/>
            <w:r>
              <w:t xml:space="preserve">Graph pauses; a human analyst confirms Malicious or Safe</w:t>
            </w:r>
          </w:p>
        </w:tc>
      </w:tr>
      <w:tr>
        <w:tc>
          <w:tcPr>
            <w:tcW w:w="1483" w:type="dxa"/>
          </w:tcPr>
          <w:p>
            <w:pPr/>
            <w:r>
              <w:t xml:space="preserve">0 to 39</w:t>
            </w:r>
          </w:p>
        </w:tc>
        <w:tc>
          <w:tcPr>
            <w:tcW w:w="1729" w:type="dxa"/>
          </w:tcPr>
          <w:p>
            <w:pPr/>
            <w:r>
              <w:t xml:space="preserve">Safe</w:t>
            </w:r>
          </w:p>
        </w:tc>
        <w:tc>
          <w:tcPr>
            <w:tcW w:w="6147" w:type="dxa"/>
          </w:tcPr>
          <w:p>
            <w:pPr/>
            <w:r>
              <w:t xml:space="preserve">Closed, employee thanked</w:t>
            </w:r>
          </w:p>
        </w:tc>
      </w:tr>
    </w:tbl>
    <w:p>
      <w:pPr/>
      <w:r>
        <w:t xml:space="preserve">The human checkpoint uses LangGraph's </w:t>
      </w:r>
      <w:r>
        <w:rPr>
          <w:rStyle w:val="CodeChar"/>
        </w:rPr>
        <w:t xml:space="preserve">interrupt()</w:t>
      </w:r>
      <w:r>
        <w:t xml:space="preserve"> with a memory checkpointer, so the workflow stops, waits, and resumes from the same point when the analyst clicks a button. This keeps the AI from taking destructive actions, like holding a vendor payment, on uncertain evidence.</w:t>
      </w:r>
    </w:p>
    <w:p>
      <w:pPr>
        <w:pStyle w:val="Heading2"/>
      </w:pPr>
      <w:r>
        <w:t xml:space="preserve">Dummy data</w:t>
      </w:r>
    </w:p>
    <w:p>
      <w:pPr/>
      <w:r>
        <w:t xml:space="preserve">All data is invented for a fictional company, Nimbus Tech Pvt Ltd (domain nimbustech.in), and lives in three JSON files.</w:t>
      </w:r>
    </w:p>
    <w:tbl>
      <w:tblPr>
        <w:tblStyle w:val="TableGrid"/>
        <w:tblW w:w="0" w:type="auto"/>
        <w:tblLayout w:type="fixed"/>
        <w:tblLook w:val="04A0" w:firstRow="1" w:lastRow="0" w:firstColumn="0" w:lastColumn="0" w:noHBand="0" w:noVBand="1"/>
      </w:tblPr>
      <w:tblGrid>
        <w:gridCol w:w="3452"/>
        <w:gridCol w:w="5907"/>
      </w:tblGrid>
      <w:tr>
        <w:trPr>
          <w:tblHeader/>
        </w:trPr>
        <w:tc>
          <w:tcPr>
            <w:tcW w:w="3452" w:type="dxa"/>
            <w:shd w:val="clear" w:color="auto" w:fill="F2F2F2"/>
          </w:tcPr>
          <w:p>
            <w:pPr/>
            <w:r>
              <w:t xml:space="preserve">File</w:t>
            </w:r>
          </w:p>
        </w:tc>
        <w:tc>
          <w:tcPr>
            <w:tcW w:w="5907" w:type="dxa"/>
            <w:shd w:val="clear" w:color="auto" w:fill="F2F2F2"/>
          </w:tcPr>
          <w:p>
            <w:pPr/>
            <w:r>
              <w:t xml:space="preserve">Contents</w:t>
            </w:r>
          </w:p>
        </w:tc>
      </w:tr>
      <w:tr>
        <w:tc>
          <w:tcPr>
            <w:tcW w:w="3452" w:type="dxa"/>
          </w:tcPr>
          <w:p>
            <w:pPr/>
            <w:r>
              <w:rPr>
                <w:rStyle w:val="CodeChar"/>
              </w:rPr>
              <w:t xml:space="preserve">data/emails.json</w:t>
            </w:r>
          </w:p>
        </w:tc>
        <w:tc>
          <w:tcPr>
            <w:tcW w:w="5907" w:type="dxa"/>
          </w:tcPr>
          <w:p>
            <w:pPr/>
            <w:r>
              <w:t xml:space="preserve">7 reported emails with sender, Reply-To, SPF/DKIM/DMARC results, sender IP, body and attachments (name, SHA-256, size)</w:t>
            </w:r>
          </w:p>
        </w:tc>
      </w:tr>
      <w:tr>
        <w:tc>
          <w:tcPr>
            <w:tcW w:w="3452" w:type="dxa"/>
          </w:tcPr>
          <w:p>
            <w:pPr/>
            <w:r>
              <w:rPr>
                <w:rStyle w:val="CodeChar"/>
              </w:rPr>
              <w:t xml:space="preserve">data/threat_intel.json</w:t>
            </w:r>
          </w:p>
        </w:tc>
        <w:tc>
          <w:tcPr>
            <w:tcW w:w="5907" w:type="dxa"/>
          </w:tcPr>
          <w:p>
            <w:pPr/>
            <w:r>
              <w:t xml:space="preserve">Stand-in for VirusTotal / WHOIS / AbuseIPDB: domain reputation and age, IP abuse scores, file-hash verdicts, short-link redirects</w:t>
            </w:r>
          </w:p>
        </w:tc>
      </w:tr>
      <w:tr>
        <w:tc>
          <w:tcPr>
            <w:tcW w:w="3452" w:type="dxa"/>
          </w:tcPr>
          <w:p>
            <w:pPr/>
            <w:r>
              <w:rPr>
                <w:rStyle w:val="CodeChar"/>
              </w:rPr>
              <w:t xml:space="preserve">data/org_context.json</w:t>
            </w:r>
          </w:p>
        </w:tc>
        <w:tc>
          <w:tcPr>
            <w:tcW w:w="5907" w:type="dxa"/>
          </w:tcPr>
          <w:p>
            <w:pPr/>
            <w:r>
              <w:t xml:space="preserve">Executives, protected brands, known vendors, the mailbox delivery log (who received each email) and the proxy/EDR click log (who clicked or opened)</w:t>
            </w:r>
          </w:p>
        </w:tc>
      </w:tr>
    </w:tbl>
    <w:p>
      <w:pPr/>
      <w:r>
        <w:t xml:space="preserve">The 7 emails cover each kind of outcome: a Microsoft 365 credential-phishing campaign, a fake-CEO gift-card request, a malware invoice (</w:t>
      </w:r>
      <w:r>
        <w:rPr>
          <w:rStyle w:val="CodeChar"/>
        </w:rPr>
        <w:t xml:space="preserve">Invoice_7781.pdf.exe</w:t>
      </w:r>
      <w:r>
        <w:t xml:space="preserve">), a vendor bank-detail change from a look-alike domain, a parcel-fee scam behind a bit.ly link, and two legitimate emails (an HR Diwali notice and a LinkedIn notification).</w:t>
      </w:r>
    </w:p>
    <w:p>
      <w:pPr>
        <w:pStyle w:val="Heading2"/>
      </w:pPr>
      <w:r>
        <w:t xml:space="preserve">Tech stack and how to run</w:t>
      </w:r>
    </w:p>
    <w:p>
      <w:pPr/>
      <w:r>
        <w:t xml:space="preserve">Python 3.10+, LangGraph for the agent graph, </w:t>
      </w:r>
      <w:r>
        <w:rPr>
          <w:rStyle w:val="CodeChar"/>
        </w:rPr>
        <w:t xml:space="preserve">langchain-google-genai</w:t>
      </w:r>
      <w:r>
        <w:t xml:space="preserve"> for Gemini, Streamlit for the demo UI, pandas for tables.</w:t>
      </w:r>
    </w:p>
    <w:tbl>
      <w:tblPr>
        <w:tblStyle w:val="TableGrid"/>
        <w:tblW w:w="0" w:type="auto"/>
        <w:tblLayout w:type="fixed"/>
        <w:tblLook w:val="04A0" w:firstRow="1" w:lastRow="0" w:firstColumn="0" w:lastColumn="0" w:noHBand="0" w:noVBand="1"/>
      </w:tblPr>
      <w:tblGrid>
        <w:gridCol w:w="2114"/>
        <w:gridCol w:w="7245"/>
      </w:tblGrid>
      <w:tr>
        <w:trPr>
          <w:tblHeader/>
        </w:trPr>
        <w:tc>
          <w:tcPr>
            <w:tcW w:w="2114" w:type="dxa"/>
            <w:shd w:val="clear" w:color="auto" w:fill="F2F2F2"/>
          </w:tcPr>
          <w:p>
            <w:pPr/>
            <w:r>
              <w:t xml:space="preserve">File</w:t>
            </w:r>
          </w:p>
        </w:tc>
        <w:tc>
          <w:tcPr>
            <w:tcW w:w="7245" w:type="dxa"/>
            <w:shd w:val="clear" w:color="auto" w:fill="F2F2F2"/>
          </w:tcPr>
          <w:p>
            <w:pPr/>
            <w:r>
              <w:t xml:space="preserve">Role</w:t>
            </w:r>
          </w:p>
        </w:tc>
      </w:tr>
      <w:tr>
        <w:tc>
          <w:tcPr>
            <w:tcW w:w="2114" w:type="dxa"/>
          </w:tcPr>
          <w:p>
            <w:pPr/>
            <w:r>
              <w:rPr>
                <w:rStyle w:val="CodeChar"/>
              </w:rPr>
              <w:t xml:space="preserve">graph.py</w:t>
            </w:r>
          </w:p>
        </w:tc>
        <w:tc>
          <w:tcPr>
            <w:tcW w:w="7245" w:type="dxa"/>
          </w:tcPr>
          <w:p>
            <w:pPr/>
            <w:r>
              <w:t xml:space="preserve">State, all 8 agents, routing, human interrupt, graph build</w:t>
            </w:r>
          </w:p>
        </w:tc>
      </w:tr>
      <w:tr>
        <w:tc>
          <w:tcPr>
            <w:tcW w:w="2114" w:type="dxa"/>
          </w:tcPr>
          <w:p>
            <w:pPr/>
            <w:r>
              <w:rPr>
                <w:rStyle w:val="CodeChar"/>
              </w:rPr>
              <w:t xml:space="preserve">tools.py</w:t>
            </w:r>
          </w:p>
        </w:tc>
        <w:tc>
          <w:tcPr>
            <w:tcW w:w="7245" w:type="dxa"/>
          </w:tcPr>
          <w:p>
            <w:pPr/>
            <w:r>
              <w:t xml:space="preserve">Lookup, mailbox and response tools over the dummy data</w:t>
            </w:r>
          </w:p>
        </w:tc>
      </w:tr>
      <w:tr>
        <w:tc>
          <w:tcPr>
            <w:tcW w:w="2114" w:type="dxa"/>
          </w:tcPr>
          <w:p>
            <w:pPr/>
            <w:r>
              <w:rPr>
                <w:rStyle w:val="CodeChar"/>
              </w:rPr>
              <w:t xml:space="preserve">llm.py</w:t>
            </w:r>
          </w:p>
        </w:tc>
        <w:tc>
          <w:tcPr>
            <w:tcW w:w="7245" w:type="dxa"/>
          </w:tcPr>
          <w:p>
            <w:pPr/>
            <w:r>
              <w:t xml:space="preserve">Gemini wrapper with automatic offline fallback</w:t>
            </w:r>
          </w:p>
        </w:tc>
      </w:tr>
      <w:tr>
        <w:tc>
          <w:tcPr>
            <w:tcW w:w="2114" w:type="dxa"/>
          </w:tcPr>
          <w:p>
            <w:pPr/>
            <w:r>
              <w:rPr>
                <w:rStyle w:val="CodeChar"/>
              </w:rPr>
              <w:t xml:space="preserve">app.py</w:t>
            </w:r>
          </w:p>
        </w:tc>
        <w:tc>
          <w:tcPr>
            <w:tcW w:w="7245" w:type="dxa"/>
          </w:tcPr>
          <w:p>
            <w:pPr/>
            <w:r>
              <w:t xml:space="preserve">Streamlit web demo (triage view + SOC dashboard)</w:t>
            </w:r>
          </w:p>
        </w:tc>
      </w:tr>
      <w:tr>
        <w:tc>
          <w:tcPr>
            <w:tcW w:w="2114" w:type="dxa"/>
          </w:tcPr>
          <w:p>
            <w:pPr/>
            <w:r>
              <w:rPr>
                <w:rStyle w:val="CodeChar"/>
              </w:rPr>
              <w:t xml:space="preserve">run_cli.py</w:t>
            </w:r>
          </w:p>
        </w:tc>
        <w:tc>
          <w:tcPr>
            <w:tcW w:w="7245" w:type="dxa"/>
          </w:tcPr>
          <w:p>
            <w:pPr/>
            <w:r>
              <w:t xml:space="preserve">Terminal version</w:t>
            </w:r>
          </w:p>
        </w:tc>
      </w:tr>
    </w:tbl>
    <w:p>
      <w:pPr>
        <w:pStyle w:val="ListParagraph"/>
        <w:numPr>
          <w:ilvl w:val="0"/>
          <w:numId w:val="5"/>
        </w:numPr>
      </w:pPr>
      <w:r>
        <w:rPr>
          <w:rStyle w:val="CodeChar"/>
        </w:rPr>
        <w:t xml:space="preserve">pip install -r requirements.txt</w:t>
      </w:r>
    </w:p>
    <w:p>
      <w:pPr>
        <w:pStyle w:val="ListParagraph"/>
        <w:numPr>
          <w:ilvl w:val="0"/>
          <w:numId w:val="5"/>
        </w:numPr>
      </w:pPr>
      <w:r>
        <w:t xml:space="preserve">Optional: get a free key at </w:t>
      </w:r>
      <w:hyperlink r:id="rId4" w:history="1">
        <w:r>
          <w:rPr>
            <w:rStyle w:val="Hyperlink"/>
          </w:rPr>
          <w:t xml:space="preserve">Google AI Studio</w:t>
        </w:r>
      </w:hyperlink>
      <w:r>
        <w:t xml:space="preserve"> and paste it in the app sidebar (or set </w:t>
      </w:r>
      <w:r>
        <w:rPr>
          <w:rStyle w:val="CodeChar"/>
        </w:rPr>
        <w:t xml:space="preserve">GOOGLE_API_KEY</w:t>
      </w:r>
      <w:r>
        <w:t xml:space="preserve">). Without a key it runs in offline mode.</w:t>
      </w:r>
    </w:p>
    <w:p>
      <w:pPr>
        <w:pStyle w:val="ListParagraph"/>
        <w:numPr>
          <w:ilvl w:val="0"/>
          <w:numId w:val="5"/>
        </w:numPr>
      </w:pPr>
      <w:r>
        <w:rPr>
          <w:rStyle w:val="CodeChar"/>
        </w:rPr>
        <w:t xml:space="preserve">streamlit run app.py</w:t>
      </w:r>
      <w:r>
        <w:t xml:space="preserve">, pick an email, press </w:t>
      </w:r>
      <w:r>
        <w:rPr>
          <w:b/>
        </w:rPr>
        <w:t xml:space="preserve">Run PhishHunter</w:t>
      </w:r>
      <w:r>
        <w:t xml:space="preserve">.</w:t>
      </w:r>
    </w:p>
    <w:p>
      <w:pPr>
        <w:pStyle w:val="ListParagraph"/>
        <w:numPr>
          <w:ilvl w:val="0"/>
          <w:numId w:val="5"/>
        </w:numPr>
      </w:pPr>
      <w:r>
        <w:t xml:space="preserve">Terminal alternative: </w:t>
      </w:r>
      <w:r>
        <w:rPr>
          <w:rStyle w:val="CodeChar"/>
        </w:rPr>
        <w:t xml:space="preserve">python run_cli.py</w:t>
      </w:r>
      <w:r>
        <w:t xml:space="preserve"> (all emails) or </w:t>
      </w:r>
      <w:r>
        <w:rPr>
          <w:rStyle w:val="CodeChar"/>
        </w:rPr>
        <w:t xml:space="preserve">python run_cli.py E5</w:t>
      </w:r>
      <w:r>
        <w:t xml:space="preserve"> (one email, asks you for the grey-zone decision).</w:t>
      </w:r>
    </w:p>
    <w:p>
      <w:pPr>
        <w:pStyle w:val="Heading2"/>
      </w:pPr>
      <w:r>
        <w:t xml:space="preserve">PoC results</w:t>
      </w:r>
    </w:p>
    <w:p>
      <w:pPr/>
      <w:r>
        <w:t xml:space="preserve">All 7 test emails got the expected outcome in offline mode: 4 auto-contained, 1 sent to a human, 2 closed as safe, with no false positives on the legitimate emails.</w:t>
      </w:r>
    </w:p>
    <w:tbl>
      <w:tblPr>
        <w:tblStyle w:val="TableGrid"/>
        <w:tblW w:w="0" w:type="auto"/>
        <w:tblLayout w:type="fixed"/>
        <w:tblLook w:val="04A0" w:firstRow="1" w:lastRow="0" w:firstColumn="0" w:lastColumn="0" w:noHBand="0" w:noVBand="1"/>
      </w:tblPr>
      <w:tblGrid>
        <w:gridCol w:w="1953"/>
        <w:gridCol w:w="1517"/>
        <w:gridCol w:w="829"/>
        <w:gridCol w:w="1585"/>
        <w:gridCol w:w="3476"/>
      </w:tblGrid>
      <w:tr>
        <w:trPr>
          <w:tblHeader/>
        </w:trPr>
        <w:tc>
          <w:tcPr>
            <w:tcW w:w="1953" w:type="dxa"/>
            <w:shd w:val="clear" w:color="auto" w:fill="F2F2F2"/>
          </w:tcPr>
          <w:p>
            <w:pPr/>
            <w:r>
              <w:t xml:space="preserve">Email</w:t>
            </w:r>
          </w:p>
        </w:tc>
        <w:tc>
          <w:tcPr>
            <w:tcW w:w="1517" w:type="dxa"/>
            <w:shd w:val="clear" w:color="auto" w:fill="F2F2F2"/>
          </w:tcPr>
          <w:p>
            <w:pPr/>
            <w:r>
              <w:t xml:space="preserve">Attack</w:t>
            </w:r>
          </w:p>
        </w:tc>
        <w:tc>
          <w:tcPr>
            <w:tcW w:w="829" w:type="dxa"/>
            <w:shd w:val="clear" w:color="auto" w:fill="F2F2F2"/>
          </w:tcPr>
          <w:p>
            <w:pPr/>
            <w:r>
              <w:t xml:space="preserve">Score</w:t>
            </w:r>
          </w:p>
        </w:tc>
        <w:tc>
          <w:tcPr>
            <w:tcW w:w="1585" w:type="dxa"/>
            <w:shd w:val="clear" w:color="auto" w:fill="F2F2F2"/>
          </w:tcPr>
          <w:p>
            <w:pPr/>
            <w:r>
              <w:t xml:space="preserve">Outcome</w:t>
            </w:r>
          </w:p>
        </w:tc>
        <w:tc>
          <w:tcPr>
            <w:tcW w:w="3476" w:type="dxa"/>
            <w:shd w:val="clear" w:color="auto" w:fill="F2F2F2"/>
          </w:tcPr>
          <w:p>
            <w:pPr/>
            <w:r>
              <w:t xml:space="preserve">Key response</w:t>
            </w:r>
          </w:p>
        </w:tc>
      </w:tr>
      <w:tr>
        <w:tc>
          <w:tcPr>
            <w:tcW w:w="1953" w:type="dxa"/>
          </w:tcPr>
          <w:p>
            <w:pPr/>
            <w:r>
              <w:t xml:space="preserve">E1 Microsoft 365 password expiry</w:t>
            </w:r>
          </w:p>
        </w:tc>
        <w:tc>
          <w:tcPr>
            <w:tcW w:w="1517" w:type="dxa"/>
          </w:tcPr>
          <w:p>
            <w:pPr/>
            <w:r>
              <w:t xml:space="preserve">Credential phishing</w:t>
            </w:r>
          </w:p>
        </w:tc>
        <w:tc>
          <w:tcPr>
            <w:tcW w:w="829" w:type="dxa"/>
          </w:tcPr>
          <w:p>
            <w:pPr/>
            <w:r>
              <w:t xml:space="preserve">100</w:t>
            </w:r>
          </w:p>
        </w:tc>
        <w:tc>
          <w:tcPr>
            <w:tcW w:w="1585" w:type="dxa"/>
          </w:tcPr>
          <w:p>
            <w:pPr/>
            <w:r>
              <w:t xml:space="preserve">Auto-contained, HIGH</w:t>
            </w:r>
          </w:p>
        </w:tc>
        <w:tc>
          <w:tcPr>
            <w:tcW w:w="3476" w:type="dxa"/>
          </w:tcPr>
          <w:p>
            <w:pPr/>
            <w:r>
              <w:t xml:space="preserve">Quarantined in 14 mailboxes; password reset for the 1 user who entered credentials</w:t>
            </w:r>
          </w:p>
        </w:tc>
      </w:tr>
      <w:tr>
        <w:tc>
          <w:tcPr>
            <w:tcW w:w="1953" w:type="dxa"/>
          </w:tcPr>
          <w:p>
            <w:pPr/>
            <w:r>
              <w:t xml:space="preserve">E2 "Quick favour" from fake CEO</w:t>
            </w:r>
          </w:p>
        </w:tc>
        <w:tc>
          <w:tcPr>
            <w:tcW w:w="1517" w:type="dxa"/>
          </w:tcPr>
          <w:p>
            <w:pPr/>
            <w:r>
              <w:t xml:space="preserve">Business email compromise</w:t>
            </w:r>
          </w:p>
        </w:tc>
        <w:tc>
          <w:tcPr>
            <w:tcW w:w="829" w:type="dxa"/>
          </w:tcPr>
          <w:p>
            <w:pPr/>
            <w:r>
              <w:t xml:space="preserve">90</w:t>
            </w:r>
          </w:p>
        </w:tc>
        <w:tc>
          <w:tcPr>
            <w:tcW w:w="1585" w:type="dxa"/>
          </w:tcPr>
          <w:p>
            <w:pPr/>
            <w:r>
              <w:t xml:space="preserve">Auto-contained, MEDIUM</w:t>
            </w:r>
          </w:p>
        </w:tc>
        <w:tc>
          <w:tcPr>
            <w:tcW w:w="3476" w:type="dxa"/>
          </w:tcPr>
          <w:p>
            <w:pPr/>
            <w:r>
              <w:t xml:space="preserve">Blocked that Gmail address only (not all of gmail.com); finance alerted</w:t>
            </w:r>
          </w:p>
        </w:tc>
      </w:tr>
      <w:tr>
        <w:tc>
          <w:tcPr>
            <w:tcW w:w="1953" w:type="dxa"/>
          </w:tcPr>
          <w:p>
            <w:pPr/>
            <w:r>
              <w:t xml:space="preserve">E3 HR Diwali celebration</w:t>
            </w:r>
          </w:p>
        </w:tc>
        <w:tc>
          <w:tcPr>
            <w:tcW w:w="1517" w:type="dxa"/>
          </w:tcPr>
          <w:p>
            <w:pPr/>
            <w:r>
              <w:t xml:space="preserve">None</w:t>
            </w:r>
          </w:p>
        </w:tc>
        <w:tc>
          <w:tcPr>
            <w:tcW w:w="829" w:type="dxa"/>
          </w:tcPr>
          <w:p>
            <w:pPr/>
            <w:r>
              <w:t xml:space="preserve">0</w:t>
            </w:r>
          </w:p>
        </w:tc>
        <w:tc>
          <w:tcPr>
            <w:tcW w:w="1585" w:type="dxa"/>
          </w:tcPr>
          <w:p>
            <w:pPr/>
            <w:r>
              <w:t xml:space="preserve">Closed as safe</w:t>
            </w:r>
          </w:p>
        </w:tc>
        <w:tc>
          <w:tcPr>
            <w:tcW w:w="3476" w:type="dxa"/>
          </w:tcPr>
          <w:p>
            <w:pPr/>
            <w:r>
              <w:t xml:space="preserve">Reporter thanked</w:t>
            </w:r>
          </w:p>
        </w:tc>
      </w:tr>
      <w:tr>
        <w:tc>
          <w:tcPr>
            <w:tcW w:w="1953" w:type="dxa"/>
          </w:tcPr>
          <w:p>
            <w:pPr/>
            <w:r>
              <w:t xml:space="preserve">E4 Overdue Invoice #7781</w:t>
            </w:r>
          </w:p>
        </w:tc>
        <w:tc>
          <w:tcPr>
            <w:tcW w:w="1517" w:type="dxa"/>
          </w:tcPr>
          <w:p>
            <w:pPr/>
            <w:r>
              <w:t xml:space="preserve">Malware delivery</w:t>
            </w:r>
          </w:p>
        </w:tc>
        <w:tc>
          <w:tcPr>
            <w:tcW w:w="829" w:type="dxa"/>
          </w:tcPr>
          <w:p>
            <w:pPr/>
            <w:r>
              <w:t xml:space="preserve">100</w:t>
            </w:r>
          </w:p>
        </w:tc>
        <w:tc>
          <w:tcPr>
            <w:tcW w:w="1585" w:type="dxa"/>
          </w:tcPr>
          <w:p>
            <w:pPr/>
            <w:r>
              <w:t xml:space="preserve">Auto-contained, HIGH</w:t>
            </w:r>
          </w:p>
        </w:tc>
        <w:tc>
          <w:tcPr>
            <w:tcW w:w="3476" w:type="dxa"/>
          </w:tcPr>
          <w:p>
            <w:pPr/>
            <w:r>
              <w:t xml:space="preserve">Quarantined in 6 mailboxes; laptop of the user who opened the .exe isolated</w:t>
            </w:r>
          </w:p>
        </w:tc>
      </w:tr>
      <w:tr>
        <w:tc>
          <w:tcPr>
            <w:tcW w:w="1953" w:type="dxa"/>
          </w:tcPr>
          <w:p>
            <w:pPr/>
            <w:r>
              <w:t xml:space="preserve">E5 Vendor bank-detail change</w:t>
            </w:r>
          </w:p>
        </w:tc>
        <w:tc>
          <w:tcPr>
            <w:tcW w:w="1517" w:type="dxa"/>
          </w:tcPr>
          <w:p>
            <w:pPr/>
            <w:r>
              <w:t xml:space="preserve">Payment fraud</w:t>
            </w:r>
          </w:p>
        </w:tc>
        <w:tc>
          <w:tcPr>
            <w:tcW w:w="829" w:type="dxa"/>
          </w:tcPr>
          <w:p>
            <w:pPr/>
            <w:r>
              <w:t xml:space="preserve">65</w:t>
            </w:r>
          </w:p>
        </w:tc>
        <w:tc>
          <w:tcPr>
            <w:tcW w:w="1585" w:type="dxa"/>
          </w:tcPr>
          <w:p>
            <w:pPr/>
            <w:r>
              <w:t xml:space="preserve">Human review, confirmed malicious</w:t>
            </w:r>
          </w:p>
        </w:tc>
        <w:tc>
          <w:tcPr>
            <w:tcW w:w="3476" w:type="dxa"/>
          </w:tcPr>
          <w:p>
            <w:pPr/>
            <w:r>
              <w:t xml:space="preserve">Finance hold on PO-4471; vendor call-back</w:t>
            </w:r>
          </w:p>
        </w:tc>
      </w:tr>
      <w:tr>
        <w:tc>
          <w:tcPr>
            <w:tcW w:w="1953" w:type="dxa"/>
          </w:tcPr>
          <w:p>
            <w:pPr/>
            <w:r>
              <w:t xml:space="preserve">E6 Parcel Rs 25 redelivery fee</w:t>
            </w:r>
          </w:p>
        </w:tc>
        <w:tc>
          <w:tcPr>
            <w:tcW w:w="1517" w:type="dxa"/>
          </w:tcPr>
          <w:p>
            <w:pPr/>
            <w:r>
              <w:t xml:space="preserve">Payment scam</w:t>
            </w:r>
          </w:p>
        </w:tc>
        <w:tc>
          <w:tcPr>
            <w:tcW w:w="829" w:type="dxa"/>
          </w:tcPr>
          <w:p>
            <w:pPr/>
            <w:r>
              <w:t xml:space="preserve">100</w:t>
            </w:r>
          </w:p>
        </w:tc>
        <w:tc>
          <w:tcPr>
            <w:tcW w:w="1585" w:type="dxa"/>
          </w:tcPr>
          <w:p>
            <w:pPr/>
            <w:r>
              <w:t xml:space="preserve">Auto-contained, HIGH</w:t>
            </w:r>
          </w:p>
        </w:tc>
        <w:tc>
          <w:tcPr>
            <w:tcW w:w="3476" w:type="dxa"/>
          </w:tcPr>
          <w:p>
            <w:pPr/>
            <w:r>
              <w:t xml:space="preserve">bit.ly expanded and destination blocked; user who paid asked to block card</w:t>
            </w:r>
          </w:p>
        </w:tc>
      </w:tr>
      <w:tr>
        <w:tc>
          <w:tcPr>
            <w:tcW w:w="1953" w:type="dxa"/>
          </w:tcPr>
          <w:p>
            <w:pPr/>
            <w:r>
              <w:t xml:space="preserve">E7 LinkedIn notification</w:t>
            </w:r>
          </w:p>
        </w:tc>
        <w:tc>
          <w:tcPr>
            <w:tcW w:w="1517" w:type="dxa"/>
          </w:tcPr>
          <w:p>
            <w:pPr/>
            <w:r>
              <w:t xml:space="preserve">None</w:t>
            </w:r>
          </w:p>
        </w:tc>
        <w:tc>
          <w:tcPr>
            <w:tcW w:w="829" w:type="dxa"/>
          </w:tcPr>
          <w:p>
            <w:pPr/>
            <w:r>
              <w:t xml:space="preserve">0</w:t>
            </w:r>
          </w:p>
        </w:tc>
        <w:tc>
          <w:tcPr>
            <w:tcW w:w="1585" w:type="dxa"/>
          </w:tcPr>
          <w:p>
            <w:pPr/>
            <w:r>
              <w:t xml:space="preserve">Closed as safe</w:t>
            </w:r>
          </w:p>
        </w:tc>
        <w:tc>
          <w:tcPr>
            <w:tcW w:w="3476" w:type="dxa"/>
          </w:tcPr>
          <w:p>
            <w:pPr/>
            <w:r>
              <w:t xml:space="preserve">Reporter thanked</w:t>
            </w:r>
          </w:p>
        </w:tc>
      </w:tr>
    </w:tbl>
    <w:p>
      <w:pPr/>
      <w:r>
        <w:t xml:space="preserve">E5 is the key demo case: the email passes SPF, DKIM and DMARC and has no threat-intel hit, so a simple filter would let it through. PhishHunter still flags the 9-day-old look-alike domain plus the bank-change request, and hands the decision to a human instead of acting alone.</w:t>
      </w:r>
    </w:p>
    <w:p>
      <w:pPr>
        <w:pStyle w:val="Heading2"/>
      </w:pPr>
      <w:r>
        <w:t xml:space="preserve">Limitations and future scope</w:t>
      </w:r>
    </w:p>
    <w:p>
      <w:pPr/>
      <w:r>
        <w:t xml:space="preserve">The PoC proves the workflow, not production accuracy: it runs on 7 hand-made emails and simulated tools.</w:t>
      </w:r>
    </w:p>
    <w:p>
      <w:pPr/>
      <w:r>
        <w:rPr>
          <w:b/>
        </w:rPr>
        <w:t xml:space="preserve">Limitations</w:t>
      </w:r>
    </w:p>
    <w:p>
      <w:pPr>
        <w:pStyle w:val="ListParagraph"/>
        <w:numPr>
          <w:ilvl w:val="0"/>
          <w:numId w:val="6"/>
        </w:numPr>
      </w:pPr>
      <w:r>
        <w:t xml:space="preserve">Signal weights and thresholds are hand-set, not learned from labelled data.</w:t>
      </w:r>
    </w:p>
    <w:p>
      <w:pPr>
        <w:pStyle w:val="ListParagraph"/>
        <w:numPr>
          <w:ilvl w:val="0"/>
          <w:numId w:val="6"/>
        </w:numPr>
      </w:pPr>
      <w:r>
        <w:t xml:space="preserve">Threat intel, mailbox and click logs are static dummy files.</w:t>
      </w:r>
    </w:p>
    <w:p>
      <w:pPr>
        <w:pStyle w:val="ListParagraph"/>
        <w:numPr>
          <w:ilvl w:val="0"/>
          <w:numId w:val="6"/>
        </w:numPr>
      </w:pPr>
      <w:r>
        <w:t xml:space="preserve">Response actions are recorded, not executed.</w:t>
      </w:r>
    </w:p>
    <w:p>
      <w:pPr>
        <w:pStyle w:val="ListParagraph"/>
        <w:numPr>
          <w:ilvl w:val="0"/>
          <w:numId w:val="6"/>
        </w:numPr>
      </w:pPr>
      <w:r>
        <w:t xml:space="preserve">The LLM can mislabel tactics; the fixed-point scoring and the human checkpoint limit the damage.</w:t>
      </w:r>
    </w:p>
    <w:p>
      <w:pPr/>
      <w:r>
        <w:rPr>
          <w:b/>
        </w:rPr>
        <w:t xml:space="preserve">Future scope</w:t>
      </w:r>
    </w:p>
    <w:p>
      <w:pPr>
        <w:pStyle w:val="ListParagraph"/>
        <w:numPr>
          <w:ilvl w:val="0"/>
          <w:numId w:val="7"/>
        </w:numPr>
      </w:pPr>
      <w:r>
        <w:t xml:space="preserve">Connect real APIs: Microsoft Graph or Gmail admin for mailboxes, VirusTotal and WHOIS for intel, Jira for tickets.</w:t>
      </w:r>
    </w:p>
    <w:p>
      <w:pPr>
        <w:pStyle w:val="ListParagraph"/>
        <w:numPr>
          <w:ilvl w:val="0"/>
          <w:numId w:val="7"/>
        </w:numPr>
      </w:pPr>
      <w:r>
        <w:t xml:space="preserve">Detonate attachments and links in a sandbox and read screenshots of landing pages with a vision model.</w:t>
      </w:r>
    </w:p>
    <w:p>
      <w:pPr>
        <w:pStyle w:val="ListParagraph"/>
        <w:numPr>
          <w:ilvl w:val="0"/>
          <w:numId w:val="7"/>
        </w:numPr>
      </w:pPr>
      <w:r>
        <w:t xml:space="preserve">Learn weights from analyst decisions on grey-zone cases.</w:t>
      </w:r>
    </w:p>
    <w:p>
      <w:pPr>
        <w:pStyle w:val="ListParagraph"/>
        <w:numPr>
          <w:ilvl w:val="0"/>
          <w:numId w:val="7"/>
        </w:numPr>
      </w:pPr>
      <w:r>
        <w:t xml:space="preserve">Add a memory of past campaigns so repeat attackers are recognised instantly.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aistudio.google.com/apikey"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PhishHunter Agentic Phishing Triage (FAAI CA-3)</dc:title>
  <dc:description>Claude Docs node/0cb8fe75-4040@12 docx-w7</dc:description>
  <cp:revision>12</cp:revision>
</cp:coreProperties>
</file>