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Product Suite Deployment Guide</w:t>
      </w:r>
    </w:p>
    <w:p>
      <w:pPr>
        <w:spacing w:after="200"/>
      </w:pPr>
      <w:r>
        <w:t>Combined deployment pack for the unified dashboard, including Chainlink family models, Turbo family models, runtime files, and the exact signal logic currently live in the console.</w:t>
      </w:r>
    </w:p>
    <w:p>
      <w:pPr>
        <w:spacing w:after="240"/>
      </w:pPr>
      <w:r>
        <w:rPr>
          <w:i/>
          <w:color w:val="5A5A5A"/>
          <w:sz w:val="20"/>
        </w:rPr>
        <w:t>Prepared: 09 Jun 2026</w:t>
      </w:r>
    </w:p>
    <w:p>
      <w:pPr>
        <w:pStyle w:val="Heading1"/>
      </w:pPr>
      <w:r>
        <w:t>What To Send To Dev</w:t>
      </w:r>
    </w:p>
    <w:p>
      <w:pPr>
        <w:pStyle w:val="ListBullet"/>
        <w:spacing w:after="60"/>
      </w:pPr>
      <w:r>
        <w:t>Send the whole folder named deployment 8th june 2026.</w:t>
      </w:r>
    </w:p>
    <w:p>
      <w:pPr>
        <w:pStyle w:val="ListBullet"/>
        <w:spacing w:after="60"/>
      </w:pPr>
      <w:r>
        <w:t>That folder now contains the runtime files, config JSONs, builder references, and the combined explanation PDF/Word files.</w:t>
      </w:r>
    </w:p>
    <w:p>
      <w:pPr>
        <w:pStyle w:val="ListBullet"/>
        <w:spacing w:after="60"/>
      </w:pPr>
      <w:r>
        <w:t>The dashboard runtime is the live_chainlink_product_suite_console HTML/JS plus server.mjs.</w:t>
      </w:r>
    </w:p>
    <w:p>
      <w:pPr>
        <w:pStyle w:val="ListBullet"/>
        <w:spacing w:after="60"/>
      </w:pPr>
      <w:r>
        <w:t>The most important model files are chainlink_product_suite_final_models.json, chainlink_model2_smoothed_mr_models.json, chainlink_model3_fixed_window_models.json, and turbo_product_suite_final_models.json.</w:t>
      </w:r>
    </w:p>
    <w:p>
      <w:pPr>
        <w:pStyle w:val="Heading2"/>
      </w:pPr>
      <w:r>
        <w:t>Bundle Inventory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03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 in deployment folder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live_chainlink_product_suite_console.html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 UI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live_chainlink_product_suite_console.js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Dashboard runtime logic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server.mjs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Local/API server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chainlink_product_suite_final_models.json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 Model 1 baseline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chainlink_model2_smoothed_mr_models.json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 Model 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chainlink_model3_fixed_window_models.json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 Model 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turbo_product_suite_final_models.json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bucket configs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build_chainlink_final_config.py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 builder reference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missing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build_turbo_final_config.py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builder reference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chainlink_models_1_2_3_guide_20260608.pdf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 model guide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product_suite_full_deployment_guide_20260609.pdf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Combined deployment guide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Runtime Logic</w:t>
      </w:r>
    </w:p>
    <w:p>
      <w:pPr>
        <w:pStyle w:val="ListBullet"/>
        <w:spacing w:after="60"/>
      </w:pPr>
      <w:r>
        <w:t>Every second, the dashboard updates the latest Chainlink, Turbo, Binance spot, and Binance perp prices and recomputes the selected model state.</w:t>
      </w:r>
    </w:p>
    <w:p>
      <w:pPr>
        <w:pStyle w:val="ListBullet"/>
        <w:spacing w:after="60"/>
      </w:pPr>
      <w:r>
        <w:t>For bucket models, the runtime computes the selected lookback move, chooses the active bucket, and reads fair P(Higher) from the ladder.</w:t>
      </w:r>
    </w:p>
    <w:p>
      <w:pPr>
        <w:pStyle w:val="ListBullet"/>
        <w:spacing w:after="60"/>
      </w:pPr>
      <w:r>
        <w:t>For legacy BTC Turbo short-tenor, the runtime uses the recovered fitted depth model rather than a simple bucket lookup.</w:t>
      </w:r>
    </w:p>
    <w:p>
      <w:pPr>
        <w:pStyle w:val="ListBullet"/>
        <w:spacing w:after="60"/>
      </w:pPr>
      <w:r>
        <w:t>Fair MID is always computed first. User-selected edge is applied only after fair MID to generate the 2-way payout quote.</w:t>
      </w:r>
    </w:p>
    <w:p>
      <w:pPr>
        <w:pStyle w:val="Heading1"/>
      </w:pPr>
      <w:r>
        <w:t>Chainlink Family</w:t>
      </w:r>
    </w:p>
    <w:p>
      <w:pPr>
        <w:pStyle w:val="ListBullet"/>
        <w:spacing w:after="60"/>
      </w:pPr>
      <w:r>
        <w:t>Model 1 is the current deployed baseline in the dashboard.</w:t>
      </w:r>
    </w:p>
    <w:p>
      <w:pPr>
        <w:pStyle w:val="ListBullet"/>
        <w:spacing w:after="60"/>
      </w:pPr>
      <w:r>
        <w:t>Model 2 is the smoothed mean-reversion alternative for 3m and above.</w:t>
      </w:r>
    </w:p>
    <w:p>
      <w:pPr>
        <w:pStyle w:val="ListBullet"/>
        <w:spacing w:after="60"/>
      </w:pPr>
      <w:r>
        <w:t>Model 3 is the fixed-window Chainlink mean-reversion alternative: 2-minute lookback for 3m/5m/15m and 20-minute lookback for 1h.</w:t>
      </w:r>
    </w:p>
    <w:p>
      <w:pPr>
        <w:pStyle w:val="ListBullet"/>
        <w:spacing w:after="60"/>
      </w:pPr>
      <w:r>
        <w:t>All three models share the same current short-tenor block for 30s and 1m in the runtime.</w:t>
      </w:r>
    </w:p>
    <w:p>
      <w:pPr>
        <w:pStyle w:val="Heading2"/>
      </w:pPr>
      <w:r>
        <w:t>Shared 30s and 1m Runtime Block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29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Pair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Product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Lookback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Note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spot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Shared across Models 1, 2, and 3 in the current runtime override.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perp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|delta_gap_spot_30s| &gt;= 2bp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Basis-gated short-tenor logic retained in all models.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1m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Shared across Models 1, 2, and 3 in the current runtime override.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1m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|delta_gap_spot_1m| &gt;= 3bp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Basis-gated short-tenor logic retained in all models.</w:t>
            </w:r>
          </w:p>
        </w:tc>
      </w:tr>
    </w:tbl>
    <w:p>
      <w:pPr>
        <w:pStyle w:val="Heading2"/>
      </w:pPr>
      <w:r>
        <w:t>Model 1 Product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22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Pair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Product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00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Lookback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165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Comment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spot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10s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Shared across Models 1, 2, and 3 in the current runtime override.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perp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|delta_gap_spot_30s| &gt;= 2bp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Basis-gated short-tenor logic retained in all models.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10s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Shared across Models 1, 2, and 3 in the current runtime override.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60s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|delta_gap_spot_1m| &gt;= 3bp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Basis-gated short-tenor logic retained in all models.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best current medium-horizon reversal candidate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perp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more robust than thin short-chainlink buckets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weak / low-confidence candidate only; keep mild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perp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strongest robust mean-reversion product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spot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short external move continuation dominates broader grid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perp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short-to-medium external move continuation dominates; chainlink longer windows are secondary MR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spot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 was too short; 30m external continuation is dominant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perp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momentum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 was too short; 30m external continuation is dominant</w:t>
            </w:r>
          </w:p>
        </w:tc>
      </w:tr>
    </w:tbl>
    <w:p>
      <w:pPr>
        <w:pStyle w:val="Heading2"/>
      </w:pPr>
      <w:r>
        <w:t>Model 2 Product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22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Pair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Product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Lookback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403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Comment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bucketed Chainlink move mean-reversion as fair MID, with weak buckets flattened and extremes capped.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bucketed Chainlink move mean-reversion as fair MID, with weak buckets flattened and extremes capped.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bucketed Chainlink move mean-reversion as fair MID, with weak buckets flattened and extremes capped.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bucketed Chainlink move mean-reversion as fair MID, with weak buckets flattened and extremes capped.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bucketed Chainlink move mean-reversion as fair MID, with weak buckets flattened and extremes capped.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bucketed Chainlink move mean-reversion as fair MID, with weak buckets flattened and extremes capped.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bucketed Chainlink move mean-reversion as fair MID, with weak buckets flattened and extremes capped.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bucketed Chainlink move mean-reversion as fair MID, with weak buckets flattened and extremes capped.</w:t>
            </w:r>
          </w:p>
        </w:tc>
      </w:tr>
    </w:tbl>
    <w:p>
      <w:pPr>
        <w:pStyle w:val="Heading2"/>
      </w:pPr>
      <w:r>
        <w:t>Model 3 Product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22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Pair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Product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Lookback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4032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Comment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Fixed-window architecture chosen for robustness and consistency across products, with smoothed MR ladders to reduce recent-window overfit.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Fixed-window architecture chosen for robustness and consistency across products, with smoothed MR ladders to reduce recent-window overfit.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Fixed-window architecture chosen for robustness and consistency across products, with smoothed MR ladders to reduce recent-window overfit.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Fixed-window architecture chosen for robustness and consistency across products, with smoothed MR ladders to reduce recent-window overfit.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Fixed-window architecture chosen for robustness and consistency across products, with smoothed MR ladders to reduce recent-window overfit.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Fixed-window architecture chosen for robustness and consistency across products, with smoothed MR ladders to reduce recent-window overfit.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Fixed-window architecture chosen for robustness and consistency across products, with smoothed MR ladders to reduce recent-window overfit.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Chainlink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20m</w:t>
            </w:r>
          </w:p>
        </w:tc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Fixed-window architecture chosen for robustness and consistency across products, with smoothed MR ladders to reduce recent-window overfit.</w:t>
            </w:r>
          </w:p>
        </w:tc>
      </w:tr>
    </w:tbl>
    <w:p>
      <w:pPr>
        <w:pStyle w:val="Heading2"/>
      </w:pPr>
      <w:r>
        <w:t>Chainlink Ladder Appendix</w:t>
      </w:r>
    </w:p>
    <w:p>
      <w:pPr>
        <w:pStyle w:val="ListBullet"/>
        <w:spacing w:after="60"/>
      </w:pPr>
      <w:r>
        <w:t>Bucket tables below show fair P(Higher) by bucket when the selected move is positive or negative.</w:t>
      </w:r>
    </w:p>
    <w:p>
      <w:pPr>
        <w:pStyle w:val="ListBullet"/>
        <w:spacing w:after="60"/>
      </w:pPr>
      <w:r>
        <w:t>For Model 1, the table reflects the selected best-rule bucket studies for 3m and above.</w:t>
      </w:r>
    </w:p>
    <w:p>
      <w:pPr>
        <w:pStyle w:val="ListBullet"/>
        <w:spacing w:after="60"/>
      </w:pPr>
      <w:r>
        <w:t>For Models 2 and 3, the table reflects the smoothed JSON ladders.</w:t>
      </w:r>
    </w:p>
    <w:p>
      <w:pPr>
        <w:pStyle w:val="Heading3"/>
      </w:pPr>
      <w:r>
        <w:t>Model 1</w:t>
      </w:r>
    </w:p>
    <w:p>
      <w:pPr>
        <w:pStyle w:val="Heading3"/>
      </w:pPr>
      <w:r>
        <w:t>BTC/USDT 30s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53.80%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46.20%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4-6bp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53.80%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46.20%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57.59%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42.41%</w:t>
            </w:r>
          </w:p>
        </w:tc>
      </w:tr>
    </w:tbl>
    <w:p>
      <w:pPr>
        <w:pStyle w:val="Heading3"/>
      </w:pPr>
      <w:r>
        <w:t>ETH/USDT 30s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54.70%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45.30%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4-6bp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54.70%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45.30%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55.71%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44.29%</w:t>
            </w:r>
          </w:p>
        </w:tc>
      </w:tr>
    </w:tbl>
    <w:p>
      <w:pPr>
        <w:pStyle w:val="Heading3"/>
      </w:pPr>
      <w:r>
        <w:t>BTC/USDT 1m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57.47%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42.53%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4-6bp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57.47%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42.53%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57.47%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42.53%</w:t>
            </w:r>
          </w:p>
        </w:tc>
      </w:tr>
    </w:tbl>
    <w:p>
      <w:pPr>
        <w:pStyle w:val="Heading3"/>
      </w:pPr>
      <w:r>
        <w:t>ETH/USDT 1m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0-6bp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59.62%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40.38%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63.27%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36.73%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63.27%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36.73%</w:t>
            </w:r>
          </w:p>
        </w:tc>
      </w:tr>
    </w:tbl>
    <w:p>
      <w:pPr>
        <w:pStyle w:val="Heading3"/>
      </w:pPr>
      <w:r>
        <w:t>BTC/USDT 3m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44.64%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48.61%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46.58%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38.61%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45.83%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58.70%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42.86%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52.02%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38.95%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62.32%</w:t>
            </w:r>
          </w:p>
        </w:tc>
      </w:tr>
    </w:tbl>
    <w:p>
      <w:pPr>
        <w:pStyle w:val="Heading3"/>
      </w:pPr>
      <w:r>
        <w:t>ETH/USDT 3m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44.39%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56.66%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46.30%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52.81%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44.20%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52.26%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50.91%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47.78%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47.84%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52.41%</w:t>
            </w:r>
          </w:p>
        </w:tc>
      </w:tr>
    </w:tbl>
    <w:p>
      <w:pPr>
        <w:pStyle w:val="Heading3"/>
      </w:pPr>
      <w:r>
        <w:t>BTC/USDT 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37.72%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47.26%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50.79%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55.56%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42.59%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38.95%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52.83%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52.78%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57.97%</w:t>
            </w:r>
          </w:p>
        </w:tc>
      </w:tr>
    </w:tbl>
    <w:p>
      <w:pPr>
        <w:pStyle w:val="Heading3"/>
      </w:pPr>
      <w:r>
        <w:t>ETH/USDT 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42.04%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63.18%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35.13%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54.21%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49.58%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44.69%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43.63%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54.37%</w:t>
            </w:r>
          </w:p>
        </w:tc>
      </w:tr>
    </w:tbl>
    <w:p>
      <w:pPr>
        <w:pStyle w:val="Heading3"/>
      </w:pPr>
      <w:r>
        <w:t>BTC/USDT 15m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58.21%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38.45%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63.07%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36.30%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69.05%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34.45%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66.03%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37.72%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69.77%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35.69%</w:t>
            </w:r>
          </w:p>
        </w:tc>
      </w:tr>
    </w:tbl>
    <w:p>
      <w:pPr>
        <w:pStyle w:val="Heading3"/>
      </w:pPr>
      <w:r>
        <w:t>ETH/USDT 15m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54.70%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47.37%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61.54%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48.73%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66.67%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66.77%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53.15%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30.48%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65.71%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36.45%</w:t>
            </w:r>
          </w:p>
        </w:tc>
      </w:tr>
    </w:tbl>
    <w:p>
      <w:pPr>
        <w:pStyle w:val="Heading3"/>
      </w:pPr>
      <w:r>
        <w:t>BTC/USDT 1h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44.19%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31.75%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72.90%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23.16%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90.48%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7.83%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63.27%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29.90%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73.03%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30.67%</w:t>
            </w:r>
          </w:p>
        </w:tc>
      </w:tr>
    </w:tbl>
    <w:p>
      <w:pPr>
        <w:pStyle w:val="Heading3"/>
      </w:pPr>
      <w:r>
        <w:t>ETH/USDT 1h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38.89%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45.45%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60.15%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38.89%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79.48%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20.31%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47.37%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55.71%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36.84%</w:t>
            </w:r>
          </w:p>
        </w:tc>
      </w:tr>
    </w:tbl>
    <w:p>
      <w:pPr>
        <w:pStyle w:val="Heading3"/>
      </w:pPr>
      <w:r>
        <w:t>Model 2</w:t>
      </w:r>
    </w:p>
    <w:p>
      <w:pPr>
        <w:pStyle w:val="Heading3"/>
      </w:pPr>
      <w:r>
        <w:t>BTC/USDT 3m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56.50%</w:t>
            </w:r>
          </w:p>
        </w:tc>
      </w:tr>
    </w:tbl>
    <w:p>
      <w:pPr>
        <w:pStyle w:val="Heading3"/>
      </w:pPr>
      <w:r>
        <w:t>ETH/USDT 3m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66.50%</w:t>
            </w:r>
          </w:p>
        </w:tc>
      </w:tr>
    </w:tbl>
    <w:p>
      <w:pPr>
        <w:pStyle w:val="Heading3"/>
      </w:pPr>
      <w:r>
        <w:t>BTC/USDT 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</w:tbl>
    <w:p>
      <w:pPr>
        <w:pStyle w:val="Heading3"/>
      </w:pPr>
      <w:r>
        <w:t>ETH/USDT 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68.00%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59.00%</w:t>
            </w:r>
          </w:p>
        </w:tc>
      </w:tr>
    </w:tbl>
    <w:p>
      <w:pPr>
        <w:pStyle w:val="Heading3"/>
      </w:pPr>
      <w:r>
        <w:t>BTC/USDT 15m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61.00%</w:t>
            </w:r>
          </w:p>
        </w:tc>
      </w:tr>
    </w:tbl>
    <w:p>
      <w:pPr>
        <w:pStyle w:val="Heading3"/>
      </w:pPr>
      <w:r>
        <w:t>ETH/USDT 15m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61.00%</w:t>
            </w:r>
          </w:p>
        </w:tc>
      </w:tr>
    </w:tbl>
    <w:p>
      <w:pPr>
        <w:pStyle w:val="Heading3"/>
      </w:pPr>
      <w:r>
        <w:t>BTC/USDT 1h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60.00%</w:t>
            </w:r>
          </w:p>
        </w:tc>
      </w:tr>
    </w:tbl>
    <w:p>
      <w:pPr>
        <w:pStyle w:val="Heading3"/>
      </w:pPr>
      <w:r>
        <w:t>ETH/USDT 1h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59.00%</w:t>
            </w:r>
          </w:p>
        </w:tc>
      </w:tr>
    </w:tbl>
    <w:p>
      <w:pPr>
        <w:pStyle w:val="Heading3"/>
      </w:pPr>
      <w:r>
        <w:t>Model 3</w:t>
      </w:r>
    </w:p>
    <w:p>
      <w:pPr>
        <w:pStyle w:val="Heading3"/>
      </w:pPr>
      <w:r>
        <w:t>BTC/USDT 3m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56.00%</w:t>
            </w:r>
          </w:p>
        </w:tc>
      </w:tr>
    </w:tbl>
    <w:p>
      <w:pPr>
        <w:pStyle w:val="Heading3"/>
      </w:pPr>
      <w:r>
        <w:t>ETH/USDT 3m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56.00%</w:t>
            </w:r>
          </w:p>
        </w:tc>
      </w:tr>
    </w:tbl>
    <w:p>
      <w:pPr>
        <w:pStyle w:val="Heading3"/>
      </w:pPr>
      <w:r>
        <w:t>BTC/USDT 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45.71%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</w:tbl>
    <w:p>
      <w:pPr>
        <w:pStyle w:val="Heading3"/>
      </w:pPr>
      <w:r>
        <w:t>ETH/USDT 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</w:tbl>
    <w:p>
      <w:pPr>
        <w:pStyle w:val="Heading3"/>
      </w:pPr>
      <w:r>
        <w:t>BTC/USDT 15m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45.05%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55.04%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40.48%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60.00%</w:t>
            </w:r>
          </w:p>
        </w:tc>
      </w:tr>
    </w:tbl>
    <w:p>
      <w:pPr>
        <w:pStyle w:val="Heading3"/>
      </w:pPr>
      <w:r>
        <w:t>ETH/USDT 15m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39.29%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58.18%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54.89%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57.89%</w:t>
            </w:r>
          </w:p>
        </w:tc>
      </w:tr>
    </w:tbl>
    <w:p>
      <w:pPr>
        <w:pStyle w:val="Heading3"/>
      </w:pPr>
      <w:r>
        <w:t>BTC/USDT 1h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57.89%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56.00%</w:t>
            </w:r>
          </w:p>
        </w:tc>
      </w:tr>
    </w:tbl>
    <w:p>
      <w:pPr>
        <w:pStyle w:val="Heading3"/>
      </w:pPr>
      <w:r>
        <w:t>ETH/USDT 1h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0-4bp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12-20bp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41.18%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59.46%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60.61%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4-8bp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8-12bp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62.00%</w:t>
            </w:r>
          </w:p>
        </w:tc>
      </w:tr>
    </w:tbl>
    <w:p>
      <w:pPr>
        <w:pStyle w:val="Heading1"/>
      </w:pPr>
      <w:r>
        <w:t>Turbo Family</w:t>
      </w:r>
    </w:p>
    <w:p>
      <w:pPr>
        <w:pStyle w:val="ListBullet"/>
        <w:spacing w:after="60"/>
      </w:pPr>
      <w:r>
        <w:t>Turbo is restored as a second family tab in the unified dashboard.</w:t>
      </w:r>
    </w:p>
    <w:p>
      <w:pPr>
        <w:pStyle w:val="ListBullet"/>
        <w:spacing w:after="60"/>
      </w:pPr>
      <w:r>
        <w:t>BTC 30s and BTC 1m use the recovered legacy short-tenor depth model from the earlier setup.</w:t>
      </w:r>
    </w:p>
    <w:p>
      <w:pPr>
        <w:pStyle w:val="ListBullet"/>
        <w:spacing w:after="60"/>
      </w:pPr>
      <w:r>
        <w:t>ETH 30s and ETH 1m are now filled with Turbo own-feed replay logic instead of N/A.</w:t>
      </w:r>
    </w:p>
    <w:p>
      <w:pPr>
        <w:pStyle w:val="ListBullet"/>
        <w:spacing w:after="60"/>
      </w:pPr>
      <w:r>
        <w:t>Turbo 3m and above use the existing 7-day own-feed bucket ladders.</w:t>
      </w:r>
    </w:p>
    <w:p>
      <w:pPr>
        <w:pStyle w:val="Heading2"/>
      </w:pPr>
      <w:r>
        <w:t>Turbo Product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22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Pair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Product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1008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Lookback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Comment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futures BTCUSDT top-10 depth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microstructure momentum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Recovered legacy BTC short-tenor depth model. Not a simple bucket ladder.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mild mean reversion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ETH short-tenor fill using 7-day own-feed replay with smoothed ladder.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Binance futures BTCUSDT top-10 depth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microstructure momentum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Recovered legacy BTC 1m variant with softer step scale.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ETH short-tenor fill using 7-day own-feed replay with smoothed ladder.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7-day turbo own-feed backtest. Best lookback 3m. Smoothed bucket-by-bucket probability ladder derived from empirical move-bucket win rates. Lift vs flat base 27588.52.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7-day turbo own-feed backtest. Best lookback 3m. Smoothed bucket-by-bucket probability ladder derived from empirical move-bucket win rates. Lift vs flat base 5753.46.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7-day turbo own-feed backtest. Best lookback 2m. Smoothed bucket-by-bucket probability ladder derived from empirical move-bucket win rates. Lift vs flat base 4719.59.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7-day turbo own-feed backtest. Best lookback 5m. Smoothed bucket-by-bucket probability ladder derived from empirical move-bucket win rates. Lift vs flat base 11156.37.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7-day turbo own-feed backtest. Best lookback 15m. Smoothed bucket-by-bucket probability ladder derived from empirical move-bucket win rates. Lift vs flat base 15999.57.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7-day turbo own-feed backtest. Best lookback 15m. Smoothed bucket-by-bucket probability ladder derived from empirical move-bucket win rates. Lift vs flat base 1411.71.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BTC/USDT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7-day turbo own-feed backtest. Best lookback 60m. Smoothed bucket-by-bucket probability ladder derived from empirical move-bucket win rates. Lift vs flat base 1707.99.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ETH/USDT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1h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Turbo feed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mean reversion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7-day turbo own-feed backtest. Best lookback 15m. Smoothed bucket-by-bucket probability ladder derived from empirical move-bucket win rates. Lift vs flat base 495.60.</w:t>
            </w:r>
          </w:p>
        </w:tc>
      </w:tr>
    </w:tbl>
    <w:p>
      <w:pPr>
        <w:pStyle w:val="Heading2"/>
      </w:pPr>
      <w:r>
        <w:t>Turbo Ladder Appendix</w:t>
      </w:r>
    </w:p>
    <w:p>
      <w:pPr>
        <w:pStyle w:val="ListBullet"/>
        <w:spacing w:after="60"/>
      </w:pPr>
      <w:r>
        <w:t>BTC 30s and BTC 1m are legacy microstructure models, so they do not use the simple bucket table below.</w:t>
      </w:r>
    </w:p>
    <w:p>
      <w:pPr>
        <w:pStyle w:val="ListBullet"/>
        <w:spacing w:after="60"/>
      </w:pPr>
      <w:r>
        <w:t>ETH 30s, ETH 1m, and all 3m-plus Turbo products below show bucket-based fair P(Higher) from the final JSON.</w:t>
      </w:r>
    </w:p>
    <w:p>
      <w:pPr>
        <w:pStyle w:val="Heading3"/>
      </w:pPr>
      <w:r>
        <w:t>BTC/USDT 30s</w:t>
      </w:r>
    </w:p>
    <w:p>
      <w:r>
        <w:t>Disabled in the raw Turbo JSON, but restored in the unified dashboard only where documented above.</w:t>
      </w:r>
    </w:p>
    <w:p>
      <w:pPr>
        <w:pStyle w:val="Heading3"/>
      </w:pPr>
      <w:r>
        <w:t>ETH/USDT 30s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47.20%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51.20%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54.50%</w:t>
            </w:r>
          </w:p>
        </w:tc>
      </w:tr>
    </w:tbl>
    <w:p>
      <w:pPr>
        <w:pStyle w:val="Heading3"/>
      </w:pPr>
      <w:r>
        <w:t>BTC/USDT 1m</w:t>
      </w:r>
    </w:p>
    <w:p>
      <w:r>
        <w:t>Disabled in the raw Turbo JSON, but restored in the unified dashboard only where documented above.</w:t>
      </w:r>
    </w:p>
    <w:p>
      <w:pPr>
        <w:pStyle w:val="Heading3"/>
      </w:pPr>
      <w:r>
        <w:t>ETH/USDT 1m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</w:tr>
    </w:tbl>
    <w:p>
      <w:pPr>
        <w:pStyle w:val="Heading3"/>
      </w:pPr>
      <w:r>
        <w:t>BTC/USDT 3m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56.50%</w:t>
            </w:r>
          </w:p>
        </w:tc>
      </w:tr>
    </w:tbl>
    <w:p>
      <w:pPr>
        <w:pStyle w:val="Heading3"/>
      </w:pPr>
      <w:r>
        <w:t>ETH/USDT 3m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55.00%</w:t>
            </w:r>
          </w:p>
        </w:tc>
      </w:tr>
    </w:tbl>
    <w:p>
      <w:pPr>
        <w:pStyle w:val="Heading3"/>
      </w:pPr>
      <w:r>
        <w:t>BTC/USDT 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53.00%</w:t>
            </w:r>
          </w:p>
        </w:tc>
      </w:tr>
    </w:tbl>
    <w:p>
      <w:pPr>
        <w:pStyle w:val="Heading3"/>
      </w:pPr>
      <w:r>
        <w:t>ETH/USDT 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53.50%</w:t>
            </w:r>
          </w:p>
        </w:tc>
      </w:tr>
    </w:tbl>
    <w:p>
      <w:pPr>
        <w:pStyle w:val="Heading3"/>
      </w:pPr>
      <w:r>
        <w:t>BTC/USDT 15m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20-30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30-40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</w:tr>
    </w:tbl>
    <w:p>
      <w:pPr>
        <w:pStyle w:val="Heading3"/>
      </w:pPr>
      <w:r>
        <w:t>ETH/USDT 15m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0-10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10-20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20-30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30-40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61.00%</w:t>
            </w:r>
          </w:p>
        </w:tc>
      </w:tr>
    </w:tbl>
    <w:p>
      <w:pPr>
        <w:pStyle w:val="Heading3"/>
      </w:pPr>
      <w:r>
        <w:t>BTC/USDT 1h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57.00%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15-30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44.50%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55.50%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30-45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45-60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60-90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58.00%</w:t>
            </w:r>
          </w:p>
        </w:tc>
      </w:tr>
    </w:tbl>
    <w:p>
      <w:pPr>
        <w:pStyle w:val="Heading3"/>
      </w:pPr>
      <w:r>
        <w:t>ETH/USDT 1h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Bucket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positive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P(Higher) if move negative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0-15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41.00%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15-30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30-45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45-60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60-90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64.00%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90+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36.00%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64.00%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