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ae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5fa36787dfefe9eaaf90f25a57ba63a86cf5ec1"/>
    <w:p>
      <w:pPr>
        <w:pStyle w:val="1"/>
      </w:pPr>
      <w:r>
        <w:rPr>
          <w:rStyle w:val="SectionNumber"/>
        </w:rPr>
        <w:t xml:space="preserve">1</w:t>
      </w:r>
      <w:r>
        <w:tab/>
      </w:r>
      <w:r>
        <w:t xml:space="preserve">Взаимосвязь экономического роста, безработицы, инфляции и процентной ставки в США</w:t>
      </w:r>
    </w:p>
    <w:bookmarkStart w:id="20" w:name="введение"/>
    <w:p>
      <w:pPr>
        <w:pStyle w:val="2"/>
      </w:pPr>
      <w:r>
        <w:rPr>
          <w:rStyle w:val="SectionNumber"/>
        </w:rPr>
        <w:t xml:space="preserve">1.1</w:t>
      </w:r>
      <w:r>
        <w:tab/>
      </w:r>
      <w:r>
        <w:t xml:space="preserve">1. Введение</w:t>
      </w:r>
    </w:p>
    <w:p>
      <w:pPr>
        <w:pStyle w:val="FirstParagraph"/>
      </w:pPr>
      <w:r>
        <w:t xml:space="preserve">В работе проверяется связь между ростом экономики США и изменением безработицы. Основная идея связана с законом Оукена: если реальный ВВП растёт быстрее, безработица обычно снижается или растёт медленнее. Если рост ВВП замедляется, безработица, наоборот, чаще увеличивается.</w:t>
      </w:r>
    </w:p>
    <w:p>
      <w:pPr>
        <w:pStyle w:val="a0"/>
      </w:pPr>
      <w:r>
        <w:t xml:space="preserve">В модель также добавлены инфляция и ставка федеральных фондов. Эти показатели важны, потому что рост цен и процентная политика могут влиять на спрос в экономике, а значит и на рынок труда.</w:t>
      </w:r>
    </w:p>
    <w:p>
      <w:pPr>
        <w:pStyle w:val="a0"/>
      </w:pPr>
      <w:r>
        <w:t xml:space="preserve">Научная основа работы — статья Knotek, E. S. II (2007).</w:t>
      </w:r>
      <w:r>
        <w:t xml:space="preserve"> </w:t>
      </w:r>
      <w:r>
        <w:rPr>
          <w:iCs/>
          <w:i/>
        </w:rPr>
        <w:t xml:space="preserve">How useful is Okun’s law?</w:t>
      </w:r>
      <w:r>
        <w:t xml:space="preserve"> </w:t>
      </w:r>
      <w:r>
        <w:t xml:space="preserve">Economic Review, Federal Reserve Bank of Kansas City, 92(Q IV), 73-103. В статье показано, что отрицательная связь между ростом ВВП и изменением безработицы действительно существует и может быть полезна для анализа. При этом эта связь не является точным экономическим законом: она может меняться во времени и зависеть от состояния экономики.</w:t>
      </w:r>
    </w:p>
    <w:p>
      <w:pPr>
        <w:pStyle w:val="a0"/>
      </w:pPr>
      <w:r>
        <w:t xml:space="preserve">Проблема исследования состоит в том, чтобы проверить, насколько устойчиво рост ВВП связан с изменением безработицы после кризиса 2008–2009 гг., COVID-шока и периода высокой инфляции и роста ставок в 2021–2024 гг. Основная гипотеза: более высокий темп роста реального ВВП связан со снижением прироста безработицы. При этом инфляция и ставка федеральных фондов могут добавлять дополнительную информацию, но сама связь может меняться из-за крупных экономических шоков.</w:t>
      </w:r>
    </w:p>
    <w:bookmarkEnd w:id="20"/>
    <w:bookmarkStart w:id="24" w:name="исходные-данные"/>
    <w:p>
      <w:pPr>
        <w:pStyle w:val="2"/>
      </w:pPr>
      <w:r>
        <w:rPr>
          <w:rStyle w:val="SectionNumber"/>
        </w:rPr>
        <w:t xml:space="preserve">1.2</w:t>
      </w:r>
      <w:r>
        <w:tab/>
      </w:r>
      <w:r>
        <w:t xml:space="preserve">2. Исходные данные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926"/>
        <w:gridCol w:w="1327"/>
        <w:gridCol w:w="1241"/>
        <w:gridCol w:w="1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Реальный ВВП США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млрд цепных долларов 2017 г., SAAR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квартальная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 через 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https://fred.stlouisfed.org/series/GDPC1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рабочей силы, сезонно скорректировано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месячная, усреднена до квартала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BLS через 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https://fred.stlouisfed.org/series/UNRATE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Индекс потребительских цен CPI-U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1982-1984=100, сезонно скорректировано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месячная, усреднена до квартала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BLS через 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https://fred.stlouisfed.org/series/CPIAUCSL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Эффективная ставка федеральных фондов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годовых, среднее за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месячная, усреднена до квартала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of Governors через 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https://fred.stlouisfed.org/series/FEDFUNDS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1990Q1 - 2026Q1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Наблюдений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преобразованных рядов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1990Q2 - 2026Q1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Наблюдений преобразованных рядов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Дата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</w:tr>
    </w:tbl>
    <w:p>
      <w:pPr>
        <w:pStyle w:val="a0"/>
      </w:pPr>
      <w:r>
        <w:t xml:space="preserve">Исходные месячные ряды UNRATE, CPIAUCSL и FEDFUNDS были переведены в квартальные данные через среднее значение за квартал. Ряд GDPC1 уже публикуется как квартальный. Основной файл данных сохранён:</w:t>
      </w:r>
      <w:r>
        <w:t xml:space="preserve"> </w:t>
      </w:r>
      <w:r>
        <w:rPr>
          <w:rStyle w:val="VerbatimChar"/>
        </w:rPr>
        <w:t xml:space="preserve">data/fred_quarterly_us_macro_1990_2026.csv</w:t>
      </w:r>
      <w:r>
        <w:t xml:space="preserve">. Файл с преобразованными рядами сохранён:</w:t>
      </w:r>
      <w:r>
        <w:t xml:space="preserve"> </w:t>
      </w:r>
      <w:r>
        <w:rPr>
          <w:rStyle w:val="VerbatimChar"/>
        </w:rPr>
        <w:t xml:space="preserve">data/fred_transformed_stationary_series.csv</w:t>
      </w:r>
      <w:r>
        <w:t xml:space="preserve">.</w:t>
      </w:r>
    </w:p>
    <w:p>
      <w:pPr>
        <w:pStyle w:val="a0"/>
      </w:pPr>
      <w:r>
        <w:t xml:space="preserve">Для моделирования использованы преобразования: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400</m:t>
          </m:r>
          <m:r>
            <m:t>Δ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t>D</m:t>
              </m:r>
              <m:r>
                <m:t>P</m:t>
              </m:r>
              <m:r>
                <m:t>C</m:t>
              </m:r>
              <m:sSub>
                <m:e>
                  <m:r>
                    <m:t>1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Δ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π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400</m:t>
          </m:r>
          <m:r>
            <m:t>Δ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  <m:r>
                <m:t>P</m:t>
              </m:r>
              <m:sSub>
                <m:e>
                  <m:r>
                    <m:t>I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Δ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 (g_t) — темп роста ВВП, (</w:t>
      </w:r>
      <w:r>
        <w:t xml:space="preserve">u_t) — прирост безработицы, (</w:t>
      </w:r>
      <w:r>
        <w:t xml:space="preserve">_t) — инфляция CPI, (</w:t>
      </w:r>
      <w:r>
        <w:t xml:space="preserve">i_t) — прирост ставки федеральных фондов.</w:t>
      </w:r>
    </w:p>
    <w:p>
      <w:pPr>
        <w:pStyle w:val="a0"/>
      </w:pPr>
      <w:r>
        <w:t xml:space="preserve">Темпы роста ВВП и инфляции умножены на 400, чтобы получить годовые темпы на основе квартальных данных. На последнем наблюдении 2026Q1: ВВП = 24 152.656 млрд долл., безработица = 4.333%, CPI = 328.114, ставка Fed funds = 3.640%.</w:t>
      </w:r>
    </w:p>
    <w:p>
      <w:pPr>
        <w:pStyle w:val="CaptionedFigure"/>
      </w:pPr>
      <w:r>
        <w:drawing>
          <wp:inline>
            <wp:extent cx="6146800" cy="3609130"/>
            <wp:effectExtent b="0" l="0" r="0" t="0"/>
            <wp:docPr descr="Исходные временные ряды" title="" id="22" name="Picture"/>
            <a:graphic>
              <a:graphicData uri="http://schemas.openxmlformats.org/drawingml/2006/picture">
                <pic:pic>
                  <pic:nvPicPr>
                    <pic:cNvPr descr="figures/01_levels_us_macro_seri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60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Исходные временные ряды</w:t>
      </w:r>
    </w:p>
    <w:bookmarkEnd w:id="24"/>
    <w:bookmarkStart w:id="34" w:name="описание-динамики"/>
    <w:p>
      <w:pPr>
        <w:pStyle w:val="2"/>
      </w:pPr>
      <w:r>
        <w:rPr>
          <w:rStyle w:val="SectionNumber"/>
        </w:rPr>
        <w:t xml:space="preserve">1.3</w:t>
      </w:r>
      <w:r>
        <w:tab/>
      </w:r>
      <w:r>
        <w:t xml:space="preserve">3. Описание динамики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9"/>
        <w:gridCol w:w="739"/>
        <w:gridCol w:w="1056"/>
        <w:gridCol w:w="1478"/>
        <w:gridCol w:w="950"/>
        <w:gridCol w:w="950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Дисперсия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Ст. откл.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Максимум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Реальный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16 428.079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15 955 099.329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3 994.383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9 951.916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24 152.656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Безработица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2 768.727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328.114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 Fed 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02"/>
        <w:gridCol w:w="792"/>
        <w:gridCol w:w="792"/>
        <w:gridCol w:w="1018"/>
        <w:gridCol w:w="1018"/>
        <w:gridCol w:w="792"/>
        <w:gridCol w:w="9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Дисперсия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Ст. откл.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Максимум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-32.817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π, инфляция 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1.463</w:t>
            </w:r>
          </w:p>
        </w:tc>
      </w:tr>
    </w:tbl>
    <w:p>
      <w:pPr>
        <w:pStyle w:val="CaptionedFigure"/>
      </w:pPr>
      <w:r>
        <w:drawing>
          <wp:inline>
            <wp:extent cx="6146800" cy="3607475"/>
            <wp:effectExtent b="0" l="0" r="0" t="0"/>
            <wp:docPr descr="Стационарные преобразования" title="" id="26" name="Picture"/>
            <a:graphic>
              <a:graphicData uri="http://schemas.openxmlformats.org/drawingml/2006/picture">
                <pic:pic>
                  <pic:nvPicPr>
                    <pic:cNvPr descr="figures/02_stationary_transformations_growth_chang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60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Стационарные преобразования</w:t>
      </w:r>
    </w:p>
    <w:p>
      <w:pPr>
        <w:pStyle w:val="a0"/>
      </w:pPr>
      <w:r>
        <w:t xml:space="preserve">На графиках исходных рядов видно, что реальный ВВП и CPI имеют выраженный рост во времени. Это ожидаемо: экономика в долгосрочном периоде растёт, а общий уровень цен постепенно повышается. Безработица ведёт себя иначе: она резко увеличивается во время кризисов, особенно в 2008–2009 гг. и в 2020 г. Ставка федеральных фондов также менялась по периодам: после 2008 г. она долго была низкой, а после 2022 г. заметно выросла.</w:t>
      </w:r>
    </w:p>
    <w:p>
      <w:pPr>
        <w:pStyle w:val="a0"/>
      </w:pPr>
      <w:r>
        <w:t xml:space="preserve">Сезонность в данных в основном уже устранена самими источниками: ВВП, CPI и безработица публикуются с сезонной корректировкой, а ставка FEDFUNDS усреднена по кварталам.</w:t>
      </w:r>
    </w:p>
    <w:p>
      <w:pPr>
        <w:pStyle w:val="a0"/>
      </w:pPr>
      <w:r>
        <w:t xml:space="preserve">На преобразованных рядах лучше видны резкие изменения. Особенно выделяется 2020Q2: рост ВВП составил -32.817% годовых, а прирост безработицы — 9.167 п.п. Корреляция между квартальным ростом ВВП и приростом безработицы равна -0.860. Если убрать 2020Q2–2020Q3, корреляция становится -0.485. То есть связь остаётся отрицательной, но становится заметно слабее.</w:t>
      </w:r>
    </w:p>
    <w:p>
      <w:pPr>
        <w:pStyle w:val="a0"/>
      </w:pPr>
      <w:r>
        <w:t xml:space="preserve">Это означает, что COVID-период сильно усиливает видимую связь между ВВП и безработицей. Поэтому результаты не стоит понимать как постоянную и точную зависимость. Скорее это эмпирическая связь, которая хорошо видна в данных, но может усиливаться или ослабевать в кризисные периоды.</w:t>
      </w:r>
    </w:p>
    <w:p>
      <w:pPr>
        <w:pStyle w:val="CaptionedFigure"/>
      </w:pPr>
      <w:r>
        <w:drawing>
          <wp:inline>
            <wp:extent cx="6146800" cy="4033987"/>
            <wp:effectExtent b="0" l="0" r="0" t="0"/>
            <wp:docPr descr="Диаграмма закона Оукена" title="" id="29" name="Picture"/>
            <a:graphic>
              <a:graphicData uri="http://schemas.openxmlformats.org/drawingml/2006/picture">
                <pic:pic>
                  <pic:nvPicPr>
                    <pic:cNvPr descr="figures/03_okun_scatter_gdp_growth_unemployment_chang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4033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закона Оукена</w:t>
      </w:r>
    </w:p>
    <w:p>
      <w:pPr>
        <w:pStyle w:val="a0"/>
      </w:pPr>
      <w:r>
        <w:t xml:space="preserve">Коррелограммы показывают, что инфляция и процентная ставка имеют некоторую инерцию: их текущие значения связаны с прошлыми. Прирост безработицы имеет слабую краткосрочную автокорреляцию, но содержит резкие кризисные выбросы. Поэтому для анализа подходят модели с лагами, в частности ADL и VAR.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38"/>
        <w:gridCol w:w="766"/>
        <w:gridCol w:w="766"/>
        <w:gridCol w:w="766"/>
        <w:gridCol w:w="894"/>
        <w:gridCol w:w="894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Ряд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ACF(1)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ACF(4)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ACF(8)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PACF(1)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PACF(4)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PACF(8)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π, инфляция 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-0.095</w:t>
            </w:r>
          </w:p>
        </w:tc>
      </w:tr>
    </w:tbl>
    <w:p>
      <w:pPr>
        <w:pStyle w:val="CaptionedFigure"/>
      </w:pPr>
      <w:r>
        <w:drawing>
          <wp:inline>
            <wp:extent cx="6146800" cy="5131732"/>
            <wp:effectExtent b="0" l="0" r="0" t="0"/>
            <wp:docPr descr="ACF и PACF" title="" id="32" name="Picture"/>
            <a:graphic>
              <a:graphicData uri="http://schemas.openxmlformats.org/drawingml/2006/picture">
                <pic:pic>
                  <pic:nvPicPr>
                    <pic:cNvPr descr="figures/04_acf_pacf_stationary_seri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5131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ACF и PACF</w:t>
      </w:r>
    </w:p>
    <w:p>
      <w:pPr>
        <w:pStyle w:val="a0"/>
      </w:pPr>
      <w:r>
        <w:t xml:space="preserve">Последние 10 наблюдений преобразованных рядов: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9"/>
        <w:gridCol w:w="1177"/>
        <w:gridCol w:w="2461"/>
        <w:gridCol w:w="1605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π, инфляция 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-0.257</w:t>
            </w:r>
          </w:p>
        </w:tc>
      </w:tr>
    </w:tbl>
    <w:bookmarkEnd w:id="34"/>
    <w:bookmarkStart w:id="35" w:name="стационарность"/>
    <w:p>
      <w:pPr>
        <w:pStyle w:val="2"/>
      </w:pPr>
      <w:r>
        <w:rPr>
          <w:rStyle w:val="SectionNumber"/>
        </w:rPr>
        <w:t xml:space="preserve">1.4</w:t>
      </w:r>
      <w:r>
        <w:tab/>
      </w:r>
      <w:r>
        <w:t xml:space="preserve">4. Стационарность</w:t>
      </w:r>
    </w:p>
    <w:p>
      <w:pPr>
        <w:pStyle w:val="FirstParagraph"/>
      </w:pPr>
      <w:r>
        <w:t xml:space="preserve">Перед построением моделей нужно проверить, можно ли использовать ряды в исходном виде. Если ряд имеет сильный тренд, модель может показать ложную связь. Поэтому сначала проверяется стационарность.</w:t>
      </w:r>
    </w:p>
    <w:p>
      <w:pPr>
        <w:pStyle w:val="a0"/>
      </w:pPr>
      <w:r>
        <w:t xml:space="preserve">ADF-тест проверяет, есть ли у ряда единичный корень, то есть является ли ряд нестационарным. KPSS-тест используется как дополнительная проверка: он, наоборот, проверяет гипотезу стационарности. Для уровней в ADF/KPSS включался тренд, для преобразованных рядов — константа.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1820"/>
        <w:gridCol w:w="728"/>
        <w:gridCol w:w="546"/>
        <w:gridCol w:w="819"/>
        <w:gridCol w:w="546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Преобразование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 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KPSS 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KPSS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ln(реального ВВП)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нестационарен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безработица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смешанный 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ln(CPI)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смешанный 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 Fed 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смешанный 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разность/темп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стационарен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разность/темп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стационарен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π, инфляция 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разность/темп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стационарен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разность/темп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стационарен</w:t>
            </w:r>
          </w:p>
        </w:tc>
      </w:tr>
    </w:tbl>
    <w:p>
      <w:pPr>
        <w:pStyle w:val="a0"/>
      </w:pPr>
      <w:r>
        <w:t xml:space="preserve">Вывод: уровни ВВП и CPI лучше не использовать в VAR без преобразования, потому что в них есть долгосрочный рост. Поэтому ВВП используется как темп роста, а CPI — как инфляция. Безработица и ставка дают более неоднозначные результаты, так как они зависят от экономических режимов и не могут расти бесконечно. Поэтому в основной модели используются их приросты.</w:t>
      </w:r>
    </w:p>
    <w:p>
      <w:pPr>
        <w:pStyle w:val="a0"/>
      </w:pPr>
      <w:r>
        <w:t xml:space="preserve">После преобразований ряды становятся более подходящими для моделирования. Поэтому дальнейший анализ проводится в темпах роста и приростах. При этом результаты нужно интерпретировать с учётом крупных кризисных выбросов, особенно 2008–2009 гг. и 2020 г.</w:t>
      </w:r>
    </w:p>
    <w:bookmarkEnd w:id="35"/>
    <w:bookmarkStart w:id="44" w:name="наличие-взаимосвязей"/>
    <w:p>
      <w:pPr>
        <w:pStyle w:val="2"/>
      </w:pPr>
      <w:r>
        <w:rPr>
          <w:rStyle w:val="SectionNumber"/>
        </w:rPr>
        <w:t xml:space="preserve">1.5</w:t>
      </w:r>
      <w:r>
        <w:tab/>
      </w:r>
      <w:r>
        <w:t xml:space="preserve">5. Наличие взаимосвязей</w:t>
      </w:r>
    </w:p>
    <w:bookmarkStart w:id="39" w:name="коинтеграционная-матрица"/>
    <w:p>
      <w:pPr>
        <w:pStyle w:val="3"/>
      </w:pPr>
      <w:r>
        <w:rPr>
          <w:rStyle w:val="SectionNumber"/>
        </w:rPr>
        <w:t xml:space="preserve">1.5.1</w:t>
      </w:r>
      <w:r>
        <w:tab/>
      </w:r>
      <w:r>
        <w:t xml:space="preserve">5.1. Коинтеграционная матрица</w:t>
      </w:r>
    </w:p>
    <w:p>
      <w:pPr>
        <w:pStyle w:val="FirstParagraph"/>
      </w:pPr>
      <w:r>
        <w:t xml:space="preserve">Коинтеграция нужна для проверки долгосрочной связи между рядами. Если несколько рядов по отдельности имеют тренд, но между ними есть устойчивая долгосрочная связь, это может быть признаком коинтеграции.</w:t>
      </w:r>
    </w:p>
    <w:p>
      <w:pPr>
        <w:pStyle w:val="a0"/>
      </w:pPr>
      <w:r>
        <w:t xml:space="preserve">Тест Энгла–Грейнджера проверяет долгосрочную связь между двумя рядами. Тест Йохансена используется для системы из нескольких рядов. В этой работе результаты коинтеграции используются только как дополнительная проверка, а не как основа всей модели.</w:t>
      </w:r>
    </w:p>
    <w:p>
      <w:pPr>
        <w:pStyle w:val="a0"/>
      </w:pPr>
      <w:r>
        <w:t xml:space="preserve">Причина в том, что не все ряды одинаково уверенно являются нестационарными. Для части показателей тесты дают смешанные результаты. Поэтому делать VECM основной моделью было бы не совсем надёжно.</w:t>
      </w:r>
    </w:p>
    <w:p>
      <w:pPr>
        <w:pStyle w:val="a0"/>
      </w:pPr>
      <w:r>
        <w:t xml:space="preserve">Матрица ниже содержит</w:t>
      </w:r>
      <w:r>
        <w:t xml:space="preserve"> </w:t>
      </w:r>
      <w:r>
        <w:rPr>
          <w:rStyle w:val="VerbatimChar"/>
        </w:rPr>
        <w:t xml:space="preserve">p-value; вывод на 5%</w:t>
      </w:r>
      <w:r>
        <w:t xml:space="preserve">. Матрица Энгла–Грейнджера не обязана быть симметричной, потому что результат зависит от того, какая переменная выбрана зависимой на первом шаге. Поэтому пары с p-value ниже 5% рассматриваются только как возможные признаки долгосрочной связи, а не как окончательное доказательство.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0"/>
        <w:gridCol w:w="1870"/>
        <w:gridCol w:w="1210"/>
        <w:gridCol w:w="121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ln(реального ВВП)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безработица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ln(CPI)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Fed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ln(реального ВВП)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0.852;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0.767;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0.822;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безработица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0.055;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0.054;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0.030; есть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ln(CPI)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0.805;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0.935;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0.887;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 Fed 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0.017;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0.224;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0.019;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CaptionedFigure"/>
      </w:pPr>
      <w:r>
        <w:drawing>
          <wp:inline>
            <wp:extent cx="6146800" cy="4911717"/>
            <wp:effectExtent b="0" l="0" r="0" t="0"/>
            <wp:docPr descr="Матрица коинтеграции" title="" id="37" name="Picture"/>
            <a:graphic>
              <a:graphicData uri="http://schemas.openxmlformats.org/drawingml/2006/picture">
                <pic:pic>
                  <pic:nvPicPr>
                    <pic:cNvPr descr="figures/05_cointegration_engle_granger_matrix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491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коинтеграции</w:t>
      </w:r>
    </w:p>
    <w:p>
      <w:pPr>
        <w:pStyle w:val="a0"/>
      </w:pPr>
      <w:r>
        <w:t xml:space="preserve">Тест Йохансена, trace statistic, число лагов разностей = 1: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13"/>
        <w:gridCol w:w="1466"/>
        <w:gridCol w:w="1173"/>
        <w:gridCol w:w="1173"/>
        <w:gridCol w:w="1173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H0: rank &lt;=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 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</w:tr>
    </w:tbl>
    <w:p>
      <w:pPr>
        <w:pStyle w:val="a0"/>
      </w:pPr>
      <w:r>
        <w:t xml:space="preserve">На 5% тест Йохансена показывает один возможный долгосрочный вектор связи. Но из-за неоднозначных результатов по стационарности безработицы и ставки основной моделью выбрана VAR на преобразованных рядах. ECM/VECM не используется как основная модель.</w:t>
      </w:r>
    </w:p>
    <w:bookmarkEnd w:id="39"/>
    <w:bookmarkStart w:id="43" w:name="причинность-по-грейнджеру"/>
    <w:p>
      <w:pPr>
        <w:pStyle w:val="3"/>
      </w:pPr>
      <w:r>
        <w:rPr>
          <w:rStyle w:val="SectionNumber"/>
        </w:rPr>
        <w:t xml:space="preserve">1.5.2</w:t>
      </w:r>
      <w:r>
        <w:tab/>
      </w:r>
      <w:r>
        <w:t xml:space="preserve">5.2. Причинность по Грейнджеру</w:t>
      </w:r>
    </w:p>
    <w:p>
      <w:pPr>
        <w:pStyle w:val="FirstParagraph"/>
      </w:pPr>
      <w:r>
        <w:t xml:space="preserve">В таблице строка — предполагаемая причина, столбец — следствие; значения — p-value F-теста в выбранной VAR.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3"/>
        <w:gridCol w:w="968"/>
        <w:gridCol w:w="2023"/>
        <w:gridCol w:w="1320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π, инфляция 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π, инфляция 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a0"/>
      </w:pPr>
      <w:r>
        <w:t xml:space="preserve">Наиболее сильные связи по p-value: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π, инфляция 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</w:t>
            </w:r>
          </w:p>
        </w:tc>
      </w:tr>
    </w:tbl>
    <w:p>
      <w:pPr>
        <w:pStyle w:val="CaptionedFigure"/>
      </w:pPr>
      <w:r>
        <w:drawing>
          <wp:inline>
            <wp:extent cx="5140960" cy="4526280"/>
            <wp:effectExtent b="0" l="0" r="0" t="0"/>
            <wp:docPr descr="Схема Грейнджера" title="" id="41" name="Picture"/>
            <a:graphic>
              <a:graphicData uri="http://schemas.openxmlformats.org/drawingml/2006/picture">
                <pic:pic>
                  <pic:nvPicPr>
                    <pic:cNvPr descr="figures/06_granger_causality_network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960" cy="4526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Грейнджера</w:t>
      </w:r>
    </w:p>
    <w:p>
      <w:pPr>
        <w:pStyle w:val="a0"/>
      </w:pPr>
      <w:r>
        <w:t xml:space="preserve">На 5% уровне значимости обнаружена двусторонняя связь между ростом ВВП и приростом безработицы: g ⇄ Δu. Это означает, что прошлые значения роста ВВП помогают объяснять будущий прирост безработицы, а прошлые значения прироста безработицы помогают объяснять будущий рост ВВП.</w:t>
      </w:r>
    </w:p>
    <w:p>
      <w:pPr>
        <w:pStyle w:val="a0"/>
      </w:pPr>
      <w:r>
        <w:t xml:space="preserve">Такой результат хорошо согласуется с экономической логикой. Рост ВВП влияет на рынок труда, а состояние рынка труда, в свою очередь, связано с дальнейшей динамикой выпуска. Поэтому простая статическая регрессия закона Оукена недостаточна: нужно учитывать динамику и лаги.</w:t>
      </w:r>
    </w:p>
    <w:bookmarkEnd w:id="43"/>
    <w:bookmarkEnd w:id="44"/>
    <w:bookmarkStart w:id="45" w:name="спецификации-моделей"/>
    <w:p>
      <w:pPr>
        <w:pStyle w:val="2"/>
      </w:pPr>
      <w:r>
        <w:rPr>
          <w:rStyle w:val="SectionNumber"/>
        </w:rPr>
        <w:t xml:space="preserve">1.6</w:t>
      </w:r>
      <w:r>
        <w:tab/>
      </w:r>
      <w:r>
        <w:t xml:space="preserve">6. Спецификации моделей</w:t>
      </w:r>
    </w:p>
    <w:p>
      <w:pPr>
        <w:pStyle w:val="FirstParagraph"/>
      </w:pPr>
      <w:r>
        <w:t xml:space="preserve">В работе оценены две группы моделей: ADL и VAR.</w:t>
      </w:r>
    </w:p>
    <w:p>
      <w:pPr>
        <w:pStyle w:val="a0"/>
      </w:pPr>
      <w:r>
        <w:t xml:space="preserve">ADL-модель используется для проверки закона Оукена в более простой форме. В ней прирост безработицы объясняется текущим и прошлыми значениями роста ВВП, а также прошлым значением самой безработицы. Дополнительно добавлена фиктивная переменная для 2020Q2, чтобы учесть резкий COVID-шок.</w:t>
      </w:r>
    </w:p>
    <w:p>
      <w:pPr>
        <w:pStyle w:val="a0"/>
      </w:pPr>
      <w:r>
        <w:t xml:space="preserve">ADL-модель для закона Оукена:</w:t>
      </w:r>
    </w:p>
    <w:p>
      <w:pPr>
        <w:pStyle w:val="a0"/>
      </w:pPr>
      <m:oMathPara>
        <m:oMathParaPr>
          <m:jc m:val="center"/>
        </m:oMathParaPr>
        <m:oMath>
          <m:r>
            <m:t>Δ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q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Δ</m:t>
          </m:r>
          <m:sSub>
            <m:e>
              <m:r>
                <m:t>u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δ</m:t>
          </m:r>
          <m:sSub>
            <m:e>
              <m:r>
                <m:t>D</m:t>
              </m:r>
            </m:e>
            <m:sub>
              <m:r>
                <m:t>2020</m:t>
              </m:r>
              <m:r>
                <m:t>Q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VAR-модель используется для анализа всех переменных вместе. Она учитывает, что рост ВВП, безработица, инфляция и ставка могут быть связаны друг с другом через прошлые значения.</w:t>
      </w:r>
    </w:p>
    <w:p>
      <w:pPr>
        <w:pStyle w:val="a0"/>
      </w:pPr>
      <w:r>
        <w:t xml:space="preserve">VAR-модель для системы стационарных рядов: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Δ</m:t>
            </m:r>
            <m:sSub>
              <m:e>
                <m:r>
                  <m:t>u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π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Δ</m:t>
            </m:r>
            <m:sSub>
              <m:e>
                <m:r>
                  <m:t>i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′</m:t>
        </m:r>
      </m:oMath>
      <w:r>
        <w:t xml:space="preserve">.</w:t>
      </w:r>
    </w:p>
    <w:p>
      <w:pPr>
        <w:pStyle w:val="a0"/>
      </w:pPr>
      <w:r>
        <w:t xml:space="preserve">У этих моделей есть ограничения. ADL проще интерпретировать, но она описывает только одно основное уравнение. VAR даёт более общий анализ взаимосвязей, но её результаты зависят от выбора числа лагов и порядка переменных при построении шоков. ECM/VECM в работе не используется как основная модель, потому что для этого нужна более уверенная коинтеграционная структура.</w:t>
      </w:r>
    </w:p>
    <w:bookmarkEnd w:id="45"/>
    <w:bookmarkStart w:id="49" w:name="моделирование"/>
    <w:p>
      <w:pPr>
        <w:pStyle w:val="2"/>
      </w:pPr>
      <w:r>
        <w:rPr>
          <w:rStyle w:val="SectionNumber"/>
        </w:rPr>
        <w:t xml:space="preserve">1.7</w:t>
      </w:r>
      <w:r>
        <w:tab/>
      </w:r>
      <w:r>
        <w:t xml:space="preserve">7. Моделирование</w:t>
      </w:r>
    </w:p>
    <w:p>
      <w:pPr>
        <w:pStyle w:val="FirstParagraph"/>
      </w:pPr>
      <w:r>
        <w:t xml:space="preserve">Сравнение ADL-спецификаций: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212"/>
        <w:gridCol w:w="424"/>
        <w:gridCol w:w="353"/>
        <w:gridCol w:w="495"/>
        <w:gridCol w:w="495"/>
        <w:gridCol w:w="777"/>
        <w:gridCol w:w="919"/>
        <w:gridCol w:w="17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Спецификация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Ljung-Box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Jarque-Bera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Выбрана для интерпретации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ADL-1: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189.306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ADL-2: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Δ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ADL-3: ADL-2 +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2020</m:t>
                  </m:r>
                  <m:r>
                    <m:t>Q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</w:tbl>
    <w:p>
      <w:pPr>
        <w:pStyle w:val="a0"/>
      </w:pPr>
      <w:r>
        <w:t xml:space="preserve">Коэффициенты выбранной ADL: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 err HAC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gdp_growth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gdp_growth_L1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gdp_growth_L2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d_unrate_L1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D_2020Q2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a0"/>
      </w:pPr>
      <w:r>
        <w:t xml:space="preserve">Сначала были оценены три ADL-модели. ADL-1 — самая простая модель, где прирост безработицы зависит только от текущего роста ВВП. ADL-2 добавляет лаги роста ВВП и лаг прироста безработицы. ADL-3 дополнительно учитывает COVID-шок через переменную D2020Q2.</w:t>
      </w:r>
    </w:p>
    <w:p>
      <w:pPr>
        <w:pStyle w:val="a0"/>
      </w:pPr>
      <w:r>
        <w:t xml:space="preserve">По значениям Adj.R2, RMSE, AIC и BIC лучше всего выглядит ADL-3. Она заметно лучше описывает данные, потому что отдельно учитывает резкий скачок безработицы в 2020Q2. Поэтому именно ADL-3 выбрана для интерпретации коэффициента Оукена.</w:t>
      </w:r>
    </w:p>
    <w:p>
      <w:pPr>
        <w:pStyle w:val="a0"/>
      </w:pPr>
      <w:r>
        <w:t xml:space="preserve">При этом модель не идеальна: тест Ljung–Box показывает автокорреляцию остатков. Поэтому результаты ADL-3 нужно использовать осторожно. Для стандартных ошибок применяются HAC-ошибки, которые лучше подходят при возможной автокорреляции и неодинаковой дисперсии ошибок.</w:t>
      </w:r>
    </w:p>
    <w:p>
      <w:pPr>
        <w:pStyle w:val="a0"/>
      </w:pPr>
      <w:r>
        <w:t xml:space="preserve">Краткосрочный коэффициент Оукена при текущем росте ВВП равен -0.106. Это означает, что увеличение квартального годового темпа роста ВВП на 1 п.п. связано со снижением прироста безработицы примерно на 0.106 п.п. в том же квартале при прочих равных.</w:t>
      </w:r>
    </w:p>
    <w:p>
      <w:pPr>
        <w:pStyle w:val="a0"/>
      </w:pPr>
      <w:r>
        <w:t xml:space="preserve">Например, если квартальный годовой темп роста ВВП выше на 2 п.п., то текущий прирост безработицы в среднем ниже примерно на 0.213 п.п. Динамический суммарный эффект с учётом лагов равен -0.111 п.п.</w:t>
      </w:r>
    </w:p>
    <w:p>
      <w:pPr>
        <w:pStyle w:val="a0"/>
      </w:pPr>
      <w:r>
        <w:t xml:space="preserve">Сравнение VAR-спецификаций: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35"/>
        <w:gridCol w:w="869"/>
        <w:gridCol w:w="579"/>
        <w:gridCol w:w="482"/>
        <w:gridCol w:w="482"/>
        <w:gridCol w:w="1255"/>
        <w:gridCol w:w="1062"/>
        <w:gridCol w:w="13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Спецификация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Portmanteau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Normality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Выбрана по AIC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VAR(1), const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VAR(2), const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VAR(1), const+trend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a0"/>
      </w:pPr>
      <w:r>
        <w:t xml:space="preserve">Уравнение прироста безработицы в выбранной VAR: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 Δu equation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L1.gdp_growth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L1.d_unrate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L1.inflation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L1.d_fedfunds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-0.253</w:t>
            </w:r>
          </w:p>
        </w:tc>
      </w:tr>
    </w:tbl>
    <w:p>
      <w:pPr>
        <w:pStyle w:val="a0"/>
      </w:pPr>
      <w:r>
        <w:t xml:space="preserve">Итоговая таблица спецификаций: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1478"/>
        <w:gridCol w:w="1900"/>
        <w:gridCol w:w="2059"/>
        <w:gridCol w:w="6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Спецификация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Стационарность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модели, инф.критерии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остатков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ADL-1: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стационарные переменные; 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RMSE=0.460; AIC=189.306; BIC=195.246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Ljung-Box p=0.106; JB p=&lt;0.001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ADL-2: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Δ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стационарные переменные; 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RMSE=0.435; AIC=176.435; BIC=191.214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Ljung-Box p=0.693; JB p=&lt;0.001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ADL-3: ADL-2 +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2020</m:t>
                  </m:r>
                  <m:r>
                    <m:t>Q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стационарные переменные; 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RMSE=0.310; AIC=82.073; BIC=99.808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Ljung-Box p=&lt;0.001; JB p=&lt;0.001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VAR(1), const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устойчива: 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AIC=-0.035; BIC=0.379; HQIC=0.133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Portmanteau p=0.629; Normality p=&lt;0.001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VAR(2), const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устойчива: 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AIC=0.047; BIC=0.796; HQIC=0.351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Portmanteau p=0.553; Normality p=&lt;0.001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VAR(1), const+trend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устойчива: 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AIC=-0.019; BIC=0.479; HQIC=0.183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Portmanteau p=0.685; Normality p=&lt;0.001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6146800" cy="3933952"/>
            <wp:effectExtent b="0" l="0" r="0" t="0"/>
            <wp:docPr descr="Диагностика остатков" title="" id="47" name="Picture"/>
            <a:graphic>
              <a:graphicData uri="http://schemas.openxmlformats.org/drawingml/2006/picture">
                <pic:pic>
                  <pic:nvPicPr>
                    <pic:cNvPr descr="figures/09_model_residual_diagnostic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933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Диагностика остатков</w:t>
      </w:r>
    </w:p>
    <w:p>
      <w:pPr>
        <w:pStyle w:val="a0"/>
      </w:pPr>
      <w:r>
        <w:t xml:space="preserve">Для VAR выбрана модель VAR(1) с константой. Она устойчива и имеет минимальный AIC среди рассмотренных вариантов. Это означает, что среди выбранных моделей она лучше всего подходит по информационному критерию AIC.</w:t>
      </w:r>
    </w:p>
    <w:p>
      <w:pPr>
        <w:pStyle w:val="a0"/>
      </w:pPr>
      <w:r>
        <w:t xml:space="preserve">Диагностика показывает, что у VAR нет серьёзной автокорреляции остатков по Portmanteau-тесту. Однако нормальность остатков нарушается. Это ожидаемо для таких данных, потому что в выборке есть сильные кризисные выбросы, особенно в 2020 г.</w:t>
      </w:r>
    </w:p>
    <w:p>
      <w:pPr>
        <w:pStyle w:val="a0"/>
      </w:pPr>
      <w:r>
        <w:t xml:space="preserve">В базовую VAR не добавлялись фиктивные переменные, чтобы сохранить модель простой и сопоставимой. Однако для более строгой проверки можно было бы отдельно оценить VAR с COVID-фиктивными переменными или проверить результаты без 2020Q2–2020Q3.</w:t>
      </w:r>
    </w:p>
    <w:bookmarkEnd w:id="49"/>
    <w:bookmarkStart w:id="56" w:name="интерпретация"/>
    <w:p>
      <w:pPr>
        <w:pStyle w:val="2"/>
      </w:pPr>
      <w:r>
        <w:rPr>
          <w:rStyle w:val="SectionNumber"/>
        </w:rPr>
        <w:t xml:space="preserve">1.8</w:t>
      </w:r>
      <w:r>
        <w:tab/>
      </w:r>
      <w:r>
        <w:t xml:space="preserve">8. Интерпретация</w:t>
      </w:r>
    </w:p>
    <w:p>
      <w:pPr>
        <w:pStyle w:val="CaptionedFigure"/>
      </w:pPr>
      <w:r>
        <w:drawing>
          <wp:inline>
            <wp:extent cx="6146800" cy="3693337"/>
            <wp:effectExtent b="0" l="0" r="0" t="0"/>
            <wp:docPr descr="IRF VAR" title="" id="51" name="Picture"/>
            <a:graphic>
              <a:graphicData uri="http://schemas.openxmlformats.org/drawingml/2006/picture">
                <pic:pic>
                  <pic:nvPicPr>
                    <pic:cNvPr descr="figures/07_var_irf_unemployment_respons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6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IRF VAR</w:t>
      </w:r>
    </w:p>
    <w:p>
      <w:pPr>
        <w:pStyle w:val="a0"/>
      </w:pPr>
      <w:r>
        <w:t xml:space="preserve">IRF показывает, как прирост безработицы реагирует на неожиданные изменения других переменных в VAR. FEVD показывает, какие переменные сильнее всего объясняют ошибку прогноза прироста безработицы.</w:t>
      </w:r>
    </w:p>
    <w:p>
      <w:pPr>
        <w:pStyle w:val="a0"/>
      </w:pPr>
      <w:r>
        <w:t xml:space="preserve">IRF и FEVD построены для ортогональных шоков, поэтому результат зависит от порядка переменных в VAR. В данной работе использован порядок: g, Δu, π, Δi.</w:t>
      </w:r>
    </w:p>
    <w:p>
      <w:pPr>
        <w:pStyle w:val="a0"/>
      </w:pPr>
      <w:r>
        <w:t xml:space="preserve">В выбранном порядке положительный шок роста ВВП сразу снижает прирост безработицы, после чего эффект быстро становится слабее. Суммарный отклик за 12 кварталов равен -0.690 п.п. Это согласуется с законом Оукена: более высокий рост ВВП связан с улучшением ситуации на рынке труда.</w:t>
      </w:r>
    </w:p>
    <w:p>
      <w:pPr>
        <w:pStyle w:val="CaptionedFigure"/>
      </w:pPr>
      <w:r>
        <w:drawing>
          <wp:inline>
            <wp:extent cx="6146800" cy="3749459"/>
            <wp:effectExtent b="0" l="0" r="0" t="0"/>
            <wp:docPr descr="FEVD VAR" title="" id="54" name="Picture"/>
            <a:graphic>
              <a:graphicData uri="http://schemas.openxmlformats.org/drawingml/2006/picture">
                <pic:pic>
                  <pic:nvPicPr>
                    <pic:cNvPr descr="figures/08_var_fevd_unemployment_chang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749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FEVD VAR</w:t>
      </w:r>
    </w:p>
    <w:p>
      <w:pPr>
        <w:pStyle w:val="a0"/>
      </w:pPr>
      <w:r>
        <w:t xml:space="preserve">Разложение дисперсии ошибки прогноза для Δu: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4"/>
        <w:gridCol w:w="1161"/>
        <w:gridCol w:w="2428"/>
        <w:gridCol w:w="1584"/>
        <w:gridCol w:w="1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Горизонт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g, рост ВВП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Δu, прирост безработицы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π, инфляция 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Δi, прирост 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</w:tr>
    </w:tbl>
    <w:p>
      <w:pPr>
        <w:pStyle w:val="a0"/>
      </w:pPr>
      <w:r>
        <w:t xml:space="preserve">По FEVD видно, что основную часть ошибки прогноза прироста безработицы объясняют шоки роста ВВП и собственные шоки безработицы. Вклад инфляции и процентной ставки небольшой.</w:t>
      </w:r>
    </w:p>
    <w:p>
      <w:pPr>
        <w:pStyle w:val="a0"/>
      </w:pPr>
      <w:r>
        <w:t xml:space="preserve">Практически это означает, что в данной модели для прогноза рынка труда важнее всего учитывать состояние выпуска и прошлую динамику самой безработицы. Инфляция и изменение ставки играют меньшую роль.</w:t>
      </w:r>
    </w:p>
    <w:bookmarkEnd w:id="56"/>
    <w:bookmarkStart w:id="57" w:name="заключение"/>
    <w:p>
      <w:pPr>
        <w:pStyle w:val="2"/>
      </w:pPr>
      <w:r>
        <w:rPr>
          <w:rStyle w:val="SectionNumber"/>
        </w:rPr>
        <w:t xml:space="preserve">1.9</w:t>
      </w:r>
      <w:r>
        <w:tab/>
      </w:r>
      <w:r>
        <w:t xml:space="preserve">9. Заключение</w:t>
      </w:r>
    </w:p>
    <w:p>
      <w:pPr>
        <w:pStyle w:val="FirstParagraph"/>
      </w:pPr>
      <w:r>
        <w:t xml:space="preserve">Гипотеза об отрицательной связи между ростом реального ВВП и изменением безработицы в целом подтверждается. Корреляция между ростом ВВП и приростом безработицы отрицательная. Коэффициенты ADL-модели также имеют ожидаемый знак. VAR-модель показывает, что положительный шок роста ВВП снижает прирост безработицы.</w:t>
      </w:r>
    </w:p>
    <w:p>
      <w:pPr>
        <w:pStyle w:val="a0"/>
      </w:pPr>
      <w:r>
        <w:t xml:space="preserve">При этом связь нельзя считать постоянной и механической. Результаты сильно зависят от кризисных наблюдений, особенно от COVID-периода 2020Q2–2020Q3. Если убрать эти наблюдения, связь между ростом ВВП и приростом безработицы остаётся отрицательной, но становится слабее.</w:t>
      </w:r>
    </w:p>
    <w:p>
      <w:pPr>
        <w:pStyle w:val="a0"/>
      </w:pPr>
      <w:r>
        <w:t xml:space="preserve">ADL-модель с фиктивной переменной 2020Q2 лучше описывает данные по RMSE и информационным критериям. Однако диагностика остатков показывает автокорреляцию, поэтому коэффициенты этой модели нужно трактовать осторожно. Они используются как эмпирическая оценка краткосрочной связи, а не как точный постоянный параметр.</w:t>
      </w:r>
    </w:p>
    <w:p>
      <w:pPr>
        <w:pStyle w:val="a0"/>
      </w:pPr>
      <w:r>
        <w:t xml:space="preserve">VAR-модель на преобразованных рядах показывает двустороннюю связь по Грейнджеру между ростом ВВП и приростом безработицы. Это означает, что прошлые значения роста ВВП помогают объяснять будущую динамику безработицы, а прошлые изменения безработицы помогают объяснять будущий рост ВВП.</w:t>
      </w:r>
    </w:p>
    <w:p>
      <w:pPr>
        <w:pStyle w:val="a0"/>
      </w:pPr>
      <w:r>
        <w:t xml:space="preserve">IRF и FEVD показывают, что в выбранной VAR основную роль в объяснении ошибки прогноза прироста безработицы играют шоки выпуска. Вклад инфляции и изменения ставки федеральных фондов оказался небольшим.</w:t>
      </w:r>
    </w:p>
    <w:p>
      <w:pPr>
        <w:pStyle w:val="a0"/>
      </w:pPr>
      <w:r>
        <w:t xml:space="preserve">В целом результаты согласуются с выводами Knotek (2007): закон Оукена остаётся полезным эмпирическим правилом для анализа рынка труда, но его параметры зависят от периода, кризисных шоков и выбранной модели.</w:t>
      </w:r>
    </w:p>
    <w:bookmarkEnd w:id="57"/>
    <w:bookmarkStart w:id="58" w:name="приложение-a.-файлы-расчетов"/>
    <w:p>
      <w:pPr>
        <w:pStyle w:val="2"/>
      </w:pPr>
      <w:r>
        <w:rPr>
          <w:rStyle w:val="SectionNumber"/>
        </w:rPr>
        <w:t xml:space="preserve">1.10</w:t>
      </w:r>
      <w:r>
        <w:tab/>
      </w:r>
      <w:r>
        <w:t xml:space="preserve">Приложение A. Файлы расчетов</w:t>
      </w:r>
    </w:p>
    <w:p>
      <w:pPr>
        <w:numPr>
          <w:ilvl w:val="0"/>
          <w:numId w:val="1001"/>
        </w:numPr>
        <w:pStyle w:val="Compact"/>
      </w:pPr>
      <w:r>
        <w:t xml:space="preserve">Данные уровней:</w:t>
      </w:r>
      <w:r>
        <w:t xml:space="preserve"> </w:t>
      </w:r>
      <w:r>
        <w:rPr>
          <w:rStyle w:val="VerbatimChar"/>
        </w:rPr>
        <w:t xml:space="preserve">data/fred_quarterly_us_macro_1990_2026.csv</w:t>
      </w:r>
    </w:p>
    <w:p>
      <w:pPr>
        <w:numPr>
          <w:ilvl w:val="0"/>
          <w:numId w:val="1001"/>
        </w:numPr>
        <w:pStyle w:val="Compact"/>
      </w:pPr>
      <w:r>
        <w:t xml:space="preserve">Стационарные преобразования:</w:t>
      </w:r>
      <w:r>
        <w:t xml:space="preserve"> </w:t>
      </w:r>
      <w:r>
        <w:rPr>
          <w:rStyle w:val="VerbatimChar"/>
        </w:rPr>
        <w:t xml:space="preserve">data/fred_transformed_stationary_series.csv</w:t>
      </w:r>
    </w:p>
    <w:p>
      <w:pPr>
        <w:numPr>
          <w:ilvl w:val="0"/>
          <w:numId w:val="1001"/>
        </w:numPr>
        <w:pStyle w:val="Compact"/>
      </w:pPr>
      <w:r>
        <w:t xml:space="preserve">Таблицы расчетов:</w:t>
      </w:r>
      <w:r>
        <w:t xml:space="preserve"> </w:t>
      </w:r>
      <w:r>
        <w:rPr>
          <w:rStyle w:val="VerbatimChar"/>
        </w:rPr>
        <w:t xml:space="preserve">tables/*.csv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tables/*.md</w:t>
      </w:r>
    </w:p>
    <w:p>
      <w:pPr>
        <w:numPr>
          <w:ilvl w:val="0"/>
          <w:numId w:val="1001"/>
        </w:numPr>
        <w:pStyle w:val="Compact"/>
      </w:pPr>
      <w:r>
        <w:t xml:space="preserve">Графики:</w:t>
      </w:r>
      <w:r>
        <w:t xml:space="preserve"> </w:t>
      </w:r>
      <w:r>
        <w:rPr>
          <w:rStyle w:val="VerbatimChar"/>
        </w:rPr>
        <w:t xml:space="preserve">figures/*.png</w:t>
      </w:r>
    </w:p>
    <w:p>
      <w:pPr>
        <w:numPr>
          <w:ilvl w:val="0"/>
          <w:numId w:val="1001"/>
        </w:numPr>
        <w:pStyle w:val="Compact"/>
      </w:pPr>
      <w:r>
        <w:t xml:space="preserve">Скрипт генерации отчета:</w:t>
      </w:r>
      <w:r>
        <w:t xml:space="preserve"> </w:t>
      </w:r>
      <w:r>
        <w:rPr>
          <w:rStyle w:val="VerbatimChar"/>
        </w:rPr>
        <w:t xml:space="preserve">../scripts/build_time_series_report.py</w:t>
      </w:r>
    </w:p>
    <w:p>
      <w:pPr>
        <w:pStyle w:val="FirstParagraph"/>
      </w:pPr>
      <w:r>
        <w:t xml:space="preserve">Фрагмент исходной таблицы уровней: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CPIAUCSL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10 047.386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10 083.855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10 090.569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131.533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9 998.704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1991Q1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9 951.916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23 548.210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319.475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23 770.976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24 026.834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24 055.749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24 152.656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3.640</w:t>
            </w:r>
          </w:p>
        </w:tc>
      </w:tr>
    </w:tbl>
    <w:bookmarkEnd w:id="58"/>
    <w:bookmarkStart w:id="59" w:name="приложение-b.-источники"/>
    <w:p>
      <w:pPr>
        <w:pStyle w:val="2"/>
      </w:pPr>
      <w:r>
        <w:rPr>
          <w:rStyle w:val="SectionNumber"/>
        </w:rPr>
        <w:t xml:space="preserve">1.11</w:t>
      </w:r>
      <w:r>
        <w:tab/>
      </w:r>
      <w:r>
        <w:t xml:space="preserve">Приложение B. Источники</w:t>
      </w:r>
    </w:p>
    <w:p>
      <w:pPr>
        <w:numPr>
          <w:ilvl w:val="0"/>
          <w:numId w:val="1002"/>
        </w:numPr>
        <w:pStyle w:val="Compact"/>
      </w:pPr>
      <w:r>
        <w:t xml:space="preserve">Knotek, E. S. II (2007).</w:t>
      </w:r>
      <w:r>
        <w:t xml:space="preserve"> </w:t>
      </w:r>
      <w:r>
        <w:rPr>
          <w:iCs/>
          <w:i/>
        </w:rPr>
        <w:t xml:space="preserve">How useful is Okun’s law?</w:t>
      </w:r>
      <w:r>
        <w:t xml:space="preserve"> </w:t>
      </w:r>
      <w:r>
        <w:t xml:space="preserve">Economic Review, Federal Reserve Bank of Kansas City, 92(Q IV), 73-103. https://www.kansascityfed.org/documents/955/2007-How%20Useful%20is%20Okun%27s%20Law%3F.pdf</w:t>
      </w:r>
    </w:p>
    <w:p>
      <w:pPr>
        <w:numPr>
          <w:ilvl w:val="0"/>
          <w:numId w:val="1002"/>
        </w:numPr>
        <w:pStyle w:val="Compact"/>
      </w:pPr>
      <w:r>
        <w:t xml:space="preserve">FRED: Real Gross Domestic Product [GDPC1]. https://fred.stlouisfed.org/series/GDPC1</w:t>
      </w:r>
    </w:p>
    <w:p>
      <w:pPr>
        <w:numPr>
          <w:ilvl w:val="0"/>
          <w:numId w:val="1002"/>
        </w:numPr>
        <w:pStyle w:val="Compact"/>
      </w:pPr>
      <w:r>
        <w:t xml:space="preserve">FRED: Unemployment Rate [UNRATE]. https://fred.stlouisfed.org/series/UNRATE</w:t>
      </w:r>
    </w:p>
    <w:p>
      <w:pPr>
        <w:numPr>
          <w:ilvl w:val="0"/>
          <w:numId w:val="1002"/>
        </w:numPr>
        <w:pStyle w:val="Compact"/>
      </w:pPr>
      <w:r>
        <w:t xml:space="preserve">FRED: Consumer Price Index for All Urban Consumers [CPIAUCSL]. https://fred.stlouisfed.org/series/CPIAUCSL</w:t>
      </w:r>
    </w:p>
    <w:p>
      <w:pPr>
        <w:numPr>
          <w:ilvl w:val="0"/>
          <w:numId w:val="1002"/>
        </w:numPr>
        <w:pStyle w:val="Compact"/>
      </w:pPr>
      <w:r>
        <w:t xml:space="preserve">FRED: Federal Funds Effective Rate [FEDFUNDS]. https://fred.stlouisfed.org/series/FEDFUNDS</w:t>
      </w:r>
    </w:p>
    <w:bookmarkEnd w:id="59"/>
    <w:bookmarkEnd w:id="60"/>
    <w:sectPr w:rsidR="00BB664F">
      <w:pgSz w:h="15840" w:w="12240"/>
      <w:pgMar w:bottom="1134" w:footer="720" w:gutter="0" w:header="720" w:left="1701" w:right="850" w:top="113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14EAC9C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917711470" w:numId="1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4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uiPriority w:val="9"/>
    <w:qFormat/>
    <w:rsid w:val="00E4367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4367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sz w:val="28"/>
      <w:szCs w:val="28"/>
    </w:rPr>
  </w:style>
  <w:style w:styleId="3" w:type="paragraph">
    <w:name w:val="heading 3"/>
    <w:basedOn w:val="a"/>
    <w:next w:val="a0"/>
    <w:uiPriority w:val="9"/>
    <w:unhideWhenUsed/>
    <w:qFormat/>
    <w:rsid w:val="00E4367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</w:rPr>
  </w:style>
  <w:style w:styleId="4" w:type="paragraph">
    <w:name w:val="heading 4"/>
    <w:basedOn w:val="a"/>
    <w:next w:val="a0"/>
    <w:uiPriority w:val="9"/>
    <w:unhideWhenUsed/>
    <w:qFormat/>
    <w:rsid w:val="00E4367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</w:rPr>
  </w:style>
  <w:style w:styleId="5" w:type="paragraph">
    <w:name w:val="heading 5"/>
    <w:basedOn w:val="a"/>
    <w:next w:val="a0"/>
    <w:uiPriority w:val="9"/>
    <w:unhideWhenUsed/>
    <w:qFormat/>
    <w:rsid w:val="00E4367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E4367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</w:rPr>
  </w:style>
  <w:style w:styleId="7" w:type="paragraph">
    <w:name w:val="heading 7"/>
    <w:basedOn w:val="a"/>
    <w:next w:val="a0"/>
    <w:uiPriority w:val="9"/>
    <w:unhideWhenUsed/>
    <w:qFormat/>
    <w:rsid w:val="00E4367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</w:rPr>
  </w:style>
  <w:style w:styleId="8" w:type="paragraph">
    <w:name w:val="heading 8"/>
    <w:basedOn w:val="a"/>
    <w:next w:val="a0"/>
    <w:uiPriority w:val="9"/>
    <w:unhideWhenUsed/>
    <w:qFormat/>
    <w:rsid w:val="00E4367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</w:rPr>
  </w:style>
  <w:style w:styleId="9" w:type="paragraph">
    <w:name w:val="heading 9"/>
    <w:basedOn w:val="a"/>
    <w:next w:val="a0"/>
    <w:uiPriority w:val="9"/>
    <w:unhideWhenUsed/>
    <w:qFormat/>
    <w:rsid w:val="00E4367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qFormat/>
    <w:rsid w:val="00E4367F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sz w:val="36"/>
      <w:szCs w:val="36"/>
    </w:rPr>
  </w:style>
  <w:style w:styleId="a5" w:type="paragraph">
    <w:name w:val="Subtitle"/>
    <w:basedOn w:val="a4"/>
    <w:next w:val="a0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a0"/>
    <w:qFormat/>
    <w:pPr>
      <w:keepNext/>
      <w:keepLines/>
      <w:jc w:val="center"/>
    </w:pPr>
  </w:style>
  <w:style w:styleId="a6" w:type="paragraph">
    <w:name w:val="Date"/>
    <w:next w:val="a0"/>
    <w:qFormat/>
    <w:pPr>
      <w:keepNext/>
      <w:keepLines/>
      <w:jc w:val="center"/>
    </w:p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7" w:type="paragraph">
    <w:name w:val="Bibliography"/>
    <w:basedOn w:val="a"/>
    <w:qFormat/>
  </w:style>
  <w:style w:styleId="a8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9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a" w:type="paragraph">
    <w:name w:val="caption"/>
    <w:basedOn w:val="a"/>
    <w:link w:val="ab"/>
    <w:pPr>
      <w:spacing w:after="120"/>
    </w:pPr>
    <w:rPr>
      <w:i/>
    </w:rPr>
  </w:style>
  <w:style w:customStyle="1" w:styleId="TableCaption" w:type="paragraph">
    <w:name w:val="Table Caption"/>
    <w:basedOn w:val="aa"/>
    <w:pPr>
      <w:keepNext/>
    </w:pPr>
  </w:style>
  <w:style w:customStyle="1" w:styleId="ImageCaption" w:type="paragraph">
    <w:name w:val="Image Caption"/>
    <w:basedOn w:val="aa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b" w:type="character">
    <w:name w:val="Название объекта Знак"/>
    <w:basedOn w:val="a1"/>
    <w:link w:val="aa"/>
  </w:style>
  <w:style w:customStyle="1" w:styleId="VerbatimChar" w:type="character">
    <w:name w:val="Verbatim Char"/>
    <w:basedOn w:val="ab"/>
    <w:rPr>
      <w:rFonts w:ascii="Consolas" w:hAnsi="Consolas"/>
      <w:sz w:val="22"/>
    </w:rPr>
  </w:style>
  <w:style w:customStyle="1" w:styleId="SectionNumber" w:type="character">
    <w:name w:val="Section Number"/>
    <w:basedOn w:val="ab"/>
  </w:style>
  <w:style w:styleId="ac" w:type="character">
    <w:name w:val="footnote reference"/>
    <w:basedOn w:val="ab"/>
    <w:rPr>
      <w:vertAlign w:val="superscript"/>
    </w:rPr>
  </w:style>
  <w:style w:styleId="ad" w:type="character">
    <w:name w:val="Hyperlink"/>
    <w:basedOn w:val="ab"/>
    <w:rPr>
      <w:color w:themeColor="accent1" w:val="4F81BD"/>
    </w:rPr>
  </w:style>
  <w:style w:styleId="ae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styleId="af" w:type="table">
    <w:name w:val="Table Grid"/>
    <w:basedOn w:val="a2"/>
    <w:rsid w:val="00197407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63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2026-05-31T23:35:05Z</dcterms:created>
  <dcterms:modified xsi:type="dcterms:W3CDTF">2026-05-31T23:35:05Z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