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pPr>
    </w:p>
    <w:p>
      <w:pPr>
        <w:spacing w:after="240"/>
        <w:jc w:val="center"/>
      </w:pPr>
      <w:r>
        <w:rPr>
          <w:rFonts w:ascii="Calibri" w:hAnsi="Calibri"/>
          <w:b/>
          <w:color w:val="4F46E5"/>
          <w:sz w:val="72"/>
        </w:rPr>
        <w:t>INVENTRIX</w:t>
      </w:r>
    </w:p>
    <w:p>
      <w:pPr>
        <w:spacing w:after="800"/>
        <w:jc w:val="center"/>
      </w:pPr>
      <w:r>
        <w:rPr>
          <w:rFonts w:ascii="Calibri" w:hAnsi="Calibri"/>
          <w:i/>
          <w:color w:val="475569"/>
          <w:sz w:val="28"/>
        </w:rPr>
        <w:t>Multi-Tenant Smart Retail Store Management &amp; B2B Supplier Integration Platform</w:t>
        <w:br/>
        <w:t>Complete Technical Specification &amp; System Documentation</w:t>
      </w:r>
    </w:p>
    <w:p>
      <w:pPr>
        <w:spacing w:before="2000"/>
        <w:jc w:val="center"/>
      </w:pPr>
      <w:r>
        <w:rPr>
          <w:rFonts w:ascii="Calibri" w:hAnsi="Calibri"/>
          <w:color w:val="64748B"/>
          <w:sz w:val="22"/>
        </w:rPr>
        <w:t>Author: Lead Software Engineering Architect</w:t>
        <w:br/>
        <w:t>Date: July 2026</w:t>
        <w:br/>
        <w:t>System Version: 1.2.0-LTS</w:t>
      </w:r>
    </w:p>
    <w:p>
      <w:r>
        <w:br w:type="page"/>
      </w:r>
    </w:p>
    <w:p>
      <w:pPr>
        <w:pStyle w:val="Heading1"/>
        <w:keepNext/>
        <w:spacing w:before="240" w:after="120"/>
      </w:pPr>
      <w:r>
        <w:rPr>
          <w:rFonts w:ascii="Calibri" w:hAnsi="Calibri"/>
          <w:b/>
          <w:color w:val="1E293B"/>
          <w:sz w:val="40"/>
        </w:rPr>
        <w:t>1. Executive Summary &amp; Project Introduction</w:t>
      </w:r>
    </w:p>
    <w:p>
      <w:pPr>
        <w:spacing w:after="120" w:line="276" w:lineRule="auto"/>
        <w:jc w:val="left"/>
      </w:pPr>
      <w:r>
        <w:rPr>
          <w:rFonts w:ascii="Calibri" w:hAnsi="Calibri"/>
          <w:b w:val="0"/>
          <w:i w:val="0"/>
          <w:color w:val="334155"/>
          <w:sz w:val="22"/>
        </w:rPr>
        <w:t>Inventrix is a state-of-the-art enterprise-grade multi-tenant software system designed to optimize the retail checkout process, automate inventory monitoring, manage employee access controls, and streamline purchase procurement pipelines with B2B suppliers. The platform acts as a unified hub connecting multiple retail branches, store managers, cashiers, customers, and wholesale suppliers in real-time.</w:t>
      </w:r>
    </w:p>
    <w:p>
      <w:pPr>
        <w:spacing w:after="120" w:line="276" w:lineRule="auto"/>
        <w:jc w:val="left"/>
      </w:pPr>
      <w:r>
        <w:rPr>
          <w:rFonts w:ascii="Calibri" w:hAnsi="Calibri"/>
          <w:b w:val="0"/>
          <w:i w:val="0"/>
          <w:color w:val="334155"/>
          <w:sz w:val="22"/>
        </w:rPr>
        <w:t>By utilizing a premium dark-themed web user interface integrated with WebSocket architecture, Inventrix facilitates instantaneous data propagation—enabling real-time updates for checkout carts via handheld barcode scanners, live dashboard statistic refreshes, and push low-stock alerts without manual user reloads. All transaction invoices are dynamically built as custom PDFs embedded with Indian locale parameters and automatically delivered to the buyer's email on checkout completion.</w:t>
      </w:r>
    </w:p>
    <w:p>
      <w:pPr>
        <w:pStyle w:val="Heading1"/>
        <w:keepNext/>
        <w:spacing w:before="240" w:after="120"/>
      </w:pPr>
      <w:r>
        <w:rPr>
          <w:rFonts w:ascii="Calibri" w:hAnsi="Calibri"/>
          <w:b/>
          <w:color w:val="1E293B"/>
          <w:sz w:val="40"/>
        </w:rPr>
        <w:t>2. System Architecture &amp; Component Interactions</w:t>
      </w:r>
    </w:p>
    <w:p>
      <w:pPr>
        <w:spacing w:after="120" w:line="276" w:lineRule="auto"/>
        <w:jc w:val="left"/>
      </w:pPr>
      <w:r>
        <w:rPr>
          <w:rFonts w:ascii="Calibri" w:hAnsi="Calibri"/>
          <w:b w:val="0"/>
          <w:i w:val="0"/>
          <w:color w:val="334155"/>
          <w:sz w:val="22"/>
        </w:rPr>
        <w:t>The system architecture is engineered using a decoupled Client-Server model built on modern full-stack web technologies:</w:t>
      </w:r>
    </w:p>
    <w:p>
      <w:pPr>
        <w:pStyle w:val="Heading2"/>
        <w:keepNext/>
        <w:spacing w:before="240" w:after="120"/>
      </w:pPr>
      <w:r>
        <w:rPr>
          <w:rFonts w:ascii="Calibri" w:hAnsi="Calibri"/>
          <w:b/>
          <w:color w:val="4F46E5"/>
          <w:sz w:val="30"/>
        </w:rPr>
        <w:t>2.1 Technology Stack Details</w:t>
      </w:r>
    </w:p>
    <w:p>
      <w:pPr>
        <w:spacing w:after="120" w:line="276" w:lineRule="auto"/>
        <w:jc w:val="left"/>
      </w:pPr>
      <w:r>
        <w:rPr>
          <w:b/>
        </w:rPr>
        <w:t xml:space="preserve">• Frontend: </w:t>
      </w:r>
      <w:r>
        <w:t>React.js (bootstrapped with Vite for high performance), styled with modular Vanilla CSS supporting custom HSL variables (Sapphire &amp; Indigo theme) and custom reusable components (e.g. customized Indian locale DatePicker).</w:t>
        <w:br/>
      </w:r>
      <w:r>
        <w:rPr>
          <w:b/>
        </w:rPr>
        <w:t xml:space="preserve">• Backend: </w:t>
      </w:r>
      <w:r>
        <w:t>Node.js runtime environment running an Express application server. Provides modular RESTful APIs and integrates Socket.io for bidirectional communication.</w:t>
        <w:br/>
      </w:r>
      <w:r>
        <w:rPr>
          <w:b/>
        </w:rPr>
        <w:t xml:space="preserve">• Database Layer: </w:t>
      </w:r>
      <w:r>
        <w:t>MongoDB Atlas cloud database accessed using the Mongoose ODM library, implementing transactional database updates.</w:t>
        <w:br/>
      </w:r>
      <w:r>
        <w:rPr>
          <w:b/>
        </w:rPr>
        <w:t xml:space="preserve">• File Generation &amp; Dispatch: </w:t>
      </w:r>
      <w:r>
        <w:t>PDFKit for pixel-perfect server-side invoice generation (pre-compiled with local Windows Calibri font files to support unicode Rupee symbol rendering) and Nodemailer for SMTP transactional email dispatch.</w:t>
      </w:r>
    </w:p>
    <w:p>
      <w:pPr>
        <w:pStyle w:val="Heading2"/>
        <w:keepNext/>
        <w:spacing w:before="240" w:after="120"/>
      </w:pPr>
      <w:r>
        <w:rPr>
          <w:rFonts w:ascii="Calibri" w:hAnsi="Calibri"/>
          <w:b/>
          <w:color w:val="4F46E5"/>
          <w:sz w:val="30"/>
        </w:rPr>
        <w:t>2.2 Real-time Socket Event Pipeline</w:t>
      </w:r>
    </w:p>
    <w:p>
      <w:pPr>
        <w:spacing w:after="120" w:line="276" w:lineRule="auto"/>
        <w:jc w:val="left"/>
      </w:pPr>
      <w:r>
        <w:rPr>
          <w:rFonts w:ascii="Calibri" w:hAnsi="Calibri"/>
          <w:b w:val="0"/>
          <w:i w:val="0"/>
          <w:color w:val="334155"/>
          <w:sz w:val="22"/>
        </w:rPr>
        <w:t>WebSockets form the backbone of the real-time interaction layer, specifically for:</w:t>
      </w:r>
    </w:p>
    <w:p>
      <w:pPr>
        <w:spacing w:after="120" w:line="276" w:lineRule="auto"/>
        <w:jc w:val="left"/>
      </w:pPr>
      <w:r>
        <w:rPr>
          <w:rFonts w:ascii="Calibri" w:hAnsi="Calibri"/>
          <w:b w:val="0"/>
          <w:i w:val="0"/>
          <w:color w:val="334155"/>
          <w:sz w:val="22"/>
        </w:rPr>
        <w:t>1. Barcode Scanning: A physical handheld scanner scanning a product transmits barcode data directly to a local socket room. Any active cashier cart joined to the 'store' socket room receives the scanned item and adds it to the cart instantly.</w:t>
      </w:r>
    </w:p>
    <w:p>
      <w:pPr>
        <w:spacing w:after="120" w:line="276" w:lineRule="auto"/>
        <w:jc w:val="left"/>
      </w:pPr>
      <w:r>
        <w:rPr>
          <w:rFonts w:ascii="Calibri" w:hAnsi="Calibri"/>
          <w:b w:val="0"/>
          <w:i w:val="0"/>
          <w:color w:val="334155"/>
          <w:sz w:val="22"/>
        </w:rPr>
        <w:t>2. Push Notifications: If a cashier registers a checkout transaction or manual stock update that brings a product's stock count to 0, an immediate low-stock alert is generated and dispatched to all connected users in that store's owner/employee Socket.io room (`join-user`).</w:t>
      </w:r>
    </w:p>
    <w:p>
      <w:pPr>
        <w:spacing w:after="120" w:line="276" w:lineRule="auto"/>
        <w:jc w:val="left"/>
      </w:pPr>
      <w:r>
        <w:rPr>
          <w:rFonts w:ascii="Calibri" w:hAnsi="Calibri"/>
          <w:b w:val="0"/>
          <w:i w:val="0"/>
          <w:color w:val="334155"/>
          <w:sz w:val="22"/>
        </w:rPr>
        <w:t>3. Auto-Refresh: When a user receives a `newNotification` WebSocket event, the client dashboard automatically increments a `refreshKey` state hook. This triggers React to re-fetch relevant tables, sales statistics, and metrics panels, keeping dashboard analytics accurate without manual reloading.</w:t>
      </w:r>
    </w:p>
    <w:p>
      <w:pPr>
        <w:pStyle w:val="Heading1"/>
        <w:keepNext/>
        <w:spacing w:before="240" w:after="120"/>
      </w:pPr>
      <w:r>
        <w:rPr>
          <w:rFonts w:ascii="Calibri" w:hAnsi="Calibri"/>
          <w:b/>
          <w:color w:val="1E293B"/>
          <w:sz w:val="40"/>
        </w:rPr>
        <w:t>3. Multi-Role Portals &amp; Functional User Journeys</w:t>
      </w:r>
    </w:p>
    <w:p>
      <w:pPr>
        <w:spacing w:after="120" w:line="276" w:lineRule="auto"/>
        <w:jc w:val="left"/>
      </w:pPr>
      <w:r>
        <w:rPr>
          <w:rFonts w:ascii="Calibri" w:hAnsi="Calibri"/>
          <w:b w:val="0"/>
          <w:i w:val="0"/>
          <w:color w:val="334155"/>
          <w:sz w:val="22"/>
        </w:rPr>
        <w:t>Inventrix divides system access into four distinct portals customized for each stakeholder's role:</w:t>
      </w:r>
    </w:p>
    <w:p>
      <w:pPr>
        <w:pStyle w:val="Heading2"/>
        <w:keepNext/>
        <w:spacing w:before="240" w:after="120"/>
      </w:pPr>
      <w:r>
        <w:rPr>
          <w:rFonts w:ascii="Calibri" w:hAnsi="Calibri"/>
          <w:b/>
          <w:color w:val="4F46E5"/>
          <w:sz w:val="30"/>
        </w:rPr>
        <w:t>3.1 Store Owner Portal</w:t>
      </w:r>
    </w:p>
    <w:p>
      <w:pPr>
        <w:spacing w:after="120" w:line="276" w:lineRule="auto"/>
        <w:jc w:val="left"/>
      </w:pPr>
      <w:r>
        <w:rPr>
          <w:rFonts w:ascii="Calibri" w:hAnsi="Calibri"/>
          <w:b w:val="0"/>
          <w:i w:val="0"/>
          <w:color w:val="334155"/>
          <w:sz w:val="22"/>
        </w:rPr>
        <w:t>Store Owners can configure and manage multiple branches. Features include:</w:t>
      </w:r>
    </w:p>
    <w:p>
      <w:pPr>
        <w:spacing w:after="120" w:line="276" w:lineRule="auto"/>
        <w:jc w:val="left"/>
      </w:pPr>
      <w:r>
        <w:rPr>
          <w:rFonts w:ascii="Calibri" w:hAnsi="Calibri"/>
          <w:b w:val="0"/>
          <w:i w:val="0"/>
          <w:color w:val="334155"/>
          <w:sz w:val="22"/>
        </w:rPr>
        <w:t>• Multi-Branch Financial Overview: Real-time visual cards rendering total sales count, employee headcounts, total products, and financial totals (Revenue, Cost, and Profit calculations).</w:t>
      </w:r>
    </w:p>
    <w:p>
      <w:pPr>
        <w:spacing w:after="120" w:line="276" w:lineRule="auto"/>
        <w:jc w:val="left"/>
      </w:pPr>
      <w:r>
        <w:rPr>
          <w:rFonts w:ascii="Calibri" w:hAnsi="Calibri"/>
          <w:b w:val="0"/>
          <w:i w:val="0"/>
          <w:color w:val="334155"/>
          <w:sz w:val="22"/>
        </w:rPr>
        <w:t>• Advanced Sales Analytics: High-performance interactive charts representing sales patterns over daily, weekly, or hourly intervals.</w:t>
      </w:r>
    </w:p>
    <w:p>
      <w:pPr>
        <w:spacing w:after="120" w:line="276" w:lineRule="auto"/>
        <w:jc w:val="left"/>
      </w:pPr>
      <w:r>
        <w:rPr>
          <w:rFonts w:ascii="Calibri" w:hAnsi="Calibri"/>
          <w:b w:val="0"/>
          <w:i w:val="0"/>
          <w:color w:val="334155"/>
          <w:sz w:val="22"/>
        </w:rPr>
        <w:t>• Custom Employee Roles: Granular role-based access control (RBAC) creation where custom permissions can be assigned to different staff categories.</w:t>
      </w:r>
    </w:p>
    <w:p>
      <w:pPr>
        <w:spacing w:after="120" w:line="276" w:lineRule="auto"/>
        <w:jc w:val="left"/>
      </w:pPr>
      <w:r>
        <w:rPr>
          <w:rFonts w:ascii="Calibri" w:hAnsi="Calibri"/>
          <w:b w:val="0"/>
          <w:i w:val="0"/>
          <w:color w:val="334155"/>
          <w:sz w:val="22"/>
        </w:rPr>
        <w:t>• B2B Purchase Order (PO) Dispatcher: Select a connected supplier, add products with prices automatically locked to wholesale rates, and place purchase orders.</w:t>
      </w:r>
    </w:p>
    <w:p>
      <w:pPr>
        <w:pStyle w:val="Heading2"/>
        <w:keepNext/>
        <w:spacing w:before="240" w:after="120"/>
      </w:pPr>
      <w:r>
        <w:rPr>
          <w:rFonts w:ascii="Calibri" w:hAnsi="Calibri"/>
          <w:b/>
          <w:color w:val="4F46E5"/>
          <w:sz w:val="30"/>
        </w:rPr>
        <w:t>3.2 Employee/Cashier Portal</w:t>
      </w:r>
    </w:p>
    <w:p>
      <w:pPr>
        <w:spacing w:after="120" w:line="276" w:lineRule="auto"/>
        <w:jc w:val="left"/>
      </w:pPr>
      <w:r>
        <w:rPr>
          <w:rFonts w:ascii="Calibri" w:hAnsi="Calibri"/>
          <w:b w:val="0"/>
          <w:i w:val="0"/>
          <w:color w:val="334155"/>
          <w:sz w:val="22"/>
        </w:rPr>
        <w:t>Retail cashiers and employees manage store operations:</w:t>
      </w:r>
    </w:p>
    <w:p>
      <w:pPr>
        <w:spacing w:after="120" w:line="276" w:lineRule="auto"/>
        <w:jc w:val="left"/>
      </w:pPr>
      <w:r>
        <w:rPr>
          <w:rFonts w:ascii="Calibri" w:hAnsi="Calibri"/>
          <w:b w:val="0"/>
          <w:i w:val="0"/>
          <w:color w:val="334155"/>
          <w:sz w:val="22"/>
        </w:rPr>
        <w:t>• Point-of-Sale (POS) Billing: Add products, scan barcodes, select payment methods (Cash, Card, UPI), input mobile number for invoice delivery, and finalize checkout transactions.</w:t>
      </w:r>
    </w:p>
    <w:p>
      <w:pPr>
        <w:spacing w:after="120" w:line="276" w:lineRule="auto"/>
        <w:jc w:val="left"/>
      </w:pPr>
      <w:r>
        <w:rPr>
          <w:rFonts w:ascii="Calibri" w:hAnsi="Calibri"/>
          <w:b w:val="0"/>
          <w:i w:val="0"/>
          <w:color w:val="334155"/>
          <w:sz w:val="22"/>
        </w:rPr>
        <w:t>• Shift Tracking: Punch-in and punch-out mechanics to register shift timings.</w:t>
      </w:r>
    </w:p>
    <w:p>
      <w:pPr>
        <w:spacing w:after="120" w:line="276" w:lineRule="auto"/>
        <w:jc w:val="left"/>
      </w:pPr>
      <w:r>
        <w:rPr>
          <w:rFonts w:ascii="Calibri" w:hAnsi="Calibri"/>
          <w:b w:val="0"/>
          <w:i w:val="0"/>
          <w:color w:val="334155"/>
          <w:sz w:val="22"/>
        </w:rPr>
        <w:t>• Real-time Notification Bell: Custom Bell menu displaying low-stock and PO update alerts, complete with dismissable features (click-outside to close and clear action controls).</w:t>
      </w:r>
    </w:p>
    <w:p>
      <w:pPr>
        <w:pStyle w:val="Heading2"/>
        <w:keepNext/>
        <w:spacing w:before="240" w:after="120"/>
      </w:pPr>
      <w:r>
        <w:rPr>
          <w:rFonts w:ascii="Calibri" w:hAnsi="Calibri"/>
          <w:b/>
          <w:color w:val="4F46E5"/>
          <w:sz w:val="30"/>
        </w:rPr>
        <w:t>3.3 Supplier Portal</w:t>
      </w:r>
    </w:p>
    <w:p>
      <w:pPr>
        <w:spacing w:after="120" w:line="276" w:lineRule="auto"/>
        <w:jc w:val="left"/>
      </w:pPr>
      <w:r>
        <w:rPr>
          <w:rFonts w:ascii="Calibri" w:hAnsi="Calibri"/>
          <w:b w:val="0"/>
          <w:i w:val="0"/>
          <w:color w:val="334155"/>
          <w:sz w:val="22"/>
        </w:rPr>
        <w:t>Wholesale vendors handle product requests from owners:</w:t>
      </w:r>
    </w:p>
    <w:p>
      <w:pPr>
        <w:spacing w:after="120" w:line="276" w:lineRule="auto"/>
        <w:jc w:val="left"/>
      </w:pPr>
      <w:r>
        <w:rPr>
          <w:rFonts w:ascii="Calibri" w:hAnsi="Calibri"/>
          <w:b w:val="0"/>
          <w:i w:val="0"/>
          <w:color w:val="334155"/>
          <w:sz w:val="22"/>
        </w:rPr>
        <w:t>• Purchase Order Management: View pending orders, details, and exact quantity breakdowns.</w:t>
      </w:r>
    </w:p>
    <w:p>
      <w:pPr>
        <w:spacing w:after="120" w:line="276" w:lineRule="auto"/>
        <w:jc w:val="left"/>
      </w:pPr>
      <w:r>
        <w:rPr>
          <w:rFonts w:ascii="Calibri" w:hAnsi="Calibri"/>
          <w:b w:val="0"/>
          <w:i w:val="0"/>
          <w:color w:val="334155"/>
          <w:sz w:val="22"/>
        </w:rPr>
        <w:t>• Accept Order Modal: Set expected delivery date via a custom local DatePicker alongside delivery details/notes placed side-by-side using responsive CSS flexbox panels.</w:t>
      </w:r>
    </w:p>
    <w:p>
      <w:pPr>
        <w:pStyle w:val="Heading2"/>
        <w:keepNext/>
        <w:spacing w:before="240" w:after="120"/>
      </w:pPr>
      <w:r>
        <w:rPr>
          <w:rFonts w:ascii="Calibri" w:hAnsi="Calibri"/>
          <w:b/>
          <w:color w:val="4F46E5"/>
          <w:sz w:val="30"/>
        </w:rPr>
        <w:t>3.4 Customer Portal</w:t>
      </w:r>
    </w:p>
    <w:p>
      <w:pPr>
        <w:spacing w:after="120" w:line="276" w:lineRule="auto"/>
        <w:jc w:val="left"/>
      </w:pPr>
      <w:r>
        <w:rPr>
          <w:rFonts w:ascii="Calibri" w:hAnsi="Calibri"/>
          <w:b w:val="0"/>
          <w:i w:val="0"/>
          <w:color w:val="334155"/>
          <w:sz w:val="22"/>
        </w:rPr>
        <w:t>Provides transparency to customers via search widgets showing inventory catalog availability, brand pricing list, and physical store branch details (address and contact links).</w:t>
      </w:r>
    </w:p>
    <w:p>
      <w:pPr>
        <w:pStyle w:val="Heading1"/>
        <w:keepNext/>
        <w:spacing w:before="240" w:after="120"/>
      </w:pPr>
      <w:r>
        <w:rPr>
          <w:rFonts w:ascii="Calibri" w:hAnsi="Calibri"/>
          <w:b/>
          <w:color w:val="1E293B"/>
          <w:sz w:val="40"/>
        </w:rPr>
        <w:t>4. Database Models &amp; Schema Design</w:t>
      </w:r>
    </w:p>
    <w:p>
      <w:pPr>
        <w:spacing w:after="120" w:line="276" w:lineRule="auto"/>
        <w:jc w:val="left"/>
      </w:pPr>
      <w:r>
        <w:rPr>
          <w:rFonts w:ascii="Calibri" w:hAnsi="Calibri"/>
          <w:b w:val="0"/>
          <w:i w:val="0"/>
          <w:color w:val="334155"/>
          <w:sz w:val="22"/>
        </w:rPr>
        <w:t>Inventrix utilizes Mongoose schema objects to enforce validation and establish database relationships. Below are the design definitions:</w:t>
      </w:r>
    </w:p>
    <w:p>
      <w:pPr>
        <w:pStyle w:val="Heading2"/>
        <w:keepNext/>
        <w:spacing w:before="240" w:after="120"/>
      </w:pPr>
      <w:r>
        <w:rPr>
          <w:rFonts w:ascii="Calibri" w:hAnsi="Calibri"/>
          <w:b/>
          <w:color w:val="4F46E5"/>
          <w:sz w:val="30"/>
        </w:rPr>
        <w:t>4.1 Store Model Schema (`Store.js`)</w:t>
      </w:r>
    </w:p>
    <w:tbl>
      <w:tblPr>
        <w:tblW w:type="auto" w:w="0"/>
        <w:jc w:val="center"/>
        <w:tblLook w:firstColumn="1" w:firstRow="1" w:lastColumn="0" w:lastRow="0" w:noHBand="0" w:noVBand="1" w:val="04A0"/>
      </w:tblPr>
      <w:tblGrid>
        <w:gridCol w:w="3120"/>
        <w:gridCol w:w="3120"/>
        <w:gridCol w:w="3120"/>
      </w:tblGrid>
      <w:tr>
        <w:tc>
          <w:tcPr>
            <w:tcW w:type="dxa" w:w="3120"/>
            <w:shd w:fill="4F46E5"/>
            <w:tcMar>
              <w:top w:w="120" w:type="dxa"/>
              <w:bottom w:w="120" w:type="dxa"/>
              <w:left w:w="150" w:type="dxa"/>
              <w:right w:w="150" w:type="dxa"/>
            </w:tcMar>
          </w:tcPr>
          <w:p>
            <w:pPr>
              <w:jc w:val="left"/>
            </w:pPr>
            <w:r>
              <w:rPr>
                <w:rFonts w:ascii="Calibri" w:hAnsi="Calibri"/>
                <w:b/>
                <w:color w:val="FFFFFF"/>
                <w:sz w:val="21"/>
              </w:rPr>
              <w:t>Field Name</w:t>
            </w:r>
          </w:p>
        </w:tc>
        <w:tc>
          <w:tcPr>
            <w:tcW w:type="dxa" w:w="3120"/>
            <w:shd w:fill="4F46E5"/>
            <w:tcMar>
              <w:top w:w="120" w:type="dxa"/>
              <w:bottom w:w="120" w:type="dxa"/>
              <w:left w:w="150" w:type="dxa"/>
              <w:right w:w="150" w:type="dxa"/>
            </w:tcMar>
          </w:tcPr>
          <w:p>
            <w:pPr>
              <w:jc w:val="left"/>
            </w:pPr>
            <w:r>
              <w:rPr>
                <w:rFonts w:ascii="Calibri" w:hAnsi="Calibri"/>
                <w:b/>
                <w:color w:val="FFFFFF"/>
                <w:sz w:val="21"/>
              </w:rPr>
              <w:t>Data Type</w:t>
            </w:r>
          </w:p>
        </w:tc>
        <w:tc>
          <w:tcPr>
            <w:tcW w:type="dxa" w:w="3120"/>
            <w:shd w:fill="4F46E5"/>
            <w:tcMar>
              <w:top w:w="120" w:type="dxa"/>
              <w:bottom w:w="120" w:type="dxa"/>
              <w:left w:w="150" w:type="dxa"/>
              <w:right w:w="150" w:type="dxa"/>
            </w:tcMar>
          </w:tcPr>
          <w:p>
            <w:pPr>
              <w:jc w:val="left"/>
            </w:pPr>
            <w:r>
              <w:rPr>
                <w:rFonts w:ascii="Calibri" w:hAnsi="Calibri"/>
                <w:b/>
                <w:color w:val="FFFFFF"/>
                <w:sz w:val="21"/>
              </w:rPr>
              <w:t>Description / Constraints</w:t>
            </w:r>
          </w:p>
        </w:tc>
      </w:tr>
      <w:tr>
        <w:tc>
          <w:tcPr>
            <w:tcW w:type="dxa" w:w="3120"/>
            <w:tcMar>
              <w:top w:w="80" w:type="dxa"/>
              <w:bottom w:w="80" w:type="dxa"/>
              <w:left w:w="120" w:type="dxa"/>
              <w:right w:w="120" w:type="dxa"/>
            </w:tcMar>
            <w:shd w:fill="F8FAFC"/>
          </w:tcPr>
          <w:p>
            <w:r>
              <w:rPr>
                <w:rFonts w:ascii="Calibri" w:hAnsi="Calibri"/>
                <w:b/>
                <w:color w:val="0F172A"/>
                <w:sz w:val="19"/>
              </w:rPr>
              <w:t>name</w:t>
            </w:r>
          </w:p>
        </w:tc>
        <w:tc>
          <w:tcPr>
            <w:tcW w:type="dxa" w:w="3120"/>
            <w:tcMar>
              <w:top w:w="80" w:type="dxa"/>
              <w:bottom w:w="80" w:type="dxa"/>
              <w:left w:w="120" w:type="dxa"/>
              <w:right w:w="120" w:type="dxa"/>
            </w:tcMar>
            <w:shd w:fill="F8FAFC"/>
          </w:tcPr>
          <w:p>
            <w:r>
              <w:rPr>
                <w:rFonts w:ascii="Calibri" w:hAnsi="Calibri"/>
                <w:color w:val="475569"/>
                <w:sz w:val="19"/>
              </w:rPr>
              <w:t>String (Required)</w:t>
            </w:r>
          </w:p>
        </w:tc>
        <w:tc>
          <w:tcPr>
            <w:tcW w:type="dxa" w:w="3120"/>
            <w:tcMar>
              <w:top w:w="80" w:type="dxa"/>
              <w:bottom w:w="80" w:type="dxa"/>
              <w:left w:w="120" w:type="dxa"/>
              <w:right w:w="120" w:type="dxa"/>
            </w:tcMar>
            <w:shd w:fill="F8FAFC"/>
          </w:tcPr>
          <w:p>
            <w:r>
              <w:rPr>
                <w:rFonts w:ascii="Calibri" w:hAnsi="Calibri"/>
                <w:color w:val="475569"/>
                <w:sz w:val="19"/>
              </w:rPr>
              <w:t>The unique identifier name of the branch.</w:t>
            </w:r>
          </w:p>
        </w:tc>
      </w:tr>
      <w:tr>
        <w:tc>
          <w:tcPr>
            <w:tcW w:type="dxa" w:w="3120"/>
            <w:tcMar>
              <w:top w:w="80" w:type="dxa"/>
              <w:bottom w:w="80" w:type="dxa"/>
              <w:left w:w="120" w:type="dxa"/>
              <w:right w:w="120" w:type="dxa"/>
            </w:tcMar>
            <w:shd w:fill="FFFFFF"/>
          </w:tcPr>
          <w:p>
            <w:r>
              <w:rPr>
                <w:rFonts w:ascii="Calibri" w:hAnsi="Calibri"/>
                <w:b/>
                <w:color w:val="0F172A"/>
                <w:sz w:val="19"/>
              </w:rPr>
              <w:t>address</w:t>
            </w:r>
          </w:p>
        </w:tc>
        <w:tc>
          <w:tcPr>
            <w:tcW w:type="dxa" w:w="3120"/>
            <w:tcMar>
              <w:top w:w="80" w:type="dxa"/>
              <w:bottom w:w="80" w:type="dxa"/>
              <w:left w:w="120" w:type="dxa"/>
              <w:right w:w="120" w:type="dxa"/>
            </w:tcMar>
            <w:shd w:fill="FFFFFF"/>
          </w:tcPr>
          <w:p>
            <w:r>
              <w:rPr>
                <w:rFonts w:ascii="Calibri" w:hAnsi="Calibri"/>
                <w:color w:val="475569"/>
                <w:sz w:val="19"/>
              </w:rPr>
              <w:t>Object</w:t>
            </w:r>
          </w:p>
        </w:tc>
        <w:tc>
          <w:tcPr>
            <w:tcW w:type="dxa" w:w="3120"/>
            <w:tcMar>
              <w:top w:w="80" w:type="dxa"/>
              <w:bottom w:w="80" w:type="dxa"/>
              <w:left w:w="120" w:type="dxa"/>
              <w:right w:w="120" w:type="dxa"/>
            </w:tcMar>
            <w:shd w:fill="FFFFFF"/>
          </w:tcPr>
          <w:p>
            <w:r>
              <w:rPr>
                <w:rFonts w:ascii="Calibri" w:hAnsi="Calibri"/>
                <w:color w:val="475569"/>
                <w:sz w:val="19"/>
              </w:rPr>
              <w:t>Embedded fields: street, city, state, zipCode.</w:t>
            </w:r>
          </w:p>
        </w:tc>
      </w:tr>
      <w:tr>
        <w:tc>
          <w:tcPr>
            <w:tcW w:type="dxa" w:w="3120"/>
            <w:tcMar>
              <w:top w:w="80" w:type="dxa"/>
              <w:bottom w:w="80" w:type="dxa"/>
              <w:left w:w="120" w:type="dxa"/>
              <w:right w:w="120" w:type="dxa"/>
            </w:tcMar>
            <w:shd w:fill="F8FAFC"/>
          </w:tcPr>
          <w:p>
            <w:r>
              <w:rPr>
                <w:rFonts w:ascii="Calibri" w:hAnsi="Calibri"/>
                <w:b/>
                <w:color w:val="0F172A"/>
                <w:sz w:val="19"/>
              </w:rPr>
              <w:t>contact</w:t>
            </w:r>
          </w:p>
        </w:tc>
        <w:tc>
          <w:tcPr>
            <w:tcW w:type="dxa" w:w="3120"/>
            <w:tcMar>
              <w:top w:w="80" w:type="dxa"/>
              <w:bottom w:w="80" w:type="dxa"/>
              <w:left w:w="120" w:type="dxa"/>
              <w:right w:w="120" w:type="dxa"/>
            </w:tcMar>
            <w:shd w:fill="F8FAFC"/>
          </w:tcPr>
          <w:p>
            <w:r>
              <w:rPr>
                <w:rFonts w:ascii="Calibri" w:hAnsi="Calibri"/>
                <w:color w:val="475569"/>
                <w:sz w:val="19"/>
              </w:rPr>
              <w:t>Object</w:t>
            </w:r>
          </w:p>
        </w:tc>
        <w:tc>
          <w:tcPr>
            <w:tcW w:type="dxa" w:w="3120"/>
            <w:tcMar>
              <w:top w:w="80" w:type="dxa"/>
              <w:bottom w:w="80" w:type="dxa"/>
              <w:left w:w="120" w:type="dxa"/>
              <w:right w:w="120" w:type="dxa"/>
            </w:tcMar>
            <w:shd w:fill="F8FAFC"/>
          </w:tcPr>
          <w:p>
            <w:r>
              <w:rPr>
                <w:rFonts w:ascii="Calibri" w:hAnsi="Calibri"/>
                <w:color w:val="475569"/>
                <w:sz w:val="19"/>
              </w:rPr>
              <w:t>Embedded fields: phone, email.</w:t>
            </w:r>
          </w:p>
        </w:tc>
      </w:tr>
      <w:tr>
        <w:tc>
          <w:tcPr>
            <w:tcW w:type="dxa" w:w="3120"/>
            <w:tcMar>
              <w:top w:w="80" w:type="dxa"/>
              <w:bottom w:w="80" w:type="dxa"/>
              <w:left w:w="120" w:type="dxa"/>
              <w:right w:w="120" w:type="dxa"/>
            </w:tcMar>
            <w:shd w:fill="FFFFFF"/>
          </w:tcPr>
          <w:p>
            <w:r>
              <w:rPr>
                <w:rFonts w:ascii="Calibri" w:hAnsi="Calibri"/>
                <w:b/>
                <w:color w:val="0F172A"/>
                <w:sz w:val="19"/>
              </w:rPr>
              <w:t>owner_id</w:t>
            </w:r>
          </w:p>
        </w:tc>
        <w:tc>
          <w:tcPr>
            <w:tcW w:type="dxa" w:w="3120"/>
            <w:tcMar>
              <w:top w:w="80" w:type="dxa"/>
              <w:bottom w:w="80" w:type="dxa"/>
              <w:left w:w="120" w:type="dxa"/>
              <w:right w:w="120" w:type="dxa"/>
            </w:tcMar>
            <w:shd w:fill="FFFFFF"/>
          </w:tcPr>
          <w:p>
            <w:r>
              <w:rPr>
                <w:rFonts w:ascii="Calibri" w:hAnsi="Calibri"/>
                <w:color w:val="475569"/>
                <w:sz w:val="19"/>
              </w:rPr>
              <w:t>ObjectId (Ref: StoreOwner)</w:t>
            </w:r>
          </w:p>
        </w:tc>
        <w:tc>
          <w:tcPr>
            <w:tcW w:type="dxa" w:w="3120"/>
            <w:tcMar>
              <w:top w:w="80" w:type="dxa"/>
              <w:bottom w:w="80" w:type="dxa"/>
              <w:left w:w="120" w:type="dxa"/>
              <w:right w:w="120" w:type="dxa"/>
            </w:tcMar>
            <w:shd w:fill="FFFFFF"/>
          </w:tcPr>
          <w:p>
            <w:r>
              <w:rPr>
                <w:rFonts w:ascii="Calibri" w:hAnsi="Calibri"/>
                <w:color w:val="475569"/>
                <w:sz w:val="19"/>
              </w:rPr>
              <w:t>Identifies the owner of the store branch.</w:t>
            </w:r>
          </w:p>
        </w:tc>
      </w:tr>
      <w:tr>
        <w:tc>
          <w:tcPr>
            <w:tcW w:type="dxa" w:w="3120"/>
            <w:tcMar>
              <w:top w:w="80" w:type="dxa"/>
              <w:bottom w:w="80" w:type="dxa"/>
              <w:left w:w="120" w:type="dxa"/>
              <w:right w:w="120" w:type="dxa"/>
            </w:tcMar>
            <w:shd w:fill="F8FAFC"/>
          </w:tcPr>
          <w:p>
            <w:r>
              <w:rPr>
                <w:rFonts w:ascii="Calibri" w:hAnsi="Calibri"/>
                <w:b/>
                <w:color w:val="0F172A"/>
                <w:sz w:val="19"/>
              </w:rPr>
              <w:t>qrCodeUrl</w:t>
            </w:r>
          </w:p>
        </w:tc>
        <w:tc>
          <w:tcPr>
            <w:tcW w:type="dxa" w:w="3120"/>
            <w:tcMar>
              <w:top w:w="80" w:type="dxa"/>
              <w:bottom w:w="80" w:type="dxa"/>
              <w:left w:w="120" w:type="dxa"/>
              <w:right w:w="120" w:type="dxa"/>
            </w:tcMar>
            <w:shd w:fill="F8FAFC"/>
          </w:tcPr>
          <w:p>
            <w:r>
              <w:rPr>
                <w:rFonts w:ascii="Calibri" w:hAnsi="Calibri"/>
                <w:color w:val="475569"/>
                <w:sz w:val="19"/>
              </w:rPr>
              <w:t>String</w:t>
            </w:r>
          </w:p>
        </w:tc>
        <w:tc>
          <w:tcPr>
            <w:tcW w:type="dxa" w:w="3120"/>
            <w:tcMar>
              <w:top w:w="80" w:type="dxa"/>
              <w:bottom w:w="80" w:type="dxa"/>
              <w:left w:w="120" w:type="dxa"/>
              <w:right w:w="120" w:type="dxa"/>
            </w:tcMar>
            <w:shd w:fill="F8FAFC"/>
          </w:tcPr>
          <w:p>
            <w:r>
              <w:rPr>
                <w:rFonts w:ascii="Calibri" w:hAnsi="Calibri"/>
                <w:color w:val="475569"/>
                <w:sz w:val="19"/>
              </w:rPr>
              <w:t>Asset path to the generated store entrance QR code.</w:t>
            </w:r>
          </w:p>
        </w:tc>
      </w:tr>
    </w:tbl>
    <w:p>
      <w:pPr>
        <w:spacing w:after="240"/>
      </w:pPr>
    </w:p>
    <w:p>
      <w:pPr>
        <w:pStyle w:val="Heading3"/>
        <w:keepNext/>
        <w:spacing w:before="240" w:after="120"/>
      </w:pPr>
      <w:r>
        <w:rPr>
          <w:rFonts w:ascii="Calibri" w:hAnsi="Calibri"/>
          <w:b/>
          <w:color w:val="10B981"/>
          <w:sz w:val="24"/>
        </w:rPr>
        <w:t>4.2 Product Model Schema (`Product.js`)</w:t>
      </w:r>
    </w:p>
    <w:tbl>
      <w:tblPr>
        <w:tblW w:type="auto" w:w="0"/>
        <w:jc w:val="center"/>
        <w:tblLook w:firstColumn="1" w:firstRow="1" w:lastColumn="0" w:lastRow="0" w:noHBand="0" w:noVBand="1" w:val="04A0"/>
      </w:tblPr>
      <w:tblGrid>
        <w:gridCol w:w="3120"/>
        <w:gridCol w:w="3120"/>
        <w:gridCol w:w="3120"/>
      </w:tblGrid>
      <w:tr>
        <w:tc>
          <w:tcPr>
            <w:tcW w:type="dxa" w:w="3120"/>
            <w:shd w:fill="4F46E5"/>
            <w:tcMar>
              <w:top w:w="120" w:type="dxa"/>
              <w:bottom w:w="120" w:type="dxa"/>
              <w:left w:w="150" w:type="dxa"/>
              <w:right w:w="150" w:type="dxa"/>
            </w:tcMar>
          </w:tcPr>
          <w:p>
            <w:pPr>
              <w:jc w:val="left"/>
            </w:pPr>
            <w:r>
              <w:rPr>
                <w:rFonts w:ascii="Calibri" w:hAnsi="Calibri"/>
                <w:b/>
                <w:color w:val="FFFFFF"/>
                <w:sz w:val="21"/>
              </w:rPr>
              <w:t>Field Name</w:t>
            </w:r>
          </w:p>
        </w:tc>
        <w:tc>
          <w:tcPr>
            <w:tcW w:type="dxa" w:w="3120"/>
            <w:shd w:fill="4F46E5"/>
            <w:tcMar>
              <w:top w:w="120" w:type="dxa"/>
              <w:bottom w:w="120" w:type="dxa"/>
              <w:left w:w="150" w:type="dxa"/>
              <w:right w:w="150" w:type="dxa"/>
            </w:tcMar>
          </w:tcPr>
          <w:p>
            <w:pPr>
              <w:jc w:val="left"/>
            </w:pPr>
            <w:r>
              <w:rPr>
                <w:rFonts w:ascii="Calibri" w:hAnsi="Calibri"/>
                <w:b/>
                <w:color w:val="FFFFFF"/>
                <w:sz w:val="21"/>
              </w:rPr>
              <w:t>Data Type</w:t>
            </w:r>
          </w:p>
        </w:tc>
        <w:tc>
          <w:tcPr>
            <w:tcW w:type="dxa" w:w="3120"/>
            <w:shd w:fill="4F46E5"/>
            <w:tcMar>
              <w:top w:w="120" w:type="dxa"/>
              <w:bottom w:w="120" w:type="dxa"/>
              <w:left w:w="150" w:type="dxa"/>
              <w:right w:w="150" w:type="dxa"/>
            </w:tcMar>
          </w:tcPr>
          <w:p>
            <w:pPr>
              <w:jc w:val="left"/>
            </w:pPr>
            <w:r>
              <w:rPr>
                <w:rFonts w:ascii="Calibri" w:hAnsi="Calibri"/>
                <w:b/>
                <w:color w:val="FFFFFF"/>
                <w:sz w:val="21"/>
              </w:rPr>
              <w:t>Description / Constraints</w:t>
            </w:r>
          </w:p>
        </w:tc>
      </w:tr>
      <w:tr>
        <w:tc>
          <w:tcPr>
            <w:tcW w:type="dxa" w:w="3120"/>
            <w:tcMar>
              <w:top w:w="80" w:type="dxa"/>
              <w:bottom w:w="80" w:type="dxa"/>
              <w:left w:w="120" w:type="dxa"/>
              <w:right w:w="120" w:type="dxa"/>
            </w:tcMar>
            <w:shd w:fill="F8FAFC"/>
          </w:tcPr>
          <w:p>
            <w:r>
              <w:rPr>
                <w:rFonts w:ascii="Calibri" w:hAnsi="Calibri"/>
                <w:b/>
                <w:color w:val="0F172A"/>
                <w:sz w:val="19"/>
              </w:rPr>
              <w:t>name</w:t>
            </w:r>
          </w:p>
        </w:tc>
        <w:tc>
          <w:tcPr>
            <w:tcW w:type="dxa" w:w="3120"/>
            <w:tcMar>
              <w:top w:w="80" w:type="dxa"/>
              <w:bottom w:w="80" w:type="dxa"/>
              <w:left w:w="120" w:type="dxa"/>
              <w:right w:w="120" w:type="dxa"/>
            </w:tcMar>
            <w:shd w:fill="F8FAFC"/>
          </w:tcPr>
          <w:p>
            <w:r>
              <w:rPr>
                <w:rFonts w:ascii="Calibri" w:hAnsi="Calibri"/>
                <w:color w:val="475569"/>
                <w:sz w:val="19"/>
              </w:rPr>
              <w:t>String (Required)</w:t>
            </w:r>
          </w:p>
        </w:tc>
        <w:tc>
          <w:tcPr>
            <w:tcW w:type="dxa" w:w="3120"/>
            <w:tcMar>
              <w:top w:w="80" w:type="dxa"/>
              <w:bottom w:w="80" w:type="dxa"/>
              <w:left w:w="120" w:type="dxa"/>
              <w:right w:w="120" w:type="dxa"/>
            </w:tcMar>
            <w:shd w:fill="F8FAFC"/>
          </w:tcPr>
          <w:p>
            <w:r>
              <w:rPr>
                <w:rFonts w:ascii="Calibri" w:hAnsi="Calibri"/>
                <w:color w:val="475569"/>
                <w:sz w:val="19"/>
              </w:rPr>
              <w:t>The product title.</w:t>
            </w:r>
          </w:p>
        </w:tc>
      </w:tr>
      <w:tr>
        <w:tc>
          <w:tcPr>
            <w:tcW w:type="dxa" w:w="3120"/>
            <w:tcMar>
              <w:top w:w="80" w:type="dxa"/>
              <w:bottom w:w="80" w:type="dxa"/>
              <w:left w:w="120" w:type="dxa"/>
              <w:right w:w="120" w:type="dxa"/>
            </w:tcMar>
            <w:shd w:fill="FFFFFF"/>
          </w:tcPr>
          <w:p>
            <w:r>
              <w:rPr>
                <w:rFonts w:ascii="Calibri" w:hAnsi="Calibri"/>
                <w:b/>
                <w:color w:val="0F172A"/>
                <w:sz w:val="19"/>
              </w:rPr>
              <w:t>barcode</w:t>
            </w:r>
          </w:p>
        </w:tc>
        <w:tc>
          <w:tcPr>
            <w:tcW w:type="dxa" w:w="3120"/>
            <w:tcMar>
              <w:top w:w="80" w:type="dxa"/>
              <w:bottom w:w="80" w:type="dxa"/>
              <w:left w:w="120" w:type="dxa"/>
              <w:right w:w="120" w:type="dxa"/>
            </w:tcMar>
            <w:shd w:fill="FFFFFF"/>
          </w:tcPr>
          <w:p>
            <w:r>
              <w:rPr>
                <w:rFonts w:ascii="Calibri" w:hAnsi="Calibri"/>
                <w:color w:val="475569"/>
                <w:sz w:val="19"/>
              </w:rPr>
              <w:t>String (Unique)</w:t>
            </w:r>
          </w:p>
        </w:tc>
        <w:tc>
          <w:tcPr>
            <w:tcW w:type="dxa" w:w="3120"/>
            <w:tcMar>
              <w:top w:w="80" w:type="dxa"/>
              <w:bottom w:w="80" w:type="dxa"/>
              <w:left w:w="120" w:type="dxa"/>
              <w:right w:w="120" w:type="dxa"/>
            </w:tcMar>
            <w:shd w:fill="FFFFFF"/>
          </w:tcPr>
          <w:p>
            <w:r>
              <w:rPr>
                <w:rFonts w:ascii="Calibri" w:hAnsi="Calibri"/>
                <w:color w:val="475569"/>
                <w:sz w:val="19"/>
              </w:rPr>
              <w:t>UPC/EAN barcode string for scanner matches.</w:t>
            </w:r>
          </w:p>
        </w:tc>
      </w:tr>
      <w:tr>
        <w:tc>
          <w:tcPr>
            <w:tcW w:type="dxa" w:w="3120"/>
            <w:tcMar>
              <w:top w:w="80" w:type="dxa"/>
              <w:bottom w:w="80" w:type="dxa"/>
              <w:left w:w="120" w:type="dxa"/>
              <w:right w:w="120" w:type="dxa"/>
            </w:tcMar>
            <w:shd w:fill="F8FAFC"/>
          </w:tcPr>
          <w:p>
            <w:r>
              <w:rPr>
                <w:rFonts w:ascii="Calibri" w:hAnsi="Calibri"/>
                <w:b/>
                <w:color w:val="0F172A"/>
                <w:sz w:val="19"/>
              </w:rPr>
              <w:t>sellingPrice</w:t>
            </w:r>
          </w:p>
        </w:tc>
        <w:tc>
          <w:tcPr>
            <w:tcW w:type="dxa" w:w="3120"/>
            <w:tcMar>
              <w:top w:w="80" w:type="dxa"/>
              <w:bottom w:w="80" w:type="dxa"/>
              <w:left w:w="120" w:type="dxa"/>
              <w:right w:w="120" w:type="dxa"/>
            </w:tcMar>
            <w:shd w:fill="F8FAFC"/>
          </w:tcPr>
          <w:p>
            <w:r>
              <w:rPr>
                <w:rFonts w:ascii="Calibri" w:hAnsi="Calibri"/>
                <w:color w:val="475569"/>
                <w:sz w:val="19"/>
              </w:rPr>
              <w:t>Number (Required)</w:t>
            </w:r>
          </w:p>
        </w:tc>
        <w:tc>
          <w:tcPr>
            <w:tcW w:type="dxa" w:w="3120"/>
            <w:tcMar>
              <w:top w:w="80" w:type="dxa"/>
              <w:bottom w:w="80" w:type="dxa"/>
              <w:left w:w="120" w:type="dxa"/>
              <w:right w:w="120" w:type="dxa"/>
            </w:tcMar>
            <w:shd w:fill="F8FAFC"/>
          </w:tcPr>
          <w:p>
            <w:r>
              <w:rPr>
                <w:rFonts w:ascii="Calibri" w:hAnsi="Calibri"/>
                <w:color w:val="475569"/>
                <w:sz w:val="19"/>
              </w:rPr>
              <w:t>Retail price charged to customers.</w:t>
            </w:r>
          </w:p>
        </w:tc>
      </w:tr>
      <w:tr>
        <w:tc>
          <w:tcPr>
            <w:tcW w:type="dxa" w:w="3120"/>
            <w:tcMar>
              <w:top w:w="80" w:type="dxa"/>
              <w:bottom w:w="80" w:type="dxa"/>
              <w:left w:w="120" w:type="dxa"/>
              <w:right w:w="120" w:type="dxa"/>
            </w:tcMar>
            <w:shd w:fill="FFFFFF"/>
          </w:tcPr>
          <w:p>
            <w:r>
              <w:rPr>
                <w:rFonts w:ascii="Calibri" w:hAnsi="Calibri"/>
                <w:b/>
                <w:color w:val="0F172A"/>
                <w:sz w:val="19"/>
              </w:rPr>
              <w:t>purchasePrice</w:t>
            </w:r>
          </w:p>
        </w:tc>
        <w:tc>
          <w:tcPr>
            <w:tcW w:type="dxa" w:w="3120"/>
            <w:tcMar>
              <w:top w:w="80" w:type="dxa"/>
              <w:bottom w:w="80" w:type="dxa"/>
              <w:left w:w="120" w:type="dxa"/>
              <w:right w:w="120" w:type="dxa"/>
            </w:tcMar>
            <w:shd w:fill="FFFFFF"/>
          </w:tcPr>
          <w:p>
            <w:r>
              <w:rPr>
                <w:rFonts w:ascii="Calibri" w:hAnsi="Calibri"/>
                <w:color w:val="475569"/>
                <w:sz w:val="19"/>
              </w:rPr>
              <w:t>Number</w:t>
            </w:r>
          </w:p>
        </w:tc>
        <w:tc>
          <w:tcPr>
            <w:tcW w:type="dxa" w:w="3120"/>
            <w:tcMar>
              <w:top w:w="80" w:type="dxa"/>
              <w:bottom w:w="80" w:type="dxa"/>
              <w:left w:w="120" w:type="dxa"/>
              <w:right w:w="120" w:type="dxa"/>
            </w:tcMar>
            <w:shd w:fill="FFFFFF"/>
          </w:tcPr>
          <w:p>
            <w:r>
              <w:rPr>
                <w:rFonts w:ascii="Calibri" w:hAnsi="Calibri"/>
                <w:color w:val="475569"/>
                <w:sz w:val="19"/>
              </w:rPr>
              <w:t>Cost price paid to wholesale suppliers.</w:t>
            </w:r>
          </w:p>
        </w:tc>
      </w:tr>
      <w:tr>
        <w:tc>
          <w:tcPr>
            <w:tcW w:type="dxa" w:w="3120"/>
            <w:tcMar>
              <w:top w:w="80" w:type="dxa"/>
              <w:bottom w:w="80" w:type="dxa"/>
              <w:left w:w="120" w:type="dxa"/>
              <w:right w:w="120" w:type="dxa"/>
            </w:tcMar>
            <w:shd w:fill="F8FAFC"/>
          </w:tcPr>
          <w:p>
            <w:r>
              <w:rPr>
                <w:rFonts w:ascii="Calibri" w:hAnsi="Calibri"/>
                <w:b/>
                <w:color w:val="0F172A"/>
                <w:sz w:val="19"/>
              </w:rPr>
              <w:t>quantity</w:t>
            </w:r>
          </w:p>
        </w:tc>
        <w:tc>
          <w:tcPr>
            <w:tcW w:type="dxa" w:w="3120"/>
            <w:tcMar>
              <w:top w:w="80" w:type="dxa"/>
              <w:bottom w:w="80" w:type="dxa"/>
              <w:left w:w="120" w:type="dxa"/>
              <w:right w:w="120" w:type="dxa"/>
            </w:tcMar>
            <w:shd w:fill="F8FAFC"/>
          </w:tcPr>
          <w:p>
            <w:r>
              <w:rPr>
                <w:rFonts w:ascii="Calibri" w:hAnsi="Calibri"/>
                <w:color w:val="475569"/>
                <w:sz w:val="19"/>
              </w:rPr>
              <w:t>Number (Required)</w:t>
            </w:r>
          </w:p>
        </w:tc>
        <w:tc>
          <w:tcPr>
            <w:tcW w:type="dxa" w:w="3120"/>
            <w:tcMar>
              <w:top w:w="80" w:type="dxa"/>
              <w:bottom w:w="80" w:type="dxa"/>
              <w:left w:w="120" w:type="dxa"/>
              <w:right w:w="120" w:type="dxa"/>
            </w:tcMar>
            <w:shd w:fill="F8FAFC"/>
          </w:tcPr>
          <w:p>
            <w:r>
              <w:rPr>
                <w:rFonts w:ascii="Calibri" w:hAnsi="Calibri"/>
                <w:color w:val="475569"/>
                <w:sz w:val="19"/>
              </w:rPr>
              <w:t>Current available inventory in units.</w:t>
            </w:r>
          </w:p>
        </w:tc>
      </w:tr>
      <w:tr>
        <w:tc>
          <w:tcPr>
            <w:tcW w:type="dxa" w:w="3120"/>
            <w:tcMar>
              <w:top w:w="80" w:type="dxa"/>
              <w:bottom w:w="80" w:type="dxa"/>
              <w:left w:w="120" w:type="dxa"/>
              <w:right w:w="120" w:type="dxa"/>
            </w:tcMar>
            <w:shd w:fill="FFFFFF"/>
          </w:tcPr>
          <w:p>
            <w:r>
              <w:rPr>
                <w:rFonts w:ascii="Calibri" w:hAnsi="Calibri"/>
                <w:b/>
                <w:color w:val="0F172A"/>
                <w:sz w:val="19"/>
              </w:rPr>
              <w:t>category</w:t>
            </w:r>
          </w:p>
        </w:tc>
        <w:tc>
          <w:tcPr>
            <w:tcW w:type="dxa" w:w="3120"/>
            <w:tcMar>
              <w:top w:w="80" w:type="dxa"/>
              <w:bottom w:w="80" w:type="dxa"/>
              <w:left w:w="120" w:type="dxa"/>
              <w:right w:w="120" w:type="dxa"/>
            </w:tcMar>
            <w:shd w:fill="FFFFFF"/>
          </w:tcPr>
          <w:p>
            <w:r>
              <w:rPr>
                <w:rFonts w:ascii="Calibri" w:hAnsi="Calibri"/>
                <w:color w:val="475569"/>
                <w:sz w:val="19"/>
              </w:rPr>
              <w:t>String</w:t>
            </w:r>
          </w:p>
        </w:tc>
        <w:tc>
          <w:tcPr>
            <w:tcW w:type="dxa" w:w="3120"/>
            <w:tcMar>
              <w:top w:w="80" w:type="dxa"/>
              <w:bottom w:w="80" w:type="dxa"/>
              <w:left w:w="120" w:type="dxa"/>
              <w:right w:w="120" w:type="dxa"/>
            </w:tcMar>
            <w:shd w:fill="FFFFFF"/>
          </w:tcPr>
          <w:p>
            <w:r>
              <w:rPr>
                <w:rFonts w:ascii="Calibri" w:hAnsi="Calibri"/>
                <w:color w:val="475569"/>
                <w:sz w:val="19"/>
              </w:rPr>
              <w:t>Inventory category (e.g. Dairy, Cosmetics, Electronics).</w:t>
            </w:r>
          </w:p>
        </w:tc>
      </w:tr>
      <w:tr>
        <w:tc>
          <w:tcPr>
            <w:tcW w:type="dxa" w:w="3120"/>
            <w:tcMar>
              <w:top w:w="80" w:type="dxa"/>
              <w:bottom w:w="80" w:type="dxa"/>
              <w:left w:w="120" w:type="dxa"/>
              <w:right w:w="120" w:type="dxa"/>
            </w:tcMar>
            <w:shd w:fill="F8FAFC"/>
          </w:tcPr>
          <w:p>
            <w:r>
              <w:rPr>
                <w:rFonts w:ascii="Calibri" w:hAnsi="Calibri"/>
                <w:b/>
                <w:color w:val="0F172A"/>
                <w:sz w:val="19"/>
              </w:rPr>
              <w:t>store_id</w:t>
            </w:r>
          </w:p>
        </w:tc>
        <w:tc>
          <w:tcPr>
            <w:tcW w:type="dxa" w:w="3120"/>
            <w:tcMar>
              <w:top w:w="80" w:type="dxa"/>
              <w:bottom w:w="80" w:type="dxa"/>
              <w:left w:w="120" w:type="dxa"/>
              <w:right w:w="120" w:type="dxa"/>
            </w:tcMar>
            <w:shd w:fill="F8FAFC"/>
          </w:tcPr>
          <w:p>
            <w:r>
              <w:rPr>
                <w:rFonts w:ascii="Calibri" w:hAnsi="Calibri"/>
                <w:color w:val="475569"/>
                <w:sz w:val="19"/>
              </w:rPr>
              <w:t>ObjectId (Ref: Store)</w:t>
            </w:r>
          </w:p>
        </w:tc>
        <w:tc>
          <w:tcPr>
            <w:tcW w:type="dxa" w:w="3120"/>
            <w:tcMar>
              <w:top w:w="80" w:type="dxa"/>
              <w:bottom w:w="80" w:type="dxa"/>
              <w:left w:w="120" w:type="dxa"/>
              <w:right w:w="120" w:type="dxa"/>
            </w:tcMar>
            <w:shd w:fill="F8FAFC"/>
          </w:tcPr>
          <w:p>
            <w:r>
              <w:rPr>
                <w:rFonts w:ascii="Calibri" w:hAnsi="Calibri"/>
                <w:color w:val="475569"/>
                <w:sz w:val="19"/>
              </w:rPr>
              <w:t>Identifies the branch containing this product item.</w:t>
            </w:r>
          </w:p>
        </w:tc>
      </w:tr>
    </w:tbl>
    <w:p>
      <w:pPr>
        <w:spacing w:after="240"/>
      </w:pPr>
    </w:p>
    <w:p>
      <w:pPr>
        <w:pStyle w:val="Heading3"/>
        <w:keepNext/>
        <w:spacing w:before="240" w:after="120"/>
      </w:pPr>
      <w:r>
        <w:rPr>
          <w:rFonts w:ascii="Calibri" w:hAnsi="Calibri"/>
          <w:b/>
          <w:color w:val="10B981"/>
          <w:sz w:val="24"/>
        </w:rPr>
        <w:t>4.3 Purchase Order Schema (`PurchaseOrder.js`)</w:t>
      </w:r>
    </w:p>
    <w:tbl>
      <w:tblPr>
        <w:tblW w:type="auto" w:w="0"/>
        <w:jc w:val="center"/>
        <w:tblLook w:firstColumn="1" w:firstRow="1" w:lastColumn="0" w:lastRow="0" w:noHBand="0" w:noVBand="1" w:val="04A0"/>
      </w:tblPr>
      <w:tblGrid>
        <w:gridCol w:w="3120"/>
        <w:gridCol w:w="3120"/>
        <w:gridCol w:w="3120"/>
      </w:tblGrid>
      <w:tr>
        <w:tc>
          <w:tcPr>
            <w:tcW w:type="dxa" w:w="3120"/>
            <w:shd w:fill="4F46E5"/>
            <w:tcMar>
              <w:top w:w="120" w:type="dxa"/>
              <w:bottom w:w="120" w:type="dxa"/>
              <w:left w:w="150" w:type="dxa"/>
              <w:right w:w="150" w:type="dxa"/>
            </w:tcMar>
          </w:tcPr>
          <w:p>
            <w:pPr>
              <w:jc w:val="left"/>
            </w:pPr>
            <w:r>
              <w:rPr>
                <w:rFonts w:ascii="Calibri" w:hAnsi="Calibri"/>
                <w:b/>
                <w:color w:val="FFFFFF"/>
                <w:sz w:val="21"/>
              </w:rPr>
              <w:t>Field Name</w:t>
            </w:r>
          </w:p>
        </w:tc>
        <w:tc>
          <w:tcPr>
            <w:tcW w:type="dxa" w:w="3120"/>
            <w:shd w:fill="4F46E5"/>
            <w:tcMar>
              <w:top w:w="120" w:type="dxa"/>
              <w:bottom w:w="120" w:type="dxa"/>
              <w:left w:w="150" w:type="dxa"/>
              <w:right w:w="150" w:type="dxa"/>
            </w:tcMar>
          </w:tcPr>
          <w:p>
            <w:pPr>
              <w:jc w:val="left"/>
            </w:pPr>
            <w:r>
              <w:rPr>
                <w:rFonts w:ascii="Calibri" w:hAnsi="Calibri"/>
                <w:b/>
                <w:color w:val="FFFFFF"/>
                <w:sz w:val="21"/>
              </w:rPr>
              <w:t>Data Type</w:t>
            </w:r>
          </w:p>
        </w:tc>
        <w:tc>
          <w:tcPr>
            <w:tcW w:type="dxa" w:w="3120"/>
            <w:shd w:fill="4F46E5"/>
            <w:tcMar>
              <w:top w:w="120" w:type="dxa"/>
              <w:bottom w:w="120" w:type="dxa"/>
              <w:left w:w="150" w:type="dxa"/>
              <w:right w:w="150" w:type="dxa"/>
            </w:tcMar>
          </w:tcPr>
          <w:p>
            <w:pPr>
              <w:jc w:val="left"/>
            </w:pPr>
            <w:r>
              <w:rPr>
                <w:rFonts w:ascii="Calibri" w:hAnsi="Calibri"/>
                <w:b/>
                <w:color w:val="FFFFFF"/>
                <w:sz w:val="21"/>
              </w:rPr>
              <w:t>Description / Constraints</w:t>
            </w:r>
          </w:p>
        </w:tc>
      </w:tr>
      <w:tr>
        <w:tc>
          <w:tcPr>
            <w:tcW w:type="dxa" w:w="3120"/>
            <w:tcMar>
              <w:top w:w="80" w:type="dxa"/>
              <w:bottom w:w="80" w:type="dxa"/>
              <w:left w:w="120" w:type="dxa"/>
              <w:right w:w="120" w:type="dxa"/>
            </w:tcMar>
            <w:shd w:fill="F8FAFC"/>
          </w:tcPr>
          <w:p>
            <w:r>
              <w:rPr>
                <w:rFonts w:ascii="Calibri" w:hAnsi="Calibri"/>
                <w:b/>
                <w:color w:val="0F172A"/>
                <w:sz w:val="19"/>
              </w:rPr>
              <w:t>po_id</w:t>
            </w:r>
          </w:p>
        </w:tc>
        <w:tc>
          <w:tcPr>
            <w:tcW w:type="dxa" w:w="3120"/>
            <w:tcMar>
              <w:top w:w="80" w:type="dxa"/>
              <w:bottom w:w="80" w:type="dxa"/>
              <w:left w:w="120" w:type="dxa"/>
              <w:right w:w="120" w:type="dxa"/>
            </w:tcMar>
            <w:shd w:fill="F8FAFC"/>
          </w:tcPr>
          <w:p>
            <w:r>
              <w:rPr>
                <w:rFonts w:ascii="Calibri" w:hAnsi="Calibri"/>
                <w:color w:val="475569"/>
                <w:sz w:val="19"/>
              </w:rPr>
              <w:t>String (Unique)</w:t>
            </w:r>
          </w:p>
        </w:tc>
        <w:tc>
          <w:tcPr>
            <w:tcW w:type="dxa" w:w="3120"/>
            <w:tcMar>
              <w:top w:w="80" w:type="dxa"/>
              <w:bottom w:w="80" w:type="dxa"/>
              <w:left w:w="120" w:type="dxa"/>
              <w:right w:w="120" w:type="dxa"/>
            </w:tcMar>
            <w:shd w:fill="F8FAFC"/>
          </w:tcPr>
          <w:p>
            <w:r>
              <w:rPr>
                <w:rFonts w:ascii="Calibri" w:hAnsi="Calibri"/>
                <w:color w:val="475569"/>
                <w:sz w:val="19"/>
              </w:rPr>
              <w:t>Autogenerated purchase order reference number.</w:t>
            </w:r>
          </w:p>
        </w:tc>
      </w:tr>
      <w:tr>
        <w:tc>
          <w:tcPr>
            <w:tcW w:type="dxa" w:w="3120"/>
            <w:tcMar>
              <w:top w:w="80" w:type="dxa"/>
              <w:bottom w:w="80" w:type="dxa"/>
              <w:left w:w="120" w:type="dxa"/>
              <w:right w:w="120" w:type="dxa"/>
            </w:tcMar>
            <w:shd w:fill="FFFFFF"/>
          </w:tcPr>
          <w:p>
            <w:r>
              <w:rPr>
                <w:rFonts w:ascii="Calibri" w:hAnsi="Calibri"/>
                <w:b/>
                <w:color w:val="0F172A"/>
                <w:sz w:val="19"/>
              </w:rPr>
              <w:t>store_id</w:t>
            </w:r>
          </w:p>
        </w:tc>
        <w:tc>
          <w:tcPr>
            <w:tcW w:type="dxa" w:w="3120"/>
            <w:tcMar>
              <w:top w:w="80" w:type="dxa"/>
              <w:bottom w:w="80" w:type="dxa"/>
              <w:left w:w="120" w:type="dxa"/>
              <w:right w:w="120" w:type="dxa"/>
            </w:tcMar>
            <w:shd w:fill="FFFFFF"/>
          </w:tcPr>
          <w:p>
            <w:r>
              <w:rPr>
                <w:rFonts w:ascii="Calibri" w:hAnsi="Calibri"/>
                <w:color w:val="475569"/>
                <w:sz w:val="19"/>
              </w:rPr>
              <w:t>ObjectId (Ref: Store)</w:t>
            </w:r>
          </w:p>
        </w:tc>
        <w:tc>
          <w:tcPr>
            <w:tcW w:type="dxa" w:w="3120"/>
            <w:tcMar>
              <w:top w:w="80" w:type="dxa"/>
              <w:bottom w:w="80" w:type="dxa"/>
              <w:left w:w="120" w:type="dxa"/>
              <w:right w:w="120" w:type="dxa"/>
            </w:tcMar>
            <w:shd w:fill="FFFFFF"/>
          </w:tcPr>
          <w:p>
            <w:r>
              <w:rPr>
                <w:rFonts w:ascii="Calibri" w:hAnsi="Calibri"/>
                <w:color w:val="475569"/>
                <w:sz w:val="19"/>
              </w:rPr>
              <w:t>The branch dispatching the purchase request.</w:t>
            </w:r>
          </w:p>
        </w:tc>
      </w:tr>
      <w:tr>
        <w:tc>
          <w:tcPr>
            <w:tcW w:type="dxa" w:w="3120"/>
            <w:tcMar>
              <w:top w:w="80" w:type="dxa"/>
              <w:bottom w:w="80" w:type="dxa"/>
              <w:left w:w="120" w:type="dxa"/>
              <w:right w:w="120" w:type="dxa"/>
            </w:tcMar>
            <w:shd w:fill="F8FAFC"/>
          </w:tcPr>
          <w:p>
            <w:r>
              <w:rPr>
                <w:rFonts w:ascii="Calibri" w:hAnsi="Calibri"/>
                <w:b/>
                <w:color w:val="0F172A"/>
                <w:sz w:val="19"/>
              </w:rPr>
              <w:t>supplier_id</w:t>
            </w:r>
          </w:p>
        </w:tc>
        <w:tc>
          <w:tcPr>
            <w:tcW w:type="dxa" w:w="3120"/>
            <w:tcMar>
              <w:top w:w="80" w:type="dxa"/>
              <w:bottom w:w="80" w:type="dxa"/>
              <w:left w:w="120" w:type="dxa"/>
              <w:right w:w="120" w:type="dxa"/>
            </w:tcMar>
            <w:shd w:fill="F8FAFC"/>
          </w:tcPr>
          <w:p>
            <w:r>
              <w:rPr>
                <w:rFonts w:ascii="Calibri" w:hAnsi="Calibri"/>
                <w:color w:val="475569"/>
                <w:sz w:val="19"/>
              </w:rPr>
              <w:t>ObjectId (Ref: Supplier)</w:t>
            </w:r>
          </w:p>
        </w:tc>
        <w:tc>
          <w:tcPr>
            <w:tcW w:type="dxa" w:w="3120"/>
            <w:tcMar>
              <w:top w:w="80" w:type="dxa"/>
              <w:bottom w:w="80" w:type="dxa"/>
              <w:left w:w="120" w:type="dxa"/>
              <w:right w:w="120" w:type="dxa"/>
            </w:tcMar>
            <w:shd w:fill="F8FAFC"/>
          </w:tcPr>
          <w:p>
            <w:r>
              <w:rPr>
                <w:rFonts w:ascii="Calibri" w:hAnsi="Calibri"/>
                <w:color w:val="475569"/>
                <w:sz w:val="19"/>
              </w:rPr>
              <w:t>The target wholesale vendor.</w:t>
            </w:r>
          </w:p>
        </w:tc>
      </w:tr>
      <w:tr>
        <w:tc>
          <w:tcPr>
            <w:tcW w:type="dxa" w:w="3120"/>
            <w:tcMar>
              <w:top w:w="80" w:type="dxa"/>
              <w:bottom w:w="80" w:type="dxa"/>
              <w:left w:w="120" w:type="dxa"/>
              <w:right w:w="120" w:type="dxa"/>
            </w:tcMar>
            <w:shd w:fill="FFFFFF"/>
          </w:tcPr>
          <w:p>
            <w:r>
              <w:rPr>
                <w:rFonts w:ascii="Calibri" w:hAnsi="Calibri"/>
                <w:b/>
                <w:color w:val="0F172A"/>
                <w:sz w:val="19"/>
              </w:rPr>
              <w:t>items</w:t>
            </w:r>
          </w:p>
        </w:tc>
        <w:tc>
          <w:tcPr>
            <w:tcW w:type="dxa" w:w="3120"/>
            <w:tcMar>
              <w:top w:w="80" w:type="dxa"/>
              <w:bottom w:w="80" w:type="dxa"/>
              <w:left w:w="120" w:type="dxa"/>
              <w:right w:w="120" w:type="dxa"/>
            </w:tcMar>
            <w:shd w:fill="FFFFFF"/>
          </w:tcPr>
          <w:p>
            <w:r>
              <w:rPr>
                <w:rFonts w:ascii="Calibri" w:hAnsi="Calibri"/>
                <w:color w:val="475569"/>
                <w:sz w:val="19"/>
              </w:rPr>
              <w:t>Array of Objects</w:t>
            </w:r>
          </w:p>
        </w:tc>
        <w:tc>
          <w:tcPr>
            <w:tcW w:type="dxa" w:w="3120"/>
            <w:tcMar>
              <w:top w:w="80" w:type="dxa"/>
              <w:bottom w:w="80" w:type="dxa"/>
              <w:left w:w="120" w:type="dxa"/>
              <w:right w:w="120" w:type="dxa"/>
            </w:tcMar>
            <w:shd w:fill="FFFFFF"/>
          </w:tcPr>
          <w:p>
            <w:r>
              <w:rPr>
                <w:rFonts w:ascii="Calibri" w:hAnsi="Calibri"/>
                <w:color w:val="475569"/>
                <w:sz w:val="19"/>
              </w:rPr>
              <w:t>Contains product details, quantities, and locked wholesale unit prices.</w:t>
            </w:r>
          </w:p>
        </w:tc>
      </w:tr>
      <w:tr>
        <w:tc>
          <w:tcPr>
            <w:tcW w:type="dxa" w:w="3120"/>
            <w:tcMar>
              <w:top w:w="80" w:type="dxa"/>
              <w:bottom w:w="80" w:type="dxa"/>
              <w:left w:w="120" w:type="dxa"/>
              <w:right w:w="120" w:type="dxa"/>
            </w:tcMar>
            <w:shd w:fill="F8FAFC"/>
          </w:tcPr>
          <w:p>
            <w:r>
              <w:rPr>
                <w:rFonts w:ascii="Calibri" w:hAnsi="Calibri"/>
                <w:b/>
                <w:color w:val="0F172A"/>
                <w:sz w:val="19"/>
              </w:rPr>
              <w:t>totalAmount</w:t>
            </w:r>
          </w:p>
        </w:tc>
        <w:tc>
          <w:tcPr>
            <w:tcW w:type="dxa" w:w="3120"/>
            <w:tcMar>
              <w:top w:w="80" w:type="dxa"/>
              <w:bottom w:w="80" w:type="dxa"/>
              <w:left w:w="120" w:type="dxa"/>
              <w:right w:w="120" w:type="dxa"/>
            </w:tcMar>
            <w:shd w:fill="F8FAFC"/>
          </w:tcPr>
          <w:p>
            <w:r>
              <w:rPr>
                <w:rFonts w:ascii="Calibri" w:hAnsi="Calibri"/>
                <w:color w:val="475569"/>
                <w:sz w:val="19"/>
              </w:rPr>
              <w:t>Number</w:t>
            </w:r>
          </w:p>
        </w:tc>
        <w:tc>
          <w:tcPr>
            <w:tcW w:type="dxa" w:w="3120"/>
            <w:tcMar>
              <w:top w:w="80" w:type="dxa"/>
              <w:bottom w:w="80" w:type="dxa"/>
              <w:left w:w="120" w:type="dxa"/>
              <w:right w:w="120" w:type="dxa"/>
            </w:tcMar>
            <w:shd w:fill="F8FAFC"/>
          </w:tcPr>
          <w:p>
            <w:r>
              <w:rPr>
                <w:rFonts w:ascii="Calibri" w:hAnsi="Calibri"/>
                <w:color w:val="475569"/>
                <w:sz w:val="19"/>
              </w:rPr>
              <w:t>Sum total value of the B2B purchase.</w:t>
            </w:r>
          </w:p>
        </w:tc>
      </w:tr>
      <w:tr>
        <w:tc>
          <w:tcPr>
            <w:tcW w:type="dxa" w:w="3120"/>
            <w:tcMar>
              <w:top w:w="80" w:type="dxa"/>
              <w:bottom w:w="80" w:type="dxa"/>
              <w:left w:w="120" w:type="dxa"/>
              <w:right w:w="120" w:type="dxa"/>
            </w:tcMar>
            <w:shd w:fill="FFFFFF"/>
          </w:tcPr>
          <w:p>
            <w:r>
              <w:rPr>
                <w:rFonts w:ascii="Calibri" w:hAnsi="Calibri"/>
                <w:b/>
                <w:color w:val="0F172A"/>
                <w:sz w:val="19"/>
              </w:rPr>
              <w:t>status</w:t>
            </w:r>
          </w:p>
        </w:tc>
        <w:tc>
          <w:tcPr>
            <w:tcW w:type="dxa" w:w="3120"/>
            <w:tcMar>
              <w:top w:w="80" w:type="dxa"/>
              <w:bottom w:w="80" w:type="dxa"/>
              <w:left w:w="120" w:type="dxa"/>
              <w:right w:w="120" w:type="dxa"/>
            </w:tcMar>
            <w:shd w:fill="FFFFFF"/>
          </w:tcPr>
          <w:p>
            <w:r>
              <w:rPr>
                <w:rFonts w:ascii="Calibri" w:hAnsi="Calibri"/>
                <w:color w:val="475569"/>
                <w:sz w:val="19"/>
              </w:rPr>
              <w:t>String</w:t>
            </w:r>
          </w:p>
        </w:tc>
        <w:tc>
          <w:tcPr>
            <w:tcW w:type="dxa" w:w="3120"/>
            <w:tcMar>
              <w:top w:w="80" w:type="dxa"/>
              <w:bottom w:w="80" w:type="dxa"/>
              <w:left w:w="120" w:type="dxa"/>
              <w:right w:w="120" w:type="dxa"/>
            </w:tcMar>
            <w:shd w:fill="FFFFFF"/>
          </w:tcPr>
          <w:p>
            <w:r>
              <w:rPr>
                <w:rFonts w:ascii="Calibri" w:hAnsi="Calibri"/>
                <w:color w:val="475569"/>
                <w:sz w:val="19"/>
              </w:rPr>
              <w:t>Enum: ['pending', 'accepted', 'rejected', 'delivered'].</w:t>
            </w:r>
          </w:p>
        </w:tc>
      </w:tr>
      <w:tr>
        <w:tc>
          <w:tcPr>
            <w:tcW w:type="dxa" w:w="3120"/>
            <w:tcMar>
              <w:top w:w="80" w:type="dxa"/>
              <w:bottom w:w="80" w:type="dxa"/>
              <w:left w:w="120" w:type="dxa"/>
              <w:right w:w="120" w:type="dxa"/>
            </w:tcMar>
            <w:shd w:fill="F8FAFC"/>
          </w:tcPr>
          <w:p>
            <w:r>
              <w:rPr>
                <w:rFonts w:ascii="Calibri" w:hAnsi="Calibri"/>
                <w:b/>
                <w:color w:val="0F172A"/>
                <w:sz w:val="19"/>
              </w:rPr>
              <w:t>expectedDeliveryDate</w:t>
            </w:r>
          </w:p>
        </w:tc>
        <w:tc>
          <w:tcPr>
            <w:tcW w:type="dxa" w:w="3120"/>
            <w:tcMar>
              <w:top w:w="80" w:type="dxa"/>
              <w:bottom w:w="80" w:type="dxa"/>
              <w:left w:w="120" w:type="dxa"/>
              <w:right w:w="120" w:type="dxa"/>
            </w:tcMar>
            <w:shd w:fill="F8FAFC"/>
          </w:tcPr>
          <w:p>
            <w:r>
              <w:rPr>
                <w:rFonts w:ascii="Calibri" w:hAnsi="Calibri"/>
                <w:color w:val="475569"/>
                <w:sz w:val="19"/>
              </w:rPr>
              <w:t>Date</w:t>
            </w:r>
          </w:p>
        </w:tc>
        <w:tc>
          <w:tcPr>
            <w:tcW w:type="dxa" w:w="3120"/>
            <w:tcMar>
              <w:top w:w="80" w:type="dxa"/>
              <w:bottom w:w="80" w:type="dxa"/>
              <w:left w:w="120" w:type="dxa"/>
              <w:right w:w="120" w:type="dxa"/>
            </w:tcMar>
            <w:shd w:fill="F8FAFC"/>
          </w:tcPr>
          <w:p>
            <w:r>
              <w:rPr>
                <w:rFonts w:ascii="Calibri" w:hAnsi="Calibri"/>
                <w:color w:val="475569"/>
                <w:sz w:val="19"/>
              </w:rPr>
              <w:t>Proposed arrival date entered by supplier.</w:t>
            </w:r>
          </w:p>
        </w:tc>
      </w:tr>
      <w:tr>
        <w:tc>
          <w:tcPr>
            <w:tcW w:type="dxa" w:w="3120"/>
            <w:tcMar>
              <w:top w:w="80" w:type="dxa"/>
              <w:bottom w:w="80" w:type="dxa"/>
              <w:left w:w="120" w:type="dxa"/>
              <w:right w:w="120" w:type="dxa"/>
            </w:tcMar>
            <w:shd w:fill="FFFFFF"/>
          </w:tcPr>
          <w:p>
            <w:r>
              <w:rPr>
                <w:rFonts w:ascii="Calibri" w:hAnsi="Calibri"/>
                <w:b/>
                <w:color w:val="0F172A"/>
                <w:sz w:val="19"/>
              </w:rPr>
              <w:t>responseNotes</w:t>
            </w:r>
          </w:p>
        </w:tc>
        <w:tc>
          <w:tcPr>
            <w:tcW w:type="dxa" w:w="3120"/>
            <w:tcMar>
              <w:top w:w="80" w:type="dxa"/>
              <w:bottom w:w="80" w:type="dxa"/>
              <w:left w:w="120" w:type="dxa"/>
              <w:right w:w="120" w:type="dxa"/>
            </w:tcMar>
            <w:shd w:fill="FFFFFF"/>
          </w:tcPr>
          <w:p>
            <w:r>
              <w:rPr>
                <w:rFonts w:ascii="Calibri" w:hAnsi="Calibri"/>
                <w:color w:val="475569"/>
                <w:sz w:val="19"/>
              </w:rPr>
              <w:t>String</w:t>
            </w:r>
          </w:p>
        </w:tc>
        <w:tc>
          <w:tcPr>
            <w:tcW w:type="dxa" w:w="3120"/>
            <w:tcMar>
              <w:top w:w="80" w:type="dxa"/>
              <w:bottom w:w="80" w:type="dxa"/>
              <w:left w:w="120" w:type="dxa"/>
              <w:right w:w="120" w:type="dxa"/>
            </w:tcMar>
            <w:shd w:fill="FFFFFF"/>
          </w:tcPr>
          <w:p>
            <w:r>
              <w:rPr>
                <w:rFonts w:ascii="Calibri" w:hAnsi="Calibri"/>
                <w:color w:val="475569"/>
                <w:sz w:val="19"/>
              </w:rPr>
              <w:t>Acceptance notes or rejection reasons returned by supplier.</w:t>
            </w:r>
          </w:p>
        </w:tc>
      </w:tr>
    </w:tbl>
    <w:p>
      <w:pPr>
        <w:spacing w:after="240"/>
      </w:pPr>
    </w:p>
    <w:p>
      <w:pPr>
        <w:pStyle w:val="Heading3"/>
        <w:keepNext/>
        <w:spacing w:before="240" w:after="120"/>
      </w:pPr>
      <w:r>
        <w:rPr>
          <w:rFonts w:ascii="Calibri" w:hAnsi="Calibri"/>
          <w:b/>
          <w:color w:val="10B981"/>
          <w:sz w:val="24"/>
        </w:rPr>
        <w:t>4.4 Invoice Schema (`Invoice.js`)</w:t>
      </w:r>
    </w:p>
    <w:tbl>
      <w:tblPr>
        <w:tblW w:type="auto" w:w="0"/>
        <w:jc w:val="center"/>
        <w:tblLook w:firstColumn="1" w:firstRow="1" w:lastColumn="0" w:lastRow="0" w:noHBand="0" w:noVBand="1" w:val="04A0"/>
      </w:tblPr>
      <w:tblGrid>
        <w:gridCol w:w="3120"/>
        <w:gridCol w:w="3120"/>
        <w:gridCol w:w="3120"/>
      </w:tblGrid>
      <w:tr>
        <w:tc>
          <w:tcPr>
            <w:tcW w:type="dxa" w:w="3120"/>
            <w:shd w:fill="4F46E5"/>
            <w:tcMar>
              <w:top w:w="120" w:type="dxa"/>
              <w:bottom w:w="120" w:type="dxa"/>
              <w:left w:w="150" w:type="dxa"/>
              <w:right w:w="150" w:type="dxa"/>
            </w:tcMar>
          </w:tcPr>
          <w:p>
            <w:pPr>
              <w:jc w:val="left"/>
            </w:pPr>
            <w:r>
              <w:rPr>
                <w:rFonts w:ascii="Calibri" w:hAnsi="Calibri"/>
                <w:b/>
                <w:color w:val="FFFFFF"/>
                <w:sz w:val="21"/>
              </w:rPr>
              <w:t>Field Name</w:t>
            </w:r>
          </w:p>
        </w:tc>
        <w:tc>
          <w:tcPr>
            <w:tcW w:type="dxa" w:w="3120"/>
            <w:shd w:fill="4F46E5"/>
            <w:tcMar>
              <w:top w:w="120" w:type="dxa"/>
              <w:bottom w:w="120" w:type="dxa"/>
              <w:left w:w="150" w:type="dxa"/>
              <w:right w:w="150" w:type="dxa"/>
            </w:tcMar>
          </w:tcPr>
          <w:p>
            <w:pPr>
              <w:jc w:val="left"/>
            </w:pPr>
            <w:r>
              <w:rPr>
                <w:rFonts w:ascii="Calibri" w:hAnsi="Calibri"/>
                <w:b/>
                <w:color w:val="FFFFFF"/>
                <w:sz w:val="21"/>
              </w:rPr>
              <w:t>Data Type</w:t>
            </w:r>
          </w:p>
        </w:tc>
        <w:tc>
          <w:tcPr>
            <w:tcW w:type="dxa" w:w="3120"/>
            <w:shd w:fill="4F46E5"/>
            <w:tcMar>
              <w:top w:w="120" w:type="dxa"/>
              <w:bottom w:w="120" w:type="dxa"/>
              <w:left w:w="150" w:type="dxa"/>
              <w:right w:w="150" w:type="dxa"/>
            </w:tcMar>
          </w:tcPr>
          <w:p>
            <w:pPr>
              <w:jc w:val="left"/>
            </w:pPr>
            <w:r>
              <w:rPr>
                <w:rFonts w:ascii="Calibri" w:hAnsi="Calibri"/>
                <w:b/>
                <w:color w:val="FFFFFF"/>
                <w:sz w:val="21"/>
              </w:rPr>
              <w:t>Description / Constraints</w:t>
            </w:r>
          </w:p>
        </w:tc>
      </w:tr>
      <w:tr>
        <w:tc>
          <w:tcPr>
            <w:tcW w:type="dxa" w:w="3120"/>
            <w:tcMar>
              <w:top w:w="80" w:type="dxa"/>
              <w:bottom w:w="80" w:type="dxa"/>
              <w:left w:w="120" w:type="dxa"/>
              <w:right w:w="120" w:type="dxa"/>
            </w:tcMar>
            <w:shd w:fill="F8FAFC"/>
          </w:tcPr>
          <w:p>
            <w:r>
              <w:rPr>
                <w:rFonts w:ascii="Calibri" w:hAnsi="Calibri"/>
                <w:b/>
                <w:color w:val="0F172A"/>
                <w:sz w:val="19"/>
              </w:rPr>
              <w:t>invoice_id</w:t>
            </w:r>
          </w:p>
        </w:tc>
        <w:tc>
          <w:tcPr>
            <w:tcW w:type="dxa" w:w="3120"/>
            <w:tcMar>
              <w:top w:w="80" w:type="dxa"/>
              <w:bottom w:w="80" w:type="dxa"/>
              <w:left w:w="120" w:type="dxa"/>
              <w:right w:w="120" w:type="dxa"/>
            </w:tcMar>
            <w:shd w:fill="F8FAFC"/>
          </w:tcPr>
          <w:p>
            <w:r>
              <w:rPr>
                <w:rFonts w:ascii="Calibri" w:hAnsi="Calibri"/>
                <w:color w:val="475569"/>
                <w:sz w:val="19"/>
              </w:rPr>
              <w:t>String (Unique)</w:t>
            </w:r>
          </w:p>
        </w:tc>
        <w:tc>
          <w:tcPr>
            <w:tcW w:type="dxa" w:w="3120"/>
            <w:tcMar>
              <w:top w:w="80" w:type="dxa"/>
              <w:bottom w:w="80" w:type="dxa"/>
              <w:left w:w="120" w:type="dxa"/>
              <w:right w:w="120" w:type="dxa"/>
            </w:tcMar>
            <w:shd w:fill="F8FAFC"/>
          </w:tcPr>
          <w:p>
            <w:r>
              <w:rPr>
                <w:rFonts w:ascii="Calibri" w:hAnsi="Calibri"/>
                <w:color w:val="475569"/>
                <w:sz w:val="19"/>
              </w:rPr>
              <w:t>System invoice code prefixed with INV-.</w:t>
            </w:r>
          </w:p>
        </w:tc>
      </w:tr>
      <w:tr>
        <w:tc>
          <w:tcPr>
            <w:tcW w:type="dxa" w:w="3120"/>
            <w:tcMar>
              <w:top w:w="80" w:type="dxa"/>
              <w:bottom w:w="80" w:type="dxa"/>
              <w:left w:w="120" w:type="dxa"/>
              <w:right w:w="120" w:type="dxa"/>
            </w:tcMar>
            <w:shd w:fill="FFFFFF"/>
          </w:tcPr>
          <w:p>
            <w:r>
              <w:rPr>
                <w:rFonts w:ascii="Calibri" w:hAnsi="Calibri"/>
                <w:b/>
                <w:color w:val="0F172A"/>
                <w:sz w:val="19"/>
              </w:rPr>
              <w:t>sale_id</w:t>
            </w:r>
          </w:p>
        </w:tc>
        <w:tc>
          <w:tcPr>
            <w:tcW w:type="dxa" w:w="3120"/>
            <w:tcMar>
              <w:top w:w="80" w:type="dxa"/>
              <w:bottom w:w="80" w:type="dxa"/>
              <w:left w:w="120" w:type="dxa"/>
              <w:right w:w="120" w:type="dxa"/>
            </w:tcMar>
            <w:shd w:fill="FFFFFF"/>
          </w:tcPr>
          <w:p>
            <w:r>
              <w:rPr>
                <w:rFonts w:ascii="Calibri" w:hAnsi="Calibri"/>
                <w:color w:val="475569"/>
                <w:sz w:val="19"/>
              </w:rPr>
              <w:t>ObjectId (Ref: Sale)</w:t>
            </w:r>
          </w:p>
        </w:tc>
        <w:tc>
          <w:tcPr>
            <w:tcW w:type="dxa" w:w="3120"/>
            <w:tcMar>
              <w:top w:w="80" w:type="dxa"/>
              <w:bottom w:w="80" w:type="dxa"/>
              <w:left w:w="120" w:type="dxa"/>
              <w:right w:w="120" w:type="dxa"/>
            </w:tcMar>
            <w:shd w:fill="FFFFFF"/>
          </w:tcPr>
          <w:p>
            <w:r>
              <w:rPr>
                <w:rFonts w:ascii="Calibri" w:hAnsi="Calibri"/>
                <w:color w:val="475569"/>
                <w:sz w:val="19"/>
              </w:rPr>
              <w:t>Reference to the completed sales receipt.</w:t>
            </w:r>
          </w:p>
        </w:tc>
      </w:tr>
      <w:tr>
        <w:tc>
          <w:tcPr>
            <w:tcW w:type="dxa" w:w="3120"/>
            <w:tcMar>
              <w:top w:w="80" w:type="dxa"/>
              <w:bottom w:w="80" w:type="dxa"/>
              <w:left w:w="120" w:type="dxa"/>
              <w:right w:w="120" w:type="dxa"/>
            </w:tcMar>
            <w:shd w:fill="F8FAFC"/>
          </w:tcPr>
          <w:p>
            <w:r>
              <w:rPr>
                <w:rFonts w:ascii="Calibri" w:hAnsi="Calibri"/>
                <w:b/>
                <w:color w:val="0F172A"/>
                <w:sz w:val="19"/>
              </w:rPr>
              <w:t>customer_email</w:t>
            </w:r>
          </w:p>
        </w:tc>
        <w:tc>
          <w:tcPr>
            <w:tcW w:type="dxa" w:w="3120"/>
            <w:tcMar>
              <w:top w:w="80" w:type="dxa"/>
              <w:bottom w:w="80" w:type="dxa"/>
              <w:left w:w="120" w:type="dxa"/>
              <w:right w:w="120" w:type="dxa"/>
            </w:tcMar>
            <w:shd w:fill="F8FAFC"/>
          </w:tcPr>
          <w:p>
            <w:r>
              <w:rPr>
                <w:rFonts w:ascii="Calibri" w:hAnsi="Calibri"/>
                <w:color w:val="475569"/>
                <w:sz w:val="19"/>
              </w:rPr>
              <w:t>String</w:t>
            </w:r>
          </w:p>
        </w:tc>
        <w:tc>
          <w:tcPr>
            <w:tcW w:type="dxa" w:w="3120"/>
            <w:tcMar>
              <w:top w:w="80" w:type="dxa"/>
              <w:bottom w:w="80" w:type="dxa"/>
              <w:left w:w="120" w:type="dxa"/>
              <w:right w:w="120" w:type="dxa"/>
            </w:tcMar>
            <w:shd w:fill="F8FAFC"/>
          </w:tcPr>
          <w:p>
            <w:r>
              <w:rPr>
                <w:rFonts w:ascii="Calibri" w:hAnsi="Calibri"/>
                <w:color w:val="475569"/>
                <w:sz w:val="19"/>
              </w:rPr>
              <w:t>The destination email address for invoice delivery.</w:t>
            </w:r>
          </w:p>
        </w:tc>
      </w:tr>
      <w:tr>
        <w:tc>
          <w:tcPr>
            <w:tcW w:type="dxa" w:w="3120"/>
            <w:tcMar>
              <w:top w:w="80" w:type="dxa"/>
              <w:bottom w:w="80" w:type="dxa"/>
              <w:left w:w="120" w:type="dxa"/>
              <w:right w:w="120" w:type="dxa"/>
            </w:tcMar>
            <w:shd w:fill="FFFFFF"/>
          </w:tcPr>
          <w:p>
            <w:r>
              <w:rPr>
                <w:rFonts w:ascii="Calibri" w:hAnsi="Calibri"/>
                <w:b/>
                <w:color w:val="0F172A"/>
                <w:sz w:val="19"/>
              </w:rPr>
              <w:t>customer_mobile</w:t>
            </w:r>
          </w:p>
        </w:tc>
        <w:tc>
          <w:tcPr>
            <w:tcW w:type="dxa" w:w="3120"/>
            <w:tcMar>
              <w:top w:w="80" w:type="dxa"/>
              <w:bottom w:w="80" w:type="dxa"/>
              <w:left w:w="120" w:type="dxa"/>
              <w:right w:w="120" w:type="dxa"/>
            </w:tcMar>
            <w:shd w:fill="FFFFFF"/>
          </w:tcPr>
          <w:p>
            <w:r>
              <w:rPr>
                <w:rFonts w:ascii="Calibri" w:hAnsi="Calibri"/>
                <w:color w:val="475569"/>
                <w:sz w:val="19"/>
              </w:rPr>
              <w:t>String</w:t>
            </w:r>
          </w:p>
        </w:tc>
        <w:tc>
          <w:tcPr>
            <w:tcW w:type="dxa" w:w="3120"/>
            <w:tcMar>
              <w:top w:w="80" w:type="dxa"/>
              <w:bottom w:w="80" w:type="dxa"/>
              <w:left w:w="120" w:type="dxa"/>
              <w:right w:w="120" w:type="dxa"/>
            </w:tcMar>
            <w:shd w:fill="FFFFFF"/>
          </w:tcPr>
          <w:p>
            <w:r>
              <w:rPr>
                <w:rFonts w:ascii="Calibri" w:hAnsi="Calibri"/>
                <w:color w:val="475569"/>
                <w:sz w:val="19"/>
              </w:rPr>
              <w:t>Customer's contact phone number.</w:t>
            </w:r>
          </w:p>
        </w:tc>
      </w:tr>
      <w:tr>
        <w:tc>
          <w:tcPr>
            <w:tcW w:type="dxa" w:w="3120"/>
            <w:tcMar>
              <w:top w:w="80" w:type="dxa"/>
              <w:bottom w:w="80" w:type="dxa"/>
              <w:left w:w="120" w:type="dxa"/>
              <w:right w:w="120" w:type="dxa"/>
            </w:tcMar>
            <w:shd w:fill="F8FAFC"/>
          </w:tcPr>
          <w:p>
            <w:r>
              <w:rPr>
                <w:rFonts w:ascii="Calibri" w:hAnsi="Calibri"/>
                <w:b/>
                <w:color w:val="0F172A"/>
                <w:sz w:val="19"/>
              </w:rPr>
              <w:t>invoiceUrl</w:t>
            </w:r>
          </w:p>
        </w:tc>
        <w:tc>
          <w:tcPr>
            <w:tcW w:type="dxa" w:w="3120"/>
            <w:tcMar>
              <w:top w:w="80" w:type="dxa"/>
              <w:bottom w:w="80" w:type="dxa"/>
              <w:left w:w="120" w:type="dxa"/>
              <w:right w:w="120" w:type="dxa"/>
            </w:tcMar>
            <w:shd w:fill="F8FAFC"/>
          </w:tcPr>
          <w:p>
            <w:r>
              <w:rPr>
                <w:rFonts w:ascii="Calibri" w:hAnsi="Calibri"/>
                <w:color w:val="475569"/>
                <w:sz w:val="19"/>
              </w:rPr>
              <w:t>String</w:t>
            </w:r>
          </w:p>
        </w:tc>
        <w:tc>
          <w:tcPr>
            <w:tcW w:type="dxa" w:w="3120"/>
            <w:tcMar>
              <w:top w:w="80" w:type="dxa"/>
              <w:bottom w:w="80" w:type="dxa"/>
              <w:left w:w="120" w:type="dxa"/>
              <w:right w:w="120" w:type="dxa"/>
            </w:tcMar>
            <w:shd w:fill="F8FAFC"/>
          </w:tcPr>
          <w:p>
            <w:r>
              <w:rPr>
                <w:rFonts w:ascii="Calibri" w:hAnsi="Calibri"/>
                <w:color w:val="475569"/>
                <w:sz w:val="19"/>
              </w:rPr>
              <w:t>Path to the generated static invoice PDF file.</w:t>
            </w:r>
          </w:p>
        </w:tc>
      </w:tr>
      <w:tr>
        <w:tc>
          <w:tcPr>
            <w:tcW w:type="dxa" w:w="3120"/>
            <w:tcMar>
              <w:top w:w="80" w:type="dxa"/>
              <w:bottom w:w="80" w:type="dxa"/>
              <w:left w:w="120" w:type="dxa"/>
              <w:right w:w="120" w:type="dxa"/>
            </w:tcMar>
            <w:shd w:fill="FFFFFF"/>
          </w:tcPr>
          <w:p>
            <w:r>
              <w:rPr>
                <w:rFonts w:ascii="Calibri" w:hAnsi="Calibri"/>
                <w:b/>
                <w:color w:val="0F172A"/>
                <w:sz w:val="19"/>
              </w:rPr>
              <w:t>date</w:t>
            </w:r>
          </w:p>
        </w:tc>
        <w:tc>
          <w:tcPr>
            <w:tcW w:type="dxa" w:w="3120"/>
            <w:tcMar>
              <w:top w:w="80" w:type="dxa"/>
              <w:bottom w:w="80" w:type="dxa"/>
              <w:left w:w="120" w:type="dxa"/>
              <w:right w:w="120" w:type="dxa"/>
            </w:tcMar>
            <w:shd w:fill="FFFFFF"/>
          </w:tcPr>
          <w:p>
            <w:r>
              <w:rPr>
                <w:rFonts w:ascii="Calibri" w:hAnsi="Calibri"/>
                <w:color w:val="475569"/>
                <w:sz w:val="19"/>
              </w:rPr>
              <w:t>Date</w:t>
            </w:r>
          </w:p>
        </w:tc>
        <w:tc>
          <w:tcPr>
            <w:tcW w:type="dxa" w:w="3120"/>
            <w:tcMar>
              <w:top w:w="80" w:type="dxa"/>
              <w:bottom w:w="80" w:type="dxa"/>
              <w:left w:w="120" w:type="dxa"/>
              <w:right w:w="120" w:type="dxa"/>
            </w:tcMar>
            <w:shd w:fill="FFFFFF"/>
          </w:tcPr>
          <w:p>
            <w:r>
              <w:rPr>
                <w:rFonts w:ascii="Calibri" w:hAnsi="Calibri"/>
                <w:color w:val="475569"/>
                <w:sz w:val="19"/>
              </w:rPr>
              <w:t>Timestamp of invoice creation.</w:t>
            </w:r>
          </w:p>
        </w:tc>
      </w:tr>
    </w:tbl>
    <w:p>
      <w:pPr>
        <w:spacing w:after="240"/>
      </w:pPr>
    </w:p>
    <w:p>
      <w:pPr>
        <w:pStyle w:val="Heading1"/>
        <w:keepNext/>
        <w:spacing w:before="240" w:after="120"/>
      </w:pPr>
      <w:r>
        <w:rPr>
          <w:rFonts w:ascii="Calibri" w:hAnsi="Calibri"/>
          <w:b/>
          <w:color w:val="1E293B"/>
          <w:sz w:val="40"/>
        </w:rPr>
        <w:t>5. Critical Functionality &amp; Detailed Code Walkthroughs</w:t>
      </w:r>
    </w:p>
    <w:p>
      <w:pPr>
        <w:spacing w:after="120" w:line="276" w:lineRule="auto"/>
        <w:jc w:val="left"/>
      </w:pPr>
      <w:r>
        <w:rPr>
          <w:rFonts w:ascii="Calibri" w:hAnsi="Calibri"/>
          <w:b w:val="0"/>
          <w:i w:val="0"/>
          <w:color w:val="334155"/>
          <w:sz w:val="22"/>
        </w:rPr>
        <w:t>This section contains annotated code components showing how the core business logic of Inventrix operates:</w:t>
      </w:r>
    </w:p>
    <w:p>
      <w:pPr>
        <w:pStyle w:val="Heading2"/>
        <w:keepNext/>
        <w:spacing w:before="240" w:after="120"/>
      </w:pPr>
      <w:r>
        <w:rPr>
          <w:rFonts w:ascii="Calibri" w:hAnsi="Calibri"/>
          <w:b/>
          <w:color w:val="4F46E5"/>
          <w:sz w:val="30"/>
        </w:rPr>
        <w:t>5.1 MongoDB Aggregation: Timezone Conversions to Indian Standard Time (IST)</w:t>
      </w:r>
    </w:p>
    <w:p>
      <w:pPr>
        <w:spacing w:after="120" w:line="276" w:lineRule="auto"/>
        <w:jc w:val="left"/>
      </w:pPr>
      <w:r>
        <w:rPr>
          <w:rFonts w:ascii="Calibri" w:hAnsi="Calibri"/>
          <w:b w:val="0"/>
          <w:i w:val="0"/>
          <w:color w:val="334155"/>
          <w:sz w:val="22"/>
        </w:rPr>
        <w:t>By default, MongoDB stores all timestamp objects in UTC format. When extracting hourly sales aggregations (e.g. grouping sales to determine peak shopping hours), grouping by UTC hours would offset results for local users. The system solves this by passing a specific timezone conversion argument directly into the Mongo `$hour` operator:</w:t>
      </w:r>
    </w:p>
    <w:p>
      <w:pPr>
        <w:spacing w:before="120" w:after="120"/>
        <w:ind w:left="360"/>
        <w:pBdr>
          <w:left w:val="single" w:sz="24" w:space="8" w:color="4F46E5"/>
        </w:pBdr>
        <w:shd w:fill="F1F5F9"/>
      </w:pPr>
      <w:r>
        <w:rPr>
          <w:rFonts w:ascii="Consolas" w:hAnsi="Consolas"/>
          <w:color w:val="0F172A"/>
          <w:sz w:val="19"/>
        </w:rPr>
        <w:t>// Excerpt from backend/controllers/salesController.js</w:t>
        <w:br/>
        <w:t>// Aggregates sales grouped by hour, localized to Indian Standard Time (IST)</w:t>
        <w:br/>
        <w:t>const hourlySales = await Sale.aggregate([</w:t>
        <w:br/>
        <w:t xml:space="preserve">    { $match: matchQuery },</w:t>
        <w:br/>
        <w:t xml:space="preserve">    {</w:t>
        <w:br/>
        <w:t xml:space="preserve">        $group: {</w:t>
        <w:br/>
        <w:t xml:space="preserve">            // Group by extracting the hour portion after offset conversion to Asia/Kolkata (+5:30)</w:t>
        <w:br/>
        <w:t xml:space="preserve">            _id: { $hour: { date: "$date", timezone: "Asia/Kolkata" } },</w:t>
        <w:br/>
        <w:t xml:space="preserve">            count: { $sum: 1 },</w:t>
        <w:br/>
        <w:t xml:space="preserve">            revenue: { $sum: "$totalAmount" }</w:t>
        <w:br/>
        <w:t xml:space="preserve">        }</w:t>
        <w:br/>
        <w:t xml:space="preserve">    },</w:t>
        <w:br/>
        <w:t xml:space="preserve">    { $sort: { _id: 1 } }</w:t>
        <w:br/>
        <w:t>]);</w:t>
        <w:br/>
        <w:br/>
        <w:t>// Resolves to an array representing all 24 hours of the day (e.g. 15:00 corresponds directly to 3:00 PM IST)</w:t>
      </w:r>
    </w:p>
    <w:p>
      <w:pPr>
        <w:pStyle w:val="Heading2"/>
        <w:keepNext/>
        <w:spacing w:before="240" w:after="120"/>
      </w:pPr>
      <w:r>
        <w:rPr>
          <w:rFonts w:ascii="Calibri" w:hAnsi="Calibri"/>
          <w:b/>
          <w:color w:val="4F46E5"/>
          <w:sz w:val="30"/>
        </w:rPr>
        <w:t>5.2 Server-Side PDF Invoice Generation using Calibri &amp; Nodemailer integration</w:t>
      </w:r>
    </w:p>
    <w:p>
      <w:pPr>
        <w:spacing w:after="120" w:line="276" w:lineRule="auto"/>
        <w:jc w:val="left"/>
      </w:pPr>
      <w:r>
        <w:rPr>
          <w:rFonts w:ascii="Calibri" w:hAnsi="Calibri"/>
          <w:b w:val="0"/>
          <w:i w:val="0"/>
          <w:color w:val="334155"/>
          <w:sz w:val="22"/>
        </w:rPr>
        <w:t>PDFKit does not support rendering Unicode symbols (like the Indian Rupee symbol '₹') in its standard 14 core fonts (Helvetica, Times). To circumvent this, the server registers the system's Calibri font files (`calibri.ttf` and `calibrib.ttf`) into the document builder. After PDF compilation completes on disk, the file stream is emailed using Nodemailer:</w:t>
      </w:r>
    </w:p>
    <w:p>
      <w:pPr>
        <w:spacing w:before="120" w:after="120"/>
        <w:ind w:left="360"/>
        <w:pBdr>
          <w:left w:val="single" w:sz="24" w:space="8" w:color="4F46E5"/>
        </w:pBdr>
        <w:shd w:fill="F1F5F9"/>
      </w:pPr>
      <w:r>
        <w:rPr>
          <w:rFonts w:ascii="Consolas" w:hAnsi="Consolas"/>
          <w:color w:val="0F172A"/>
          <w:sz w:val="19"/>
        </w:rPr>
        <w:t>// Excerpt from backend/controllers/invoiceController.js</w:t>
        <w:br/>
        <w:t>const PDFDocument = require("pdfkit");</w:t>
        <w:br/>
        <w:t>const nodemailer = require("nodemailer");</w:t>
        <w:br/>
        <w:br/>
        <w:t>// Font references (Calibri supports full unicode glyph coverage for the Indian Rupee symbol)</w:t>
        <w:br/>
        <w:t>const FONT_REGULAR = "C:\\Windows\\Fonts\\calibri.ttf";</w:t>
        <w:br/>
        <w:t>const FONT_BOLD    = "C:\\Windows\\Fonts\\calibrib.ttf";</w:t>
        <w:br/>
        <w:br/>
        <w:t>const formatCurrency = (value) =&gt; {</w:t>
        <w:br/>
        <w:t xml:space="preserve">    return `\u20B9 ${Number(value).toFixed(2)}`; // Outputs: ₹ value</w:t>
        <w:br/>
        <w:t>};</w:t>
        <w:br/>
        <w:br/>
        <w:t>const createPdfAndSend = async (invoiceRecord) =&gt; {</w:t>
        <w:br/>
        <w:t xml:space="preserve">    const fileName = `${invoiceRecord.invoice_id}.pdf`;</w:t>
        <w:br/>
        <w:t xml:space="preserve">    const filePath = path.join(invoicesDir, fileName);</w:t>
        <w:br/>
        <w:br/>
        <w:t xml:space="preserve">    const doc = new PDFDocument({ margin: 50 });</w:t>
        <w:br/>
        <w:t xml:space="preserve">    </w:t>
        <w:br/>
        <w:t xml:space="preserve">    // Register custom fonts into the document</w:t>
        <w:br/>
        <w:t xml:space="preserve">    doc.registerFont("calibri",      FONT_REGULAR);</w:t>
        <w:br/>
        <w:t xml:space="preserve">    doc.registerFont("calibri-bold", FONT_BOLD);</w:t>
        <w:br/>
        <w:t xml:space="preserve">    </w:t>
        <w:br/>
        <w:t xml:space="preserve">    const stream = fs.createWriteStream(filePath);</w:t>
        <w:br/>
        <w:t xml:space="preserve">    doc.pipe(stream);</w:t>
        <w:br/>
        <w:br/>
        <w:t xml:space="preserve">    // Apply font and write text</w:t>
        <w:br/>
        <w:t xml:space="preserve">    doc.fillColor("#111827")</w:t>
        <w:br/>
        <w:t xml:space="preserve">       .font("calibri-bold")</w:t>
        <w:br/>
        <w:t xml:space="preserve">       .fontSize(10)</w:t>
        <w:br/>
        <w:t xml:space="preserve">       .text(formatCurrency(sale.totalAmount), 460, 200, { align: "right" });</w:t>
        <w:br/>
        <w:t xml:space="preserve">       </w:t>
        <w:br/>
        <w:t xml:space="preserve">    doc.end();</w:t>
        <w:br/>
        <w:br/>
        <w:t xml:space="preserve">    // Wait for file creation on disk before mailing</w:t>
        <w:br/>
        <w:t xml:space="preserve">    await new Promise((resolve, reject) =&gt; {</w:t>
        <w:br/>
        <w:t xml:space="preserve">        stream.on("finish", resolve);</w:t>
        <w:br/>
        <w:t xml:space="preserve">        stream.on("error", reject);</w:t>
        <w:br/>
        <w:t xml:space="preserve">    });</w:t>
        <w:br/>
        <w:br/>
        <w:t xml:space="preserve">    // Nodemailer transport setup and dispatch</w:t>
        <w:br/>
        <w:t xml:space="preserve">    const transporter = nodemailer.createTransport({</w:t>
        <w:br/>
        <w:t xml:space="preserve">        host: process.env.EMAIL_HOST,</w:t>
        <w:br/>
        <w:t xml:space="preserve">        port: Number(process.env.EMAIL_PORT) || 587,</w:t>
        <w:br/>
        <w:t xml:space="preserve">        secure: process.env.EMAIL_SECURE === "true",</w:t>
        <w:br/>
        <w:t xml:space="preserve">        auth: { user: process.env.EMAIL_USER, pass: process.env.EMAIL_PASS }</w:t>
        <w:br/>
        <w:t xml:space="preserve">    });</w:t>
        <w:br/>
        <w:br/>
        <w:t xml:space="preserve">    await transporter.sendMail({</w:t>
        <w:br/>
        <w:t xml:space="preserve">        from: process.env.EMAIL_FROM,</w:t>
        <w:br/>
        <w:t xml:space="preserve">        to: invoiceRecord.customer_email,</w:t>
        <w:br/>
        <w:t xml:space="preserve">        subject: `Your invoice ${invoiceRecord.invoice_id} from ${sale.store_id.name}`,</w:t>
        <w:br/>
        <w:t xml:space="preserve">        text: `Please find attached your invoice total: ${formatCurrency(sale.totalAmount)}`,</w:t>
        <w:br/>
        <w:t xml:space="preserve">        attachments: [{ filename: fileName, path: filePath }]</w:t>
        <w:br/>
        <w:t xml:space="preserve">    });</w:t>
        <w:br/>
        <w:t>};</w:t>
      </w:r>
    </w:p>
    <w:p>
      <w:pPr>
        <w:pStyle w:val="Heading2"/>
        <w:keepNext/>
        <w:spacing w:before="240" w:after="120"/>
      </w:pPr>
      <w:r>
        <w:rPr>
          <w:rFonts w:ascii="Calibri" w:hAnsi="Calibri"/>
          <w:b/>
          <w:color w:val="4F46E5"/>
          <w:sz w:val="30"/>
        </w:rPr>
        <w:t>5.3 Real-Time WebSocket Synchronization Framework</w:t>
      </w:r>
    </w:p>
    <w:p>
      <w:pPr>
        <w:spacing w:after="120" w:line="276" w:lineRule="auto"/>
        <w:jc w:val="left"/>
      </w:pPr>
      <w:r>
        <w:rPr>
          <w:rFonts w:ascii="Calibri" w:hAnsi="Calibri"/>
          <w:b w:val="0"/>
          <w:i w:val="0"/>
          <w:color w:val="334155"/>
          <w:sz w:val="22"/>
        </w:rPr>
        <w:t>To prevent memory leaks and duplicate socket listener registrations, WebSocket instances (`socket.io-client`) are declared at module-level in the frontend dashboards. Dashboards listen for incoming 'newNotification' events and update state hooks accordingly:</w:t>
      </w:r>
    </w:p>
    <w:p>
      <w:pPr>
        <w:spacing w:before="120" w:after="120"/>
        <w:ind w:left="360"/>
        <w:pBdr>
          <w:left w:val="single" w:sz="24" w:space="8" w:color="4F46E5"/>
        </w:pBdr>
        <w:shd w:fill="F1F5F9"/>
      </w:pPr>
      <w:r>
        <w:rPr>
          <w:rFonts w:ascii="Consolas" w:hAnsi="Consolas"/>
          <w:color w:val="0F172A"/>
          <w:sz w:val="19"/>
        </w:rPr>
        <w:t>// Excerpt from src/pages/dashboard/OwnerDashboard.jsx</w:t>
        <w:br/>
        <w:t>import { SOCKET_URL } from "../../config";</w:t>
        <w:br/>
        <w:t>import { io } from "socket.io-client";</w:t>
        <w:br/>
        <w:br/>
        <w:t>// Persistent socket instance at module level (not inside the component)</w:t>
        <w:br/>
        <w:t>const socket = io(SOCKET_URL);</w:t>
        <w:br/>
        <w:br/>
        <w:t>const OwnerDashboard = () =&gt; {</w:t>
        <w:br/>
        <w:t xml:space="preserve">    const [user, setUser] = useState({ name: "", role: "Store Owner" });</w:t>
        <w:br/>
        <w:t xml:space="preserve">    const [notifications, setNotifications] = useState([]);</w:t>
        <w:br/>
        <w:t xml:space="preserve">    const [refreshKey, setRefreshKey] = useState(0);</w:t>
        <w:br/>
        <w:br/>
        <w:t xml:space="preserve">    // Join room when user ID is verified from API</w:t>
        <w:br/>
        <w:t xml:space="preserve">    useEffect(() =&gt; {</w:t>
        <w:br/>
        <w:t xml:space="preserve">        if (user?._id) {</w:t>
        <w:br/>
        <w:t xml:space="preserve">            socket.emit("join-user", user._id);</w:t>
        <w:br/>
        <w:t xml:space="preserve">        }</w:t>
        <w:br/>
        <w:t xml:space="preserve">    }, [user?._id]);</w:t>
        <w:br/>
        <w:br/>
        <w:t xml:space="preserve">    // Handle incoming events and trigger state update</w:t>
        <w:br/>
        <w:t xml:space="preserve">    useEffect(() =&gt; {</w:t>
        <w:br/>
        <w:t xml:space="preserve">        const handleNewNotification = (notification) =&gt; {</w:t>
        <w:br/>
        <w:t xml:space="preserve">            setNotifications((prev) =&gt; [notification, ...prev]);</w:t>
        <w:br/>
        <w:t xml:space="preserve">            setRefreshKey((prev) =&gt; prev + 1); // Triggers re-fetching stats, analytics, and lists</w:t>
        <w:br/>
        <w:t xml:space="preserve">        };</w:t>
        <w:br/>
        <w:br/>
        <w:t xml:space="preserve">        socket.on("newNotification", handleNewNotification);</w:t>
        <w:br/>
        <w:t xml:space="preserve">        return () =&gt; {</w:t>
        <w:br/>
        <w:t xml:space="preserve">            socket.off("newNotification", handleNewNotification); // Proper listener cleanup</w:t>
        <w:br/>
        <w:t xml:space="preserve">        };</w:t>
        <w:br/>
        <w:t xml:space="preserve">    }, []);</w:t>
        <w:br/>
        <w:t xml:space="preserve">    </w:t>
        <w:br/>
        <w:t xml:space="preserve">    // ...</w:t>
        <w:br/>
        <w:t>}</w:t>
      </w:r>
    </w:p>
    <w:p>
      <w:pPr>
        <w:pStyle w:val="Heading2"/>
        <w:keepNext/>
        <w:spacing w:before="240" w:after="120"/>
      </w:pPr>
      <w:r>
        <w:rPr>
          <w:rFonts w:ascii="Calibri" w:hAnsi="Calibri"/>
          <w:b/>
          <w:color w:val="4F46E5"/>
          <w:sz w:val="30"/>
        </w:rPr>
        <w:t>5.4 Side-by-Side Flexbox Layout for Supplier order acceptance</w:t>
      </w:r>
    </w:p>
    <w:p>
      <w:pPr>
        <w:spacing w:after="120" w:line="276" w:lineRule="auto"/>
        <w:jc w:val="left"/>
      </w:pPr>
      <w:r>
        <w:rPr>
          <w:rFonts w:ascii="Calibri" w:hAnsi="Calibri"/>
          <w:b w:val="0"/>
          <w:i w:val="0"/>
          <w:color w:val="334155"/>
          <w:sz w:val="22"/>
        </w:rPr>
        <w:t>To maximize form readability and space-efficiency in the Supplier portal, the Expected Delivery Date field (DatePicker) and the Delivery Notes field (textarea) are positioned side-by-side on viewport widths exceeding 600px:</w:t>
      </w:r>
    </w:p>
    <w:p>
      <w:pPr>
        <w:spacing w:before="120" w:after="120"/>
        <w:ind w:left="360"/>
        <w:pBdr>
          <w:left w:val="single" w:sz="24" w:space="8" w:color="4F46E5"/>
        </w:pBdr>
        <w:shd w:fill="F1F5F9"/>
      </w:pPr>
      <w:r>
        <w:rPr>
          <w:rFonts w:ascii="Consolas" w:hAnsi="Consolas"/>
          <w:color w:val="0F172A"/>
          <w:sz w:val="19"/>
        </w:rPr>
        <w:t>/* CSS Excerpt from src/styles/SupplierDashboard.css */</w:t>
        <w:br/>
        <w:t>.po-response-row {</w:t>
        <w:br/>
        <w:t xml:space="preserve">    display: flex;</w:t>
        <w:br/>
        <w:t xml:space="preserve">    flex-direction: column; /* Stacked by default for mobile responsiveness */</w:t>
        <w:br/>
        <w:t xml:space="preserve">    gap: 1rem;</w:t>
        <w:br/>
        <w:t xml:space="preserve">    margin-bottom: 0.8rem;</w:t>
        <w:br/>
        <w:t>}</w:t>
        <w:br/>
        <w:br/>
        <w:t>@media (min-width: 600px) {</w:t>
        <w:br/>
        <w:t xml:space="preserve">    .po-response-row.side-by-side {</w:t>
        <w:br/>
        <w:t xml:space="preserve">        flex-direction: row; /* Align side-by-side on tablet/desktop viewports */</w:t>
        <w:br/>
        <w:t xml:space="preserve">        align-items: flex-start;</w:t>
        <w:br/>
        <w:t xml:space="preserve">        gap: 1.5rem;</w:t>
        <w:br/>
        <w:t xml:space="preserve">    }</w:t>
        <w:br/>
        <w:t xml:space="preserve">    </w:t>
        <w:br/>
        <w:t xml:space="preserve">    .po-response-row.side-by-side .date-field {</w:t>
        <w:br/>
        <w:t xml:space="preserve">        flex: 1; /* Allocates 1/3 of the parent container space */</w:t>
        <w:br/>
        <w:t xml:space="preserve">        margin-bottom: 0;</w:t>
        <w:br/>
        <w:t xml:space="preserve">    }</w:t>
        <w:br/>
        <w:t xml:space="preserve">    </w:t>
        <w:br/>
        <w:t xml:space="preserve">    .po-response-row.side-by-side .text-field {</w:t>
        <w:br/>
        <w:t xml:space="preserve">        flex: 2; /* Allocates 2/3 of the parent container space */</w:t>
        <w:br/>
        <w:t xml:space="preserve">        margin-bottom: 0;</w:t>
        <w:br/>
        <w:t xml:space="preserve">    }</w:t>
        <w:br/>
        <w:t>}</w:t>
      </w:r>
    </w:p>
    <w:p>
      <w:pPr>
        <w:pStyle w:val="Heading1"/>
        <w:keepNext/>
        <w:spacing w:before="240" w:after="120"/>
      </w:pPr>
      <w:r>
        <w:rPr>
          <w:rFonts w:ascii="Calibri" w:hAnsi="Calibri"/>
          <w:b/>
          <w:color w:val="1E293B"/>
          <w:sz w:val="40"/>
        </w:rPr>
        <w:t>6. Configuration and Deployment Blueprint</w:t>
      </w:r>
    </w:p>
    <w:p>
      <w:pPr>
        <w:pStyle w:val="Heading2"/>
        <w:keepNext/>
        <w:spacing w:before="240" w:after="120"/>
      </w:pPr>
      <w:r>
        <w:rPr>
          <w:rFonts w:ascii="Calibri" w:hAnsi="Calibri"/>
          <w:b/>
          <w:color w:val="4F46E5"/>
          <w:sz w:val="30"/>
        </w:rPr>
        <w:t>6.1 Core Environment Configurations (`.env`)</w:t>
      </w:r>
    </w:p>
    <w:p>
      <w:pPr>
        <w:spacing w:after="120" w:line="276" w:lineRule="auto"/>
        <w:jc w:val="left"/>
      </w:pPr>
      <w:r>
        <w:rPr>
          <w:rFonts w:ascii="Calibri" w:hAnsi="Calibri"/>
          <w:b w:val="0"/>
          <w:i w:val="0"/>
          <w:color w:val="334155"/>
          <w:sz w:val="22"/>
        </w:rPr>
        <w:t>The backend server depends on a set of localized configurations specified in the root `.env` file:</w:t>
      </w:r>
    </w:p>
    <w:p>
      <w:pPr>
        <w:spacing w:before="120" w:after="120"/>
        <w:ind w:left="360"/>
        <w:pBdr>
          <w:left w:val="single" w:sz="24" w:space="8" w:color="4F46E5"/>
        </w:pBdr>
        <w:shd w:fill="F1F5F9"/>
      </w:pPr>
      <w:r>
        <w:rPr>
          <w:rFonts w:ascii="Consolas" w:hAnsi="Consolas"/>
          <w:color w:val="0F172A"/>
          <w:sz w:val="19"/>
        </w:rPr>
        <w:t>PORT=5000</w:t>
        <w:br/>
        <w:t>MONGO_URI=mongodb+srv://&lt;username&gt;:&lt;password&gt;@cluster0.mongodb.net/inventrix?retryWrites=true&amp;w=majority</w:t>
        <w:br/>
        <w:t>JWT_SECRET=your_jwt_signing_token_key_string</w:t>
        <w:br/>
        <w:t>SOCKET_URL=http://localhost:5000</w:t>
        <w:br/>
        <w:br/>
        <w:t># Nodemailer Configuration (SMTP Gateway)</w:t>
        <w:br/>
        <w:t>EMAIL_HOST=smtp.gmail.com</w:t>
        <w:br/>
        <w:t>EMAIL_PORT=587</w:t>
        <w:br/>
        <w:t>EMAIL_SECURE=false</w:t>
        <w:br/>
        <w:t>EMAIL_USER=your-smtp-authorized-email-sender@gmail.com</w:t>
        <w:br/>
        <w:t>EMAIL_PASS=your-smtp-authorized-passkey</w:t>
        <w:br/>
        <w:t>EMAIL_FROM="Inventrix Store Invoicing" &lt;your-smtp-authorized-email-sender@gmail.com&gt;</w:t>
      </w:r>
    </w:p>
    <w:p>
      <w:pPr>
        <w:pStyle w:val="Heading2"/>
        <w:keepNext/>
        <w:spacing w:before="240" w:after="120"/>
      </w:pPr>
      <w:r>
        <w:rPr>
          <w:rFonts w:ascii="Calibri" w:hAnsi="Calibri"/>
          <w:b/>
          <w:color w:val="4F46E5"/>
          <w:sz w:val="30"/>
        </w:rPr>
        <w:t>6.2 NPM Execution Commands</w:t>
      </w:r>
    </w:p>
    <w:p>
      <w:pPr>
        <w:spacing w:after="120" w:line="276" w:lineRule="auto"/>
        <w:jc w:val="left"/>
      </w:pPr>
      <w:r>
        <w:rPr>
          <w:rFonts w:ascii="Calibri" w:hAnsi="Calibri"/>
          <w:b w:val="0"/>
          <w:i w:val="0"/>
          <w:color w:val="334155"/>
          <w:sz w:val="22"/>
        </w:rPr>
        <w:t>The project directory includes a set of pre-configured run scripts in the package.json to facilitate development and deployment workflows:</w:t>
      </w:r>
    </w:p>
    <w:p>
      <w:pPr>
        <w:spacing w:before="120" w:after="120"/>
        <w:ind w:left="360"/>
        <w:pBdr>
          <w:left w:val="single" w:sz="24" w:space="8" w:color="4F46E5"/>
        </w:pBdr>
        <w:shd w:fill="F1F5F9"/>
      </w:pPr>
      <w:r>
        <w:rPr>
          <w:rFonts w:ascii="Consolas" w:hAnsi="Consolas"/>
          <w:color w:val="0F172A"/>
          <w:sz w:val="19"/>
        </w:rPr>
        <w:t># Run both Frontend React and Backend server concurrently in development mode</w:t>
        <w:br/>
        <w:t>npm run both</w:t>
        <w:br/>
        <w:br/>
        <w:t># Build static production assets for React</w:t>
        <w:br/>
        <w:t>npm run build</w:t>
        <w:br/>
        <w:br/>
        <w:t># Start the Node.js API server in production mode</w:t>
        <w:br/>
        <w:t>npm start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