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7.png" ContentType="image/png"/>
  <Override PartName="/word/media/rId195.png" ContentType="image/png"/>
  <Override PartName="/word/media/rId198.png" ContentType="image/png"/>
  <Override PartName="/word/media/rId52.png" ContentType="image/png"/>
  <Override PartName="/word/media/rId55.png" ContentType="image/png"/>
  <Override PartName="/word/media/rId100.png" ContentType="image/png"/>
  <Override PartName="/word/media/rId103.png" ContentType="image/png"/>
  <Override PartName="/word/media/rId20.png" ContentType="image/png"/>
  <Override PartName="/word/media/rId23.png" ContentType="image/png"/>
  <Override PartName="/word/media/rId68.png" ContentType="image/png"/>
  <Override PartName="/word/media/rId71.png" ContentType="image/png"/>
  <Override PartName="/word/media/rId147.png" ContentType="image/png"/>
  <Override PartName="/word/media/rId150.png" ContentType="image/png"/>
  <Override PartName="/word/media/rId163.png" ContentType="image/png"/>
  <Override PartName="/word/media/rId166.png" ContentType="image/png"/>
  <Override PartName="/word/media/rId179.png" ContentType="image/png"/>
  <Override PartName="/word/media/rId182.png" ContentType="image/png"/>
  <Override PartName="/word/media/rId116.png" ContentType="image/png"/>
  <Override PartName="/word/media/rId119.png" ContentType="image/png"/>
  <Override PartName="/word/media/rId211.png" ContentType="image/png"/>
  <Override PartName="/word/media/rId214.png" ContentType="image/png"/>
  <Override PartName="/word/media/rId131.png" ContentType="image/png"/>
  <Override PartName="/word/media/rId1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jur-river-western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(Western 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#include_graphics(here("output/viz/Jur River/age density, Jur River.png"))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density,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density,%20Jur%20Ri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pyramid,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household"/>
    <w:p>
      <w:pPr>
        <w:pStyle w:val="Heading2"/>
      </w:pPr>
      <w:r>
        <w:t xml:space="preserve">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6e27c77-da1d-4d7b-8350-211245bac929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e27c77-da1d-4d7b-8350-211245bac929"/>
      <w:r>
        <w:t xml:space="preserve">: </w:t>
      </w:r>
      <w:r>
        <w:t xml:space="preserve">Household size,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0a985c7-3cae-4ba4-8ae5-1166554c6f6b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a985c7-3cae-4ba4-8ae5-1166554c6f6b"/>
      <w:r>
        <w:t xml:space="preserve">: </w:t>
      </w:r>
      <w:r>
        <w:t xml:space="preserve">Proportion females 12-18 married,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20.4% - 23%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27"/>
    <w:bookmarkStart w:id="28" w:name="education"/>
    <w:p>
      <w:pPr>
        <w:pStyle w:val="Heading2"/>
      </w:pPr>
      <w:r>
        <w:t xml:space="preserve">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2b11d21-a375-4a31-b8c5-da0896271041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b11d21-a375-4a31-b8c5-da0896271041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</w:tbl>
    <w:bookmarkEnd w:id="28"/>
    <w:bookmarkStart w:id="31" w:name="livelihoods"/>
    <w:p>
      <w:pPr>
        <w:pStyle w:val="Heading2"/>
      </w:pPr>
      <w:r>
        <w:t xml:space="preserve">1.4</w:t>
      </w:r>
      <w:r>
        <w:t xml:space="preserve"> </w:t>
      </w:r>
      <w:r>
        <w:t xml:space="preserve">Livelihoods</w:t>
      </w:r>
    </w:p>
    <w:bookmarkStart w:id="29" w:name="economic-activity-in-last-10-years-q314"/>
    <w:p>
      <w:pPr>
        <w:pStyle w:val="Heading3"/>
      </w:pPr>
      <w:r>
        <w:t xml:space="preserve">1.4.1</w:t>
      </w:r>
      <w:r>
        <w:t xml:space="preserve"> </w:t>
      </w:r>
      <w:r>
        <w:t xml:space="preserve">Economic activity in last 10 years (Q314)</w:t>
      </w:r>
    </w:p>
    <w:bookmarkEnd w:id="29"/>
    <w:bookmarkStart w:id="30" w:name="income-sources-q401-q402"/>
    <w:p>
      <w:pPr>
        <w:pStyle w:val="Heading3"/>
      </w:pPr>
      <w:r>
        <w:t xml:space="preserve">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1924863-63cc-41f3-88b6-887d2c423a02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1924863-63cc-41f3-88b6-887d2c423a02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1,841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904fa7f-44ef-44f6-8d61-9aa6ec6140ec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904fa7f-44ef-44f6-8d61-9aa6ec6140ec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2.4%</w:t>
                  </w:r>
                </w:p>
              </w:tc>
            </w:tr>
          </w:tbl>
          <w:p/>
        </w:tc>
      </w:tr>
    </w:tbl>
    <w:bookmarkEnd w:id="30"/>
    <w:bookmarkEnd w:id="31"/>
    <w:bookmarkStart w:id="32" w:name="food-security"/>
    <w:p>
      <w:pPr>
        <w:pStyle w:val="Heading2"/>
      </w:pPr>
      <w:r>
        <w:t xml:space="preserve">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4126b81-2fc2-4531-b298-a49a708fd873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4126b81-2fc2-4531-b298-a49a708fd87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441e3e0-0064-4b76-aa60-f95921f99cf4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41e3e0-0064-4b76-aa60-f95921f99cf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 - 8.9%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32"/>
    <w:bookmarkStart w:id="34" w:name="health"/>
    <w:p>
      <w:pPr>
        <w:pStyle w:val="Heading2"/>
      </w:pPr>
      <w:r>
        <w:t xml:space="preserve">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db107f-c34e-47c6-88e9-63fd79e6aeef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db107f-c34e-47c6-88e9-63fd79e6aee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 - 56.1%</w:t>
            </w:r>
          </w:p>
        </w:tc>
      </w:tr>
    </w:tbl>
    <w:bookmarkStart w:id="33" w:name="purpose-of-visit-with-satisfaction-rates"/>
    <w:p>
      <w:pPr>
        <w:pStyle w:val="Heading3"/>
      </w:pPr>
      <w:r>
        <w:t xml:space="preserve">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b8d635-b5c0-42e4-91a8-526a483946b3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9b8d635-b5c0-42e4-91a8-526a483946b3"/>
      <w:r>
        <w:t xml:space="preserve">: </w:t>
      </w:r>
      <w:r>
        <w:t xml:space="preserve">Health clinic satisfaction by service,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33"/>
    <w:bookmarkEnd w:id="34"/>
    <w:bookmarkEnd w:id="35"/>
    <w:bookmarkStart w:id="51" w:name="wau-western-bahr-el-gazal"/>
    <w:p>
      <w:pPr>
        <w:pStyle w:val="Heading1"/>
      </w:pPr>
      <w:r>
        <w:t xml:space="preserve">2</w:t>
      </w:r>
      <w:r>
        <w:t xml:space="preserve"> </w:t>
      </w:r>
      <w:r>
        <w:t xml:space="preserve">Wau (Western Bahr el Gazal)</w:t>
      </w:r>
    </w:p>
    <w:bookmarkStart w:id="42" w:name="age-1"/>
    <w:p>
      <w:pPr>
        <w:pStyle w:val="Heading2"/>
      </w:pPr>
      <w:r>
        <w:t xml:space="preserve">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density,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density,%20Wau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pyramid,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pyramid,%20Wau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household-1"/>
    <w:p>
      <w:pPr>
        <w:pStyle w:val="Heading2"/>
      </w:pPr>
      <w:r>
        <w:t xml:space="preserve">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d5f27a-cbd5-4077-8340-89c06796491c" w:name="unnamed-chunk-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d5f27a-cbd5-4077-8340-89c06796491c"/>
      <w:r>
        <w:t xml:space="preserve">: </w:t>
      </w:r>
      <w:r>
        <w:t xml:space="preserve">Household size,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55daada-dfba-4a36-b791-f76502e21a2f" w:name="unnamed-chunk-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5daada-dfba-4a36-b791-f76502e21a2f"/>
      <w:r>
        <w:t xml:space="preserve">: </w:t>
      </w:r>
      <w:r>
        <w:t xml:space="preserve">Proportion females 12-18 married,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20% - 22.6%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43"/>
    <w:bookmarkStart w:id="44" w:name="education-1"/>
    <w:p>
      <w:pPr>
        <w:pStyle w:val="Heading2"/>
      </w:pPr>
      <w:r>
        <w:t xml:space="preserve">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8c7c5c3-7fea-4723-8672-afa76d1ce663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8c7c5c3-7fea-4723-8672-afa76d1ce663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bookmarkEnd w:id="44"/>
    <w:bookmarkStart w:id="47" w:name="livelihoods-1"/>
    <w:p>
      <w:pPr>
        <w:pStyle w:val="Heading2"/>
      </w:pPr>
      <w:r>
        <w:t xml:space="preserve">2.4</w:t>
      </w:r>
      <w:r>
        <w:t xml:space="preserve"> </w:t>
      </w:r>
      <w:r>
        <w:t xml:space="preserve">Livelihoods</w:t>
      </w:r>
    </w:p>
    <w:bookmarkStart w:id="45" w:name="Xcd07ebec506d307d8d300ee2db469e64fdc3131"/>
    <w:p>
      <w:pPr>
        <w:pStyle w:val="Heading3"/>
      </w:pPr>
      <w:r>
        <w:t xml:space="preserve">2.4.1</w:t>
      </w:r>
      <w:r>
        <w:t xml:space="preserve"> </w:t>
      </w:r>
      <w:r>
        <w:t xml:space="preserve">Economic activity in last 10 years (Q314)</w:t>
      </w:r>
    </w:p>
    <w:bookmarkEnd w:id="45"/>
    <w:bookmarkStart w:id="46" w:name="income-sources-q401-q402-1"/>
    <w:p>
      <w:pPr>
        <w:pStyle w:val="Heading3"/>
      </w:pPr>
      <w:r>
        <w:t xml:space="preserve">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08b9406b-49da-45af-884d-80c27c44d6ad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08b9406b-49da-45af-884d-80c27c44d6ad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1ee3c4f4-0ed5-43e9-a910-98879ae13dd2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1ee3c4f4-0ed5-43e9-a910-98879ae13dd2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</w:tbl>
          <w:p/>
        </w:tc>
      </w:tr>
    </w:tbl>
    <w:bookmarkEnd w:id="46"/>
    <w:bookmarkEnd w:id="47"/>
    <w:bookmarkStart w:id="48" w:name="food-security-1"/>
    <w:p>
      <w:pPr>
        <w:pStyle w:val="Heading2"/>
      </w:pPr>
      <w:r>
        <w:t xml:space="preserve">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1113b0a-6227-4042-a8f2-18364407a316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1113b0a-6227-4042-a8f2-18364407a316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ca3bad5-dac8-47d1-880e-bfe84963795a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ca3bad5-dac8-47d1-880e-bfe84963795a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5.7% - 20.7%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48"/>
    <w:bookmarkStart w:id="50" w:name="health-1"/>
    <w:p>
      <w:pPr>
        <w:pStyle w:val="Heading2"/>
      </w:pPr>
      <w:r>
        <w:t xml:space="preserve">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cf2c862-4376-4f72-96e8-7b6e571a8598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cf2c862-4376-4f72-96e8-7b6e571a8598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bookmarkStart w:id="49" w:name="X3b4647dec654bdd9f7b4d922f4d70a8d9848169"/>
    <w:p>
      <w:pPr>
        <w:pStyle w:val="Heading3"/>
      </w:pPr>
      <w:r>
        <w:t xml:space="preserve">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290c17f-3b5e-4835-a6f9-d6173e03a089" w:name="unnamed-chunk-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290c17f-3b5e-4835-a6f9-d6173e03a089"/>
      <w:r>
        <w:t xml:space="preserve">: </w:t>
      </w:r>
      <w:r>
        <w:t xml:space="preserve">Health clinic satisfaction by service,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49"/>
    <w:bookmarkEnd w:id="50"/>
    <w:bookmarkEnd w:id="51"/>
    <w:bookmarkStart w:id="67" w:name="budi-eastern-equatoria"/>
    <w:p>
      <w:pPr>
        <w:pStyle w:val="Heading1"/>
      </w:pPr>
      <w:r>
        <w:t xml:space="preserve">3</w:t>
      </w:r>
      <w:r>
        <w:t xml:space="preserve"> </w:t>
      </w:r>
      <w:r>
        <w:t xml:space="preserve">Budi (Eastern Equatoria)</w:t>
      </w:r>
    </w:p>
    <w:bookmarkStart w:id="58" w:name="age-2"/>
    <w:p>
      <w:pPr>
        <w:pStyle w:val="Heading2"/>
      </w:pPr>
      <w:r>
        <w:t xml:space="preserve">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density,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udi" title="" id="5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density,%20Budi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Budi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pyramid,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5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pyramid,%20Budi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58"/>
    <w:bookmarkStart w:id="59" w:name="household-2"/>
    <w:p>
      <w:pPr>
        <w:pStyle w:val="Heading2"/>
      </w:pPr>
      <w:r>
        <w:t xml:space="preserve">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6ef602-2ede-4ecb-a01f-16c6eb640e3b" w:name="unnamed-chunk-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6ef602-2ede-4ecb-a01f-16c6eb640e3b"/>
      <w:r>
        <w:t xml:space="preserve">: </w:t>
      </w:r>
      <w:r>
        <w:t xml:space="preserve">Household size,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8ee3e6c-4087-4a9e-8dfa-34e330640094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8ee3e6c-4087-4a9e-8dfa-34e330640094"/>
      <w:r>
        <w:t xml:space="preserve">: </w:t>
      </w:r>
      <w:r>
        <w:t xml:space="preserve">Proportion females 12-18 married,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4.1% - 13.5%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59"/>
    <w:bookmarkStart w:id="60" w:name="education-2"/>
    <w:p>
      <w:pPr>
        <w:pStyle w:val="Heading2"/>
      </w:pPr>
      <w:r>
        <w:t xml:space="preserve">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6f9fa29-8b7d-4bdb-be71-0baa65e4feac" w:name="unnamed-chunk-5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6f9fa29-8b7d-4bdb-be71-0baa65e4feac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bookmarkEnd w:id="60"/>
    <w:bookmarkStart w:id="63" w:name="livelihoods-2"/>
    <w:p>
      <w:pPr>
        <w:pStyle w:val="Heading2"/>
      </w:pPr>
      <w:r>
        <w:t xml:space="preserve">3.4</w:t>
      </w:r>
      <w:r>
        <w:t xml:space="preserve"> </w:t>
      </w:r>
      <w:r>
        <w:t xml:space="preserve">Livelihoods</w:t>
      </w:r>
    </w:p>
    <w:bookmarkStart w:id="61" w:name="X05c7b59b5e1439ce0e7c3a3d898cb83aa3d1e40"/>
    <w:p>
      <w:pPr>
        <w:pStyle w:val="Heading3"/>
      </w:pPr>
      <w:r>
        <w:t xml:space="preserve">3.4.1</w:t>
      </w:r>
      <w:r>
        <w:t xml:space="preserve"> </w:t>
      </w:r>
      <w:r>
        <w:t xml:space="preserve">Economic activity in last 10 years (Q314)</w:t>
      </w:r>
    </w:p>
    <w:bookmarkEnd w:id="61"/>
    <w:bookmarkStart w:id="62" w:name="income-sources-q401-q402-2"/>
    <w:p>
      <w:pPr>
        <w:pStyle w:val="Heading3"/>
      </w:pPr>
      <w:r>
        <w:t xml:space="preserve">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68207ae-2288-4674-8ead-a17c5ef722d9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68207ae-2288-4674-8ead-a17c5ef722d9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1,509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5c49456-83fc-4b27-890f-a9880331c285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5c49456-83fc-4b27-890f-a9880331c285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</w:tbl>
          <w:p/>
        </w:tc>
      </w:tr>
    </w:tbl>
    <w:bookmarkEnd w:id="62"/>
    <w:bookmarkEnd w:id="63"/>
    <w:bookmarkStart w:id="64" w:name="food-security-2"/>
    <w:p>
      <w:pPr>
        <w:pStyle w:val="Heading2"/>
      </w:pPr>
      <w:r>
        <w:t xml:space="preserve">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dd1536-39a1-4198-bc62-f89e5377c63a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dd1536-39a1-4198-bc62-f89e5377c63a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6.6 - 7.6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2.2 - 2.9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3.6 - 4.3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734a721-d268-44f9-aa9e-1a2b4e667234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34a721-d268-44f9-aa9e-1a2b4e66723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64"/>
    <w:bookmarkStart w:id="66" w:name="health-2"/>
    <w:p>
      <w:pPr>
        <w:pStyle w:val="Heading2"/>
      </w:pPr>
      <w:r>
        <w:t xml:space="preserve">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643174-37fc-4e35-b669-bfdd5509dd16" w:name="unnamed-chunk-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643174-37fc-4e35-b669-bfdd5509dd16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bookmarkStart w:id="65" w:name="X392fd50195c7d7109999761c1bb4ea0440f2095"/>
    <w:p>
      <w:pPr>
        <w:pStyle w:val="Heading3"/>
      </w:pPr>
      <w:r>
        <w:t xml:space="preserve">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558718-f1c7-4023-b060-faf3f3bc2b8d" w:name="unnamed-chunk-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558718-f1c7-4023-b060-faf3f3bc2b8d"/>
      <w:r>
        <w:t xml:space="preserve">: </w:t>
      </w:r>
      <w:r>
        <w:t xml:space="preserve">Health clinic satisfaction by service,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-4.8% - 56%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65"/>
    <w:bookmarkEnd w:id="66"/>
    <w:bookmarkEnd w:id="67"/>
    <w:bookmarkStart w:id="83" w:name="kapoeta-north-eastern-equatoria"/>
    <w:p>
      <w:pPr>
        <w:pStyle w:val="Heading1"/>
      </w:pPr>
      <w:r>
        <w:t xml:space="preserve">4</w:t>
      </w:r>
      <w:r>
        <w:t xml:space="preserve"> </w:t>
      </w:r>
      <w:r>
        <w:t xml:space="preserve">Kapoeta North (Eastern Equatoria)</w:t>
      </w:r>
    </w:p>
    <w:bookmarkStart w:id="74" w:name="age-3"/>
    <w:p>
      <w:pPr>
        <w:pStyle w:val="Heading2"/>
      </w:pPr>
      <w:r>
        <w:t xml:space="preserve">4.1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density,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Kapoeta North" title="" id="6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density,%20Kapoeta%20North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Kapoeta North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pyramid,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7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pyramid,%20Kapoeta%20North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74"/>
    <w:bookmarkStart w:id="75" w:name="household-3"/>
    <w:p>
      <w:pPr>
        <w:pStyle w:val="Heading2"/>
      </w:pPr>
      <w:r>
        <w:t xml:space="preserve">4.2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05f30b1-c63a-4183-8e96-447d9260e240" w:name="unnamed-chunk-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05f30b1-c63a-4183-8e96-447d9260e240"/>
      <w:r>
        <w:t xml:space="preserve">: </w:t>
      </w:r>
      <w:r>
        <w:t xml:space="preserve">Household size,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2.3 - 4.1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b5c6ee4-f484-4b4f-8122-0806981835a5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5c6ee4-f484-4b4f-8122-0806981835a5"/>
      <w:r>
        <w:t xml:space="preserve">: </w:t>
      </w:r>
      <w:r>
        <w:t xml:space="preserve">Proportion females 12-18 married,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20.1% - 27.2%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75"/>
    <w:bookmarkStart w:id="76" w:name="education-3"/>
    <w:p>
      <w:pPr>
        <w:pStyle w:val="Heading2"/>
      </w:pPr>
      <w:r>
        <w:t xml:space="preserve">4.3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a848c9b-e30b-4637-ab54-5a16dedf07d8" w:name="unnamed-chunk-7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a848c9b-e30b-4637-ab54-5a16dedf07d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bookmarkEnd w:id="76"/>
    <w:bookmarkStart w:id="79" w:name="livelihoods-3"/>
    <w:p>
      <w:pPr>
        <w:pStyle w:val="Heading2"/>
      </w:pPr>
      <w:r>
        <w:t xml:space="preserve">4.4</w:t>
      </w:r>
      <w:r>
        <w:t xml:space="preserve"> </w:t>
      </w:r>
      <w:r>
        <w:t xml:space="preserve">Livelihoods</w:t>
      </w:r>
    </w:p>
    <w:bookmarkStart w:id="77" w:name="X5fbad07a58ef339cf9e0718a4b918301560e9d4"/>
    <w:p>
      <w:pPr>
        <w:pStyle w:val="Heading3"/>
      </w:pPr>
      <w:r>
        <w:t xml:space="preserve">4.4.1</w:t>
      </w:r>
      <w:r>
        <w:t xml:space="preserve"> </w:t>
      </w:r>
      <w:r>
        <w:t xml:space="preserve">Economic activity in last 10 years (Q314)</w:t>
      </w:r>
    </w:p>
    <w:bookmarkEnd w:id="77"/>
    <w:bookmarkStart w:id="78" w:name="income-sources-q401-q402-3"/>
    <w:p>
      <w:pPr>
        <w:pStyle w:val="Heading3"/>
      </w:pPr>
      <w:r>
        <w:t xml:space="preserve">4.4.2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e86c822-8275-41ad-bdf7-9f65a4cbfe9b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e86c822-8275-41ad-bdf7-9f65a4cbfe9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fce94ad-9356-4b1f-96eb-e05a4e89efa5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fce94ad-9356-4b1f-96eb-e05a4e89efa5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78"/>
    <w:bookmarkEnd w:id="79"/>
    <w:bookmarkStart w:id="80" w:name="food-security-3"/>
    <w:p>
      <w:pPr>
        <w:pStyle w:val="Heading2"/>
      </w:pPr>
      <w:r>
        <w:t xml:space="preserve">4.5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475557-713b-4586-a153-59ea91c60d22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475557-713b-4586-a153-59ea91c60d2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dc0315e-b753-4afd-a60d-068acd629ec2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dc0315e-b753-4afd-a60d-068acd629ec2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80"/>
    <w:bookmarkStart w:id="82" w:name="health-3"/>
    <w:p>
      <w:pPr>
        <w:pStyle w:val="Heading2"/>
      </w:pPr>
      <w:r>
        <w:t xml:space="preserve">4.6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59eb7c-2e4e-4d3a-b93b-6c0e3688d8f0" w:name="unnamed-chunk-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59eb7c-2e4e-4d3a-b93b-6c0e3688d8f0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81" w:name="X50362d5f63675ebf2cb4c4f568af5a1f61c2c1e"/>
    <w:p>
      <w:pPr>
        <w:pStyle w:val="Heading3"/>
      </w:pPr>
      <w:r>
        <w:t xml:space="preserve">4.6.1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976eab-0bd1-44ab-8a15-7e070d09ae35" w:name="unnamed-chunk-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976eab-0bd1-44ab-8a15-7e070d09ae35"/>
      <w:r>
        <w:t xml:space="preserve">: </w:t>
      </w:r>
      <w:r>
        <w:t xml:space="preserve">Health clinic satisfaction by service,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81"/>
    <w:bookmarkEnd w:id="82"/>
    <w:bookmarkEnd w:id="83"/>
    <w:bookmarkStart w:id="99" w:name="akobo-jonglei"/>
    <w:p>
      <w:pPr>
        <w:pStyle w:val="Heading1"/>
      </w:pPr>
      <w:r>
        <w:t xml:space="preserve">5</w:t>
      </w:r>
      <w:r>
        <w:t xml:space="preserve"> </w:t>
      </w:r>
      <w:r>
        <w:t xml:space="preserve">Akobo (Jonglei)</w:t>
      </w:r>
    </w:p>
    <w:bookmarkStart w:id="90" w:name="age-4"/>
    <w:p>
      <w:pPr>
        <w:pStyle w:val="Heading2"/>
      </w:pPr>
      <w:r>
        <w:t xml:space="preserve">5.1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density,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Akobo" title="" id="8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density,%20Akob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Akobo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pyramid,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8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pyramid,%20Akobo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90"/>
    <w:bookmarkStart w:id="91" w:name="household-4"/>
    <w:p>
      <w:pPr>
        <w:pStyle w:val="Heading2"/>
      </w:pPr>
      <w:r>
        <w:t xml:space="preserve">5.2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e2d8135-7b61-4d2e-a1b7-13adab1783e3" w:name="unnamed-chunk-9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2d8135-7b61-4d2e-a1b7-13adab1783e3"/>
      <w:r>
        <w:t xml:space="preserve">: </w:t>
      </w:r>
      <w:r>
        <w:t xml:space="preserve">Household size,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6084207-1e26-45d7-b5e2-eb4955d538c0" w:name="unnamed-chunk-1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084207-1e26-45d7-b5e2-eb4955d538c0"/>
      <w:r>
        <w:t xml:space="preserve">: </w:t>
      </w:r>
      <w:r>
        <w:t xml:space="preserve">Proportion females 12-18 married,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- 19.8%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 - 31.2%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91"/>
    <w:bookmarkStart w:id="92" w:name="education-4"/>
    <w:p>
      <w:pPr>
        <w:pStyle w:val="Heading2"/>
      </w:pPr>
      <w:r>
        <w:t xml:space="preserve">5.3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17369b1-dc46-4265-9eaf-8a3be7f4e169" w:name="unnamed-chunk-10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17369b1-dc46-4265-9eaf-8a3be7f4e169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bookmarkEnd w:id="92"/>
    <w:bookmarkStart w:id="95" w:name="livelihoods-4"/>
    <w:p>
      <w:pPr>
        <w:pStyle w:val="Heading2"/>
      </w:pPr>
      <w:r>
        <w:t xml:space="preserve">5.4</w:t>
      </w:r>
      <w:r>
        <w:t xml:space="preserve"> </w:t>
      </w:r>
      <w:r>
        <w:t xml:space="preserve">Livelihoods</w:t>
      </w:r>
    </w:p>
    <w:bookmarkStart w:id="93" w:name="Xf78ac5cf3ba6b645ba0f1c193caef5c70c9fc55"/>
    <w:p>
      <w:pPr>
        <w:pStyle w:val="Heading3"/>
      </w:pPr>
      <w:r>
        <w:t xml:space="preserve">5.4.1</w:t>
      </w:r>
      <w:r>
        <w:t xml:space="preserve"> </w:t>
      </w:r>
      <w:r>
        <w:t xml:space="preserve">Economic activity in last 10 years (Q314)</w:t>
      </w:r>
    </w:p>
    <w:bookmarkEnd w:id="93"/>
    <w:bookmarkStart w:id="94" w:name="income-sources-q401-q402-4"/>
    <w:p>
      <w:pPr>
        <w:pStyle w:val="Heading3"/>
      </w:pPr>
      <w:r>
        <w:t xml:space="preserve">5.4.2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1227127-3422-4858-b74d-b81adeeafc8b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1227127-3422-4858-b74d-b81adeeafc8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1,629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1531246-7318-4ecf-924d-a06d4a8c6c88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1531246-7318-4ecf-924d-a06d4a8c6c8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</w:tr>
    </w:tbl>
    <w:bookmarkEnd w:id="94"/>
    <w:bookmarkEnd w:id="95"/>
    <w:bookmarkStart w:id="96" w:name="food-security-4"/>
    <w:p>
      <w:pPr>
        <w:pStyle w:val="Heading2"/>
      </w:pPr>
      <w:r>
        <w:t xml:space="preserve">5.5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99c762-8201-4b60-bb59-9e09e1dd694f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199c762-8201-4b60-bb59-9e09e1dd694f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b491b16-a75c-46d0-90ad-43a1c4948178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b491b16-a75c-46d0-90ad-43a1c4948178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1.6% - 5.9%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96"/>
    <w:bookmarkStart w:id="98" w:name="health-4"/>
    <w:p>
      <w:pPr>
        <w:pStyle w:val="Heading2"/>
      </w:pPr>
      <w:r>
        <w:t xml:space="preserve">5.6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94a7db-aad0-4611-bbff-32c6cd9f912b" w:name="unnamed-chunk-10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94a7db-aad0-4611-bbff-32c6cd9f912b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97" w:name="X3a2945b1bcacc1a3823a9129eefd68dc7d3ab36"/>
    <w:p>
      <w:pPr>
        <w:pStyle w:val="Heading3"/>
      </w:pPr>
      <w:r>
        <w:t xml:space="preserve">5.6.1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aa4ae26-1db5-41ea-983d-65dbe04ca046" w:name="unnamed-chunk-1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aa4ae26-1db5-41ea-983d-65dbe04ca046"/>
      <w:r>
        <w:t xml:space="preserve">: </w:t>
      </w:r>
      <w:r>
        <w:t xml:space="preserve">Health clinic satisfaction by service,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-15.6%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-6.3% - 76.1%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97"/>
    <w:bookmarkEnd w:id="98"/>
    <w:bookmarkEnd w:id="99"/>
    <w:bookmarkStart w:id="115" w:name="duk-jonglei"/>
    <w:p>
      <w:pPr>
        <w:pStyle w:val="Heading1"/>
      </w:pPr>
      <w:r>
        <w:t xml:space="preserve">6</w:t>
      </w:r>
      <w:r>
        <w:t xml:space="preserve"> </w:t>
      </w:r>
      <w:r>
        <w:t xml:space="preserve">Duk (Jonglei)</w:t>
      </w:r>
    </w:p>
    <w:bookmarkStart w:id="106" w:name="age-5"/>
    <w:p>
      <w:pPr>
        <w:pStyle w:val="Heading2"/>
      </w:pPr>
      <w:r>
        <w:t xml:space="preserve">6.1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density,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Duk" title="" id="10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density,%20Duk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Duk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pyramid,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0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pyramid,%20Duk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06"/>
    <w:bookmarkStart w:id="107" w:name="household-5"/>
    <w:p>
      <w:pPr>
        <w:pStyle w:val="Heading2"/>
      </w:pPr>
      <w:r>
        <w:t xml:space="preserve">6.2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d0e839-7062-4adf-8379-7bbb86556617" w:name="unnamed-chunk-1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d0e839-7062-4adf-8379-7bbb86556617"/>
      <w:r>
        <w:t xml:space="preserve">: </w:t>
      </w:r>
      <w:r>
        <w:t xml:space="preserve">Household size,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ec332e4-0a2c-467f-a943-6e140009f31f" w:name="unnamed-chunk-1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c332e4-0a2c-467f-a943-6e140009f31f"/>
      <w:r>
        <w:t xml:space="preserve">: </w:t>
      </w:r>
      <w:r>
        <w:t xml:space="preserve">Proportion females 12-18 married,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11.7% - 23.8%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107"/>
    <w:bookmarkStart w:id="108" w:name="education-5"/>
    <w:p>
      <w:pPr>
        <w:pStyle w:val="Heading2"/>
      </w:pPr>
      <w:r>
        <w:t xml:space="preserve">6.3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c0594c-e355-4296-9b94-dc6e999a5bb0" w:name="unnamed-chunk-1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c0594c-e355-4296-9b94-dc6e999a5bb0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bookmarkEnd w:id="108"/>
    <w:bookmarkStart w:id="111" w:name="livelihoods-5"/>
    <w:p>
      <w:pPr>
        <w:pStyle w:val="Heading2"/>
      </w:pPr>
      <w:r>
        <w:t xml:space="preserve">6.4</w:t>
      </w:r>
      <w:r>
        <w:t xml:space="preserve"> </w:t>
      </w:r>
      <w:r>
        <w:t xml:space="preserve">Livelihoods</w:t>
      </w:r>
    </w:p>
    <w:bookmarkStart w:id="109" w:name="X61cd373a174d4a1293aac65da42efe436e592a7"/>
    <w:p>
      <w:pPr>
        <w:pStyle w:val="Heading3"/>
      </w:pPr>
      <w:r>
        <w:t xml:space="preserve">6.4.1</w:t>
      </w:r>
      <w:r>
        <w:t xml:space="preserve"> </w:t>
      </w:r>
      <w:r>
        <w:t xml:space="preserve">Economic activity in last 10 years (Q314)</w:t>
      </w:r>
    </w:p>
    <w:bookmarkEnd w:id="109"/>
    <w:bookmarkStart w:id="110" w:name="income-sources-q401-q402-5"/>
    <w:p>
      <w:pPr>
        <w:pStyle w:val="Heading3"/>
      </w:pPr>
      <w:r>
        <w:t xml:space="preserve">6.4.2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b847bd6-fafb-49da-accf-166f23bf6cd1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b847bd6-fafb-49da-accf-166f23bf6cd1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a404eb4-2233-47e7-8611-e5d813010cb4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a404eb4-2233-47e7-8611-e5d813010cb4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10"/>
    <w:bookmarkEnd w:id="111"/>
    <w:bookmarkStart w:id="112" w:name="food-security-5"/>
    <w:p>
      <w:pPr>
        <w:pStyle w:val="Heading2"/>
      </w:pPr>
      <w:r>
        <w:t xml:space="preserve">6.5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f64d13-59f2-40a5-bfb1-dba142db8a0a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3f64d13-59f2-40a5-bfb1-dba142db8a0a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834c69b-b1af-45b0-bd2f-228f90c00434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34c69b-b1af-45b0-bd2f-228f90c0043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 - 33.7%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112"/>
    <w:bookmarkStart w:id="114" w:name="health-5"/>
    <w:p>
      <w:pPr>
        <w:pStyle w:val="Heading2"/>
      </w:pPr>
      <w:r>
        <w:t xml:space="preserve">6.6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0bd11f9-1f57-4fbb-8a09-4e6541209c26" w:name="unnamed-chunk-1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bd11f9-1f57-4fbb-8a09-4e6541209c26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13" w:name="X47711429c994810450c94138abc4ba1a6c1459d"/>
    <w:p>
      <w:pPr>
        <w:pStyle w:val="Heading3"/>
      </w:pPr>
      <w:r>
        <w:t xml:space="preserve">6.6.1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0e88fb-bbfe-4b60-a8fd-b7f216fd22c5" w:name="unnamed-chunk-1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0e88fb-bbfe-4b60-a8fd-b7f216fd22c5"/>
      <w:r>
        <w:t xml:space="preserve">: </w:t>
      </w:r>
      <w:r>
        <w:t xml:space="preserve">Health clinic satisfaction by service,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13"/>
    <w:bookmarkEnd w:id="114"/>
    <w:bookmarkEnd w:id="115"/>
    <w:bookmarkStart w:id="130" w:name="pibor-jonglei"/>
    <w:p>
      <w:pPr>
        <w:pStyle w:val="Heading1"/>
      </w:pPr>
      <w:r>
        <w:t xml:space="preserve">7</w:t>
      </w:r>
      <w:r>
        <w:t xml:space="preserve"> </w:t>
      </w:r>
      <w:r>
        <w:t xml:space="preserve">Pibor (Jonglei)</w:t>
      </w:r>
    </w:p>
    <w:bookmarkStart w:id="122" w:name="age-6"/>
    <w:p>
      <w:pPr>
        <w:pStyle w:val="Heading2"/>
      </w:pPr>
      <w:r>
        <w:t xml:space="preserve">7.1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density,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ibor" title="" id="11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density,%20Pibor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Pibor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pyramid,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2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pyramid,%20Pibor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22"/>
    <w:bookmarkStart w:id="123" w:name="education-6"/>
    <w:p>
      <w:pPr>
        <w:pStyle w:val="Heading2"/>
      </w:pPr>
      <w:r>
        <w:t xml:space="preserve">7.2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538c97a-af82-4e02-b05f-864c9636ad39" w:name="unnamed-chunk-1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38c97a-af82-4e02-b05f-864c9636ad39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bookmarkEnd w:id="123"/>
    <w:bookmarkStart w:id="126" w:name="livelihoods-6"/>
    <w:p>
      <w:pPr>
        <w:pStyle w:val="Heading2"/>
      </w:pPr>
      <w:r>
        <w:t xml:space="preserve">7.3</w:t>
      </w:r>
      <w:r>
        <w:t xml:space="preserve"> </w:t>
      </w:r>
      <w:r>
        <w:t xml:space="preserve">Livelihoods</w:t>
      </w:r>
    </w:p>
    <w:bookmarkStart w:id="124" w:name="X5f2d123130ed6978411ecc79b82f1393c55f70b"/>
    <w:p>
      <w:pPr>
        <w:pStyle w:val="Heading3"/>
      </w:pPr>
      <w:r>
        <w:t xml:space="preserve">7.3.1</w:t>
      </w:r>
      <w:r>
        <w:t xml:space="preserve"> </w:t>
      </w:r>
      <w:r>
        <w:t xml:space="preserve">Economic activity in last 10 years (Q314)</w:t>
      </w:r>
    </w:p>
    <w:bookmarkEnd w:id="124"/>
    <w:bookmarkStart w:id="125" w:name="income-sources-q401-q402-6"/>
    <w:p>
      <w:pPr>
        <w:pStyle w:val="Heading3"/>
      </w:pPr>
      <w:r>
        <w:t xml:space="preserve">7.3.2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4974821-cfa8-4557-820d-ed79dadcbc6f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4974821-cfa8-4557-820d-ed79dadcbc6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1d43e9a0-e617-4897-8a31-a4297cd54f18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1d43e9a0-e617-4897-8a31-a4297cd54f1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125"/>
    <w:bookmarkEnd w:id="126"/>
    <w:bookmarkStart w:id="127" w:name="food-security-6"/>
    <w:p>
      <w:pPr>
        <w:pStyle w:val="Heading2"/>
      </w:pPr>
      <w:r>
        <w:t xml:space="preserve">7.4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8909b0-0828-4159-8bfa-a11c85a277c0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8909b0-0828-4159-8bfa-a11c85a277c0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8.8 - 10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6e9f1dc-f037-41e4-abc3-f8d32e8704b1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6e9f1dc-f037-41e4-abc3-f8d32e8704b1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</w:tbl>
    <w:bookmarkEnd w:id="127"/>
    <w:bookmarkStart w:id="129" w:name="health-6"/>
    <w:p>
      <w:pPr>
        <w:pStyle w:val="Heading2"/>
      </w:pPr>
      <w:r>
        <w:t xml:space="preserve">7.5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5fc85c-e3b5-4c11-a46a-4b5078047f23" w:name="unnamed-chunk-1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5fc85c-e3b5-4c11-a46a-4b5078047f23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28" w:name="Xae4f740a69f52e2fe826c025158e38723571c01"/>
    <w:p>
      <w:pPr>
        <w:pStyle w:val="Heading3"/>
      </w:pPr>
      <w:r>
        <w:t xml:space="preserve">7.5.1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699d53-589d-4489-902b-9b8a2a5cac21" w:name="unnamed-chunk-1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699d53-589d-4489-902b-9b8a2a5cac21"/>
      <w:r>
        <w:t xml:space="preserve">: </w:t>
      </w:r>
      <w:r>
        <w:t xml:space="preserve">Health clinic satisfaction by service, Pibor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-0.9% - 83.9%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28"/>
    <w:bookmarkEnd w:id="129"/>
    <w:bookmarkEnd w:id="130"/>
    <w:bookmarkStart w:id="146" w:name="uror-jonglei"/>
    <w:p>
      <w:pPr>
        <w:pStyle w:val="Heading1"/>
      </w:pPr>
      <w:r>
        <w:t xml:space="preserve">8</w:t>
      </w:r>
      <w:r>
        <w:t xml:space="preserve"> </w:t>
      </w:r>
      <w:r>
        <w:t xml:space="preserve">Uror (Jonglei)</w:t>
      </w:r>
    </w:p>
    <w:bookmarkStart w:id="137" w:name="age-7"/>
    <w:p>
      <w:pPr>
        <w:pStyle w:val="Heading2"/>
      </w:pPr>
      <w:r>
        <w:t xml:space="preserve">8.1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density,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ror" title="" id="13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density,%20Uror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Uror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pyramid,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3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pyramid,%20Uror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37"/>
    <w:bookmarkStart w:id="138" w:name="household-6"/>
    <w:p>
      <w:pPr>
        <w:pStyle w:val="Heading2"/>
      </w:pPr>
      <w:r>
        <w:t xml:space="preserve">8.2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cd075e8-3efe-44d4-8a7b-688e89c2e3ea" w:name="unnamed-chunk-1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cd075e8-3efe-44d4-8a7b-688e89c2e3ea"/>
      <w:r>
        <w:t xml:space="preserve">: </w:t>
      </w:r>
      <w:r>
        <w:t xml:space="preserve">Household size,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0607e1f-6933-4d77-a538-03212233443b" w:name="unnamed-chunk-1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607e1f-6933-4d77-a538-03212233443b"/>
      <w:r>
        <w:t xml:space="preserve">: </w:t>
      </w:r>
      <w:r>
        <w:t xml:space="preserve">Proportion females 12-18 married,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21.2% - 25.9%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138"/>
    <w:bookmarkStart w:id="139" w:name="education-7"/>
    <w:p>
      <w:pPr>
        <w:pStyle w:val="Heading2"/>
      </w:pPr>
      <w:r>
        <w:t xml:space="preserve">8.3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057089-9b71-4bc1-a254-28f37010629c" w:name="unnamed-chunk-1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057089-9b71-4bc1-a254-28f37010629c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bookmarkEnd w:id="139"/>
    <w:bookmarkStart w:id="142" w:name="livelihoods-7"/>
    <w:p>
      <w:pPr>
        <w:pStyle w:val="Heading2"/>
      </w:pPr>
      <w:r>
        <w:t xml:space="preserve">8.4</w:t>
      </w:r>
      <w:r>
        <w:t xml:space="preserve"> </w:t>
      </w:r>
      <w:r>
        <w:t xml:space="preserve">Livelihoods</w:t>
      </w:r>
    </w:p>
    <w:bookmarkStart w:id="140" w:name="X611f15bdeea8df4e0aedfddfab8beb6d69e8612"/>
    <w:p>
      <w:pPr>
        <w:pStyle w:val="Heading3"/>
      </w:pPr>
      <w:r>
        <w:t xml:space="preserve">8.4.1</w:t>
      </w:r>
      <w:r>
        <w:t xml:space="preserve"> </w:t>
      </w:r>
      <w:r>
        <w:t xml:space="preserve">Economic activity in last 10 years (Q314)</w:t>
      </w:r>
    </w:p>
    <w:bookmarkEnd w:id="140"/>
    <w:bookmarkStart w:id="141" w:name="income-sources-q401-q402-7"/>
    <w:p>
      <w:pPr>
        <w:pStyle w:val="Heading3"/>
      </w:pPr>
      <w:r>
        <w:t xml:space="preserve">8.4.2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a14fabc-d548-45ab-8ab1-52c49d92d26e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a14fabc-d548-45ab-8ab1-52c49d92d26e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1,953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029398e-5540-4f0d-ac2a-61749ff990bf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029398e-5540-4f0d-ac2a-61749ff990bf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</w:tbl>
          <w:p/>
        </w:tc>
      </w:tr>
    </w:tbl>
    <w:bookmarkEnd w:id="141"/>
    <w:bookmarkEnd w:id="142"/>
    <w:bookmarkStart w:id="143" w:name="food-security-7"/>
    <w:p>
      <w:pPr>
        <w:pStyle w:val="Heading2"/>
      </w:pPr>
      <w:r>
        <w:t xml:space="preserve">8.5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a764ad6-5e53-456d-a113-1f668f793873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764ad6-5e53-456d-a113-1f668f79387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3.4 - 3.9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7cd7aa3-e8ee-4a0e-803b-e1a8f835b4ae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cd7aa3-e8ee-4a0e-803b-e1a8f835b4ae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28.1% - 50.3%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43"/>
    <w:bookmarkStart w:id="145" w:name="health-7"/>
    <w:p>
      <w:pPr>
        <w:pStyle w:val="Heading2"/>
      </w:pPr>
      <w:r>
        <w:t xml:space="preserve">8.6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66b239-ef96-4bf8-8f6f-a3576e2cab54" w:name="unnamed-chunk-1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66b239-ef96-4bf8-8f6f-a3576e2cab54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44" w:name="X05e8eead5e3300155c746a47984b7bc0c3e0da8"/>
    <w:p>
      <w:pPr>
        <w:pStyle w:val="Heading3"/>
      </w:pPr>
      <w:r>
        <w:t xml:space="preserve">8.6.1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3c3bb43-ab51-4d16-bfb7-a79e62bbf018" w:name="unnamed-chunk-1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3c3bb43-ab51-4d16-bfb7-a79e62bbf018"/>
      <w:r>
        <w:t xml:space="preserve">: </w:t>
      </w:r>
      <w:r>
        <w:t xml:space="preserve">Health clinic satisfaction by service,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-0.4% - 29.7%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-16.7% - 64.8%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bookmarkEnd w:id="144"/>
    <w:bookmarkEnd w:id="145"/>
    <w:bookmarkEnd w:id="146"/>
    <w:bookmarkStart w:id="162" w:name="leer-unity"/>
    <w:p>
      <w:pPr>
        <w:pStyle w:val="Heading1"/>
      </w:pPr>
      <w:r>
        <w:t xml:space="preserve">9</w:t>
      </w:r>
      <w:r>
        <w:t xml:space="preserve"> </w:t>
      </w:r>
      <w:r>
        <w:t xml:space="preserve">Leer (Unity)</w:t>
      </w:r>
    </w:p>
    <w:bookmarkStart w:id="153" w:name="age-8"/>
    <w:p>
      <w:pPr>
        <w:pStyle w:val="Heading2"/>
      </w:pPr>
      <w:r>
        <w:t xml:space="preserve">9.1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density,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Leer" title="" id="14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density,%20Leer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Leer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pyramid,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5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pyramid,%20Leer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53"/>
    <w:bookmarkStart w:id="154" w:name="household-7"/>
    <w:p>
      <w:pPr>
        <w:pStyle w:val="Heading2"/>
      </w:pPr>
      <w:r>
        <w:t xml:space="preserve">9.2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c90feef-9abf-438c-bfc8-093f2f358175" w:name="unnamed-chunk-1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c90feef-9abf-438c-bfc8-093f2f358175"/>
      <w:r>
        <w:t xml:space="preserve">: </w:t>
      </w:r>
      <w:r>
        <w:t xml:space="preserve">Household size,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6.9 - 7.5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27e88f1-0dea-489c-9e9f-af12dbdeedc3" w:name="unnamed-chunk-1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7e88f1-0dea-489c-9e9f-af12dbdeedc3"/>
      <w:r>
        <w:t xml:space="preserve">: </w:t>
      </w:r>
      <w:r>
        <w:t xml:space="preserve">Proportion females 12-18 married,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- 20.3%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12.3% - 17.4%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4"/>
    <w:bookmarkStart w:id="155" w:name="education-8"/>
    <w:p>
      <w:pPr>
        <w:pStyle w:val="Heading2"/>
      </w:pPr>
      <w:r>
        <w:t xml:space="preserve">9.3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85db73-2c14-49e2-8fa7-390c29d1a858" w:name="unnamed-chunk-19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85db73-2c14-49e2-8fa7-390c29d1a85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bookmarkEnd w:id="155"/>
    <w:bookmarkStart w:id="158" w:name="livelihoods-8"/>
    <w:p>
      <w:pPr>
        <w:pStyle w:val="Heading2"/>
      </w:pPr>
      <w:r>
        <w:t xml:space="preserve">9.4</w:t>
      </w:r>
      <w:r>
        <w:t xml:space="preserve"> </w:t>
      </w:r>
      <w:r>
        <w:t xml:space="preserve">Livelihoods</w:t>
      </w:r>
    </w:p>
    <w:bookmarkStart w:id="156" w:name="X69fa3b90a47080d3c018065d440ed9a1ecc4497"/>
    <w:p>
      <w:pPr>
        <w:pStyle w:val="Heading3"/>
      </w:pPr>
      <w:r>
        <w:t xml:space="preserve">9.4.1</w:t>
      </w:r>
      <w:r>
        <w:t xml:space="preserve"> </w:t>
      </w:r>
      <w:r>
        <w:t xml:space="preserve">Economic activity in last 10 years (Q314)</w:t>
      </w:r>
    </w:p>
    <w:bookmarkEnd w:id="156"/>
    <w:bookmarkStart w:id="157" w:name="income-sources-q401-q402-8"/>
    <w:p>
      <w:pPr>
        <w:pStyle w:val="Heading3"/>
      </w:pPr>
      <w:r>
        <w:t xml:space="preserve">9.4.2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e328899-fc8d-4b56-8b2d-a7133d4dddcf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e328899-fc8d-4b56-8b2d-a7133d4dddc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1,660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54d7c26-dc26-4868-8758-ff964977aafb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54d7c26-dc26-4868-8758-ff964977aafb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57"/>
    <w:bookmarkEnd w:id="158"/>
    <w:bookmarkStart w:id="159" w:name="food-security-8"/>
    <w:p>
      <w:pPr>
        <w:pStyle w:val="Heading2"/>
      </w:pPr>
      <w:r>
        <w:t xml:space="preserve">9.5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8467337-7669-440b-a1b4-97d7fc526919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8467337-7669-440b-a1b4-97d7fc526919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3.3 - 3.5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52887d2-8c5e-4f47-9854-28012ac0f523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52887d2-8c5e-4f47-9854-28012ac0f523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17.9% - 28.5%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9"/>
    <w:bookmarkStart w:id="161" w:name="health-8"/>
    <w:p>
      <w:pPr>
        <w:pStyle w:val="Heading2"/>
      </w:pPr>
      <w:r>
        <w:t xml:space="preserve">9.6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de6233-10da-4b7c-aba5-b0536b81f6c9" w:name="unnamed-chunk-2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de6233-10da-4b7c-aba5-b0536b81f6c9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60" w:name="X169ae7c2c4d7caa804c93e74715d128f298fe37"/>
    <w:p>
      <w:pPr>
        <w:pStyle w:val="Heading3"/>
      </w:pPr>
      <w:r>
        <w:t xml:space="preserve">9.6.1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53b5c00-fca1-4dfd-a8e9-99b372ebc143" w:name="unnamed-chunk-20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53b5c00-fca1-4dfd-a8e9-99b372ebc143"/>
      <w:r>
        <w:t xml:space="preserve">: </w:t>
      </w:r>
      <w:r>
        <w:t xml:space="preserve">Health clinic satisfaction by service,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60"/>
    <w:bookmarkEnd w:id="161"/>
    <w:bookmarkEnd w:id="162"/>
    <w:bookmarkStart w:id="178" w:name="mayendit-unity"/>
    <w:p>
      <w:pPr>
        <w:pStyle w:val="Heading1"/>
      </w:pPr>
      <w:r>
        <w:t xml:space="preserve">10</w:t>
      </w:r>
      <w:r>
        <w:t xml:space="preserve"> </w:t>
      </w:r>
      <w:r>
        <w:t xml:space="preserve">Mayendit (Unity)</w:t>
      </w:r>
    </w:p>
    <w:bookmarkStart w:id="169" w:name="age-9"/>
    <w:p>
      <w:pPr>
        <w:pStyle w:val="Heading2"/>
      </w:pPr>
      <w:r>
        <w:t xml:space="preserve">10.1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density,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Mayendit" title="" id="16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density,%20Mayendit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Mayendit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pyramid,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6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pyramid,%20Mayendit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69"/>
    <w:bookmarkStart w:id="170" w:name="household-8"/>
    <w:p>
      <w:pPr>
        <w:pStyle w:val="Heading2"/>
      </w:pPr>
      <w:r>
        <w:t xml:space="preserve">10.2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f2086c8-5d40-4334-8393-6119168597fb" w:name="unnamed-chunk-2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2086c8-5d40-4334-8393-6119168597fb"/>
      <w:r>
        <w:t xml:space="preserve">: </w:t>
      </w:r>
      <w:r>
        <w:t xml:space="preserve">Household size,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f1435643-4098-4adb-910c-ce923a2b5087" w:name="unnamed-chunk-2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435643-4098-4adb-910c-ce923a2b5087"/>
      <w:r>
        <w:t xml:space="preserve">: </w:t>
      </w:r>
      <w:r>
        <w:t xml:space="preserve">Proportion females 12-18 married,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0"/>
    <w:bookmarkStart w:id="171" w:name="education-9"/>
    <w:p>
      <w:pPr>
        <w:pStyle w:val="Heading2"/>
      </w:pPr>
      <w:r>
        <w:t xml:space="preserve">10.3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77392bc-12f0-4122-918d-a353a084fabb" w:name="unnamed-chunk-2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77392bc-12f0-4122-918d-a353a084fabb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bookmarkEnd w:id="171"/>
    <w:bookmarkStart w:id="174" w:name="livelihoods-9"/>
    <w:p>
      <w:pPr>
        <w:pStyle w:val="Heading2"/>
      </w:pPr>
      <w:r>
        <w:t xml:space="preserve">10.4</w:t>
      </w:r>
      <w:r>
        <w:t xml:space="preserve"> </w:t>
      </w:r>
      <w:r>
        <w:t xml:space="preserve">Livelihoods</w:t>
      </w:r>
    </w:p>
    <w:bookmarkStart w:id="172" w:name="Xc73996639243b5328afee16546af31c17de0352"/>
    <w:p>
      <w:pPr>
        <w:pStyle w:val="Heading3"/>
      </w:pPr>
      <w:r>
        <w:t xml:space="preserve">10.4.1</w:t>
      </w:r>
      <w:r>
        <w:t xml:space="preserve"> </w:t>
      </w:r>
      <w:r>
        <w:t xml:space="preserve">Economic activity in last 10 years (Q314)</w:t>
      </w:r>
    </w:p>
    <w:bookmarkEnd w:id="172"/>
    <w:bookmarkStart w:id="173" w:name="income-sources-q401-q402-9"/>
    <w:p>
      <w:pPr>
        <w:pStyle w:val="Heading3"/>
      </w:pPr>
      <w:r>
        <w:t xml:space="preserve">10.4.2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11770ad-59ce-4e5c-a199-65dc62a52563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11770ad-59ce-4e5c-a199-65dc62a52563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1,062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8b47c9e-2b2a-4fce-a16c-24bca6000bbd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8b47c9e-2b2a-4fce-a16c-24bca6000bbd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</w:tr>
    </w:tbl>
    <w:bookmarkEnd w:id="173"/>
    <w:bookmarkEnd w:id="174"/>
    <w:bookmarkStart w:id="175" w:name="food-security-9"/>
    <w:p>
      <w:pPr>
        <w:pStyle w:val="Heading2"/>
      </w:pPr>
      <w:r>
        <w:t xml:space="preserve">10.5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32546f0-5c7d-4621-a0c5-c34d2c8bdd65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32546f0-5c7d-4621-a0c5-c34d2c8bdd65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0ab8f50-6660-4850-b4fd-deca4dd4779c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0ab8f50-6660-4850-b4fd-deca4dd4779c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12% - 22.8%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5"/>
    <w:bookmarkStart w:id="177" w:name="health-9"/>
    <w:p>
      <w:pPr>
        <w:pStyle w:val="Heading2"/>
      </w:pPr>
      <w:r>
        <w:t xml:space="preserve">10.6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a80ff51-e5e3-48cf-a440-070ef98d172a" w:name="unnamed-chunk-2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a80ff51-e5e3-48cf-a440-070ef98d172a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76" w:name="Xafcf5fe9360b83d79032f9f54c3ef4bdb223b79"/>
    <w:p>
      <w:pPr>
        <w:pStyle w:val="Heading3"/>
      </w:pPr>
      <w:r>
        <w:t xml:space="preserve">10.6.1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30d12b-368e-4bd9-91f4-bdf1a2207397" w:name="unnamed-chunk-2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30d12b-368e-4bd9-91f4-bdf1a2207397"/>
      <w:r>
        <w:t xml:space="preserve">: </w:t>
      </w:r>
      <w:r>
        <w:t xml:space="preserve">Health clinic satisfaction by service,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76"/>
    <w:bookmarkEnd w:id="177"/>
    <w:bookmarkEnd w:id="178"/>
    <w:bookmarkStart w:id="194" w:name="panyijar-unity"/>
    <w:p>
      <w:pPr>
        <w:pStyle w:val="Heading1"/>
      </w:pPr>
      <w:r>
        <w:t xml:space="preserve">11</w:t>
      </w:r>
      <w:r>
        <w:t xml:space="preserve"> </w:t>
      </w:r>
      <w:r>
        <w:t xml:space="preserve">Panyijar (Unity)</w:t>
      </w:r>
    </w:p>
    <w:bookmarkStart w:id="185" w:name="age-10"/>
    <w:p>
      <w:pPr>
        <w:pStyle w:val="Heading2"/>
      </w:pPr>
      <w:r>
        <w:t xml:space="preserve">11.1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density,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anyijar" title="" id="18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density,%20Panyijar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Panyijar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pyramid,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8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pyramid,%20Panyijar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85"/>
    <w:bookmarkStart w:id="186" w:name="household-9"/>
    <w:p>
      <w:pPr>
        <w:pStyle w:val="Heading2"/>
      </w:pPr>
      <w:r>
        <w:t xml:space="preserve">11.2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c8fe80c-16bc-4aec-a0c6-4bec6cbda81e" w:name="unnamed-chunk-2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c8fe80c-16bc-4aec-a0c6-4bec6cbda81e"/>
      <w:r>
        <w:t xml:space="preserve">: </w:t>
      </w:r>
      <w:r>
        <w:t xml:space="preserve">Household size,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ca06922-96b7-4b94-9cb7-e16c4366641e" w:name="unnamed-chunk-2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ca06922-96b7-4b94-9cb7-e16c4366641e"/>
      <w:r>
        <w:t xml:space="preserve">: </w:t>
      </w:r>
      <w:r>
        <w:t xml:space="preserve">Proportion females 12-18 married,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</w:tbl>
    <w:bookmarkEnd w:id="186"/>
    <w:bookmarkStart w:id="187" w:name="education-10"/>
    <w:p>
      <w:pPr>
        <w:pStyle w:val="Heading2"/>
      </w:pPr>
      <w:r>
        <w:t xml:space="preserve">11.3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60b864-a26d-4d59-b791-21df04bd72ee" w:name="unnamed-chunk-2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60b864-a26d-4d59-b791-21df04bd72ee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bookmarkEnd w:id="187"/>
    <w:bookmarkStart w:id="190" w:name="livelihoods-10"/>
    <w:p>
      <w:pPr>
        <w:pStyle w:val="Heading2"/>
      </w:pPr>
      <w:r>
        <w:t xml:space="preserve">11.4</w:t>
      </w:r>
      <w:r>
        <w:t xml:space="preserve"> </w:t>
      </w:r>
      <w:r>
        <w:t xml:space="preserve">Livelihoods</w:t>
      </w:r>
    </w:p>
    <w:bookmarkStart w:id="188" w:name="X591c0546062c251133c4965000d2797e7f8ee4b"/>
    <w:p>
      <w:pPr>
        <w:pStyle w:val="Heading3"/>
      </w:pPr>
      <w:r>
        <w:t xml:space="preserve">11.4.1</w:t>
      </w:r>
      <w:r>
        <w:t xml:space="preserve"> </w:t>
      </w:r>
      <w:r>
        <w:t xml:space="preserve">Economic activity in last 10 years (Q314)</w:t>
      </w:r>
    </w:p>
    <w:bookmarkEnd w:id="188"/>
    <w:bookmarkStart w:id="189" w:name="income-sources-q401-q402-10"/>
    <w:p>
      <w:pPr>
        <w:pStyle w:val="Heading3"/>
      </w:pPr>
      <w:r>
        <w:t xml:space="preserve">11.4.2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546fcab-f25a-47d8-b89e-7409aaea274d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546fcab-f25a-47d8-b89e-7409aaea274d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09e4e1f-537f-4c7f-82d1-6c5bf7b8072d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09e4e1f-537f-4c7f-82d1-6c5bf7b8072d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</w:tr>
    </w:tbl>
    <w:bookmarkEnd w:id="189"/>
    <w:bookmarkEnd w:id="190"/>
    <w:bookmarkStart w:id="191" w:name="food-security-10"/>
    <w:p>
      <w:pPr>
        <w:pStyle w:val="Heading2"/>
      </w:pPr>
      <w:r>
        <w:t xml:space="preserve">11.5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ae9fd6e-0e21-474f-8129-94e490ec68cd" w:name="unnamed-chunk-2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ae9fd6e-0e21-474f-8129-94e490ec68cd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34632ae-a9bc-4e32-9b60-6e2582de6df4" w:name="unnamed-chunk-2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4632ae-a9bc-4e32-9b60-6e2582de6df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</w:tbl>
    <w:bookmarkEnd w:id="191"/>
    <w:bookmarkStart w:id="193" w:name="health-10"/>
    <w:p>
      <w:pPr>
        <w:pStyle w:val="Heading2"/>
      </w:pPr>
      <w:r>
        <w:t xml:space="preserve">11.6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24ab9d-a626-4bb6-9eeb-ec495a41160d" w:name="unnamed-chunk-2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24ab9d-a626-4bb6-9eeb-ec495a41160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92" w:name="X07dc6375f89058c5e4d64a9acf0bec2edeeab5e"/>
    <w:p>
      <w:pPr>
        <w:pStyle w:val="Heading3"/>
      </w:pPr>
      <w:r>
        <w:t xml:space="preserve">11.6.1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82bca3-f129-4d31-8e30-b7c2082aa287" w:name="unnamed-chunk-2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82bca3-f129-4d31-8e30-b7c2082aa287"/>
      <w:r>
        <w:t xml:space="preserve">: </w:t>
      </w:r>
      <w:r>
        <w:t xml:space="preserve">Health clinic satisfaction by service,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</w:tbl>
    <w:bookmarkEnd w:id="192"/>
    <w:bookmarkEnd w:id="193"/>
    <w:bookmarkEnd w:id="194"/>
    <w:bookmarkStart w:id="210" w:name="baliet-upper-nile"/>
    <w:p>
      <w:pPr>
        <w:pStyle w:val="Heading1"/>
      </w:pPr>
      <w:r>
        <w:t xml:space="preserve">12</w:t>
      </w:r>
      <w:r>
        <w:t xml:space="preserve"> </w:t>
      </w:r>
      <w:r>
        <w:t xml:space="preserve">Baliet (Upper Nile)</w:t>
      </w:r>
    </w:p>
    <w:bookmarkStart w:id="201" w:name="age-11"/>
    <w:p>
      <w:pPr>
        <w:pStyle w:val="Heading2"/>
      </w:pPr>
      <w:r>
        <w:t xml:space="preserve">12.1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density,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aliet" title="" id="19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density,%20Baliet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Baliet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pyramid,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9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pyramid,%20Baliet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01"/>
    <w:bookmarkStart w:id="202" w:name="household-10"/>
    <w:p>
      <w:pPr>
        <w:pStyle w:val="Heading2"/>
      </w:pPr>
      <w:r>
        <w:t xml:space="preserve">12.2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5d20ea-5c2e-4df6-ad10-69d6f45649b3" w:name="unnamed-chunk-2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5d20ea-5c2e-4df6-ad10-69d6f45649b3"/>
      <w:r>
        <w:t xml:space="preserve">: </w:t>
      </w:r>
      <w:r>
        <w:t xml:space="preserve">Household size,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37ad9c8-aa0a-4330-a145-fa1db7b274b6" w:name="unnamed-chunk-2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37ad9c8-aa0a-4330-a145-fa1db7b274b6"/>
      <w:r>
        <w:t xml:space="preserve">: </w:t>
      </w:r>
      <w:r>
        <w:t xml:space="preserve">Proportion females 12-18 married,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- 28.7%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202"/>
    <w:bookmarkStart w:id="203" w:name="education-11"/>
    <w:p>
      <w:pPr>
        <w:pStyle w:val="Heading2"/>
      </w:pPr>
      <w:r>
        <w:t xml:space="preserve">12.3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634c29-1580-4952-a21b-98a23e80a5e6" w:name="unnamed-chunk-2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634c29-1580-4952-a21b-98a23e80a5e6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bookmarkEnd w:id="203"/>
    <w:bookmarkStart w:id="206" w:name="livelihoods-11"/>
    <w:p>
      <w:pPr>
        <w:pStyle w:val="Heading2"/>
      </w:pPr>
      <w:r>
        <w:t xml:space="preserve">12.4</w:t>
      </w:r>
      <w:r>
        <w:t xml:space="preserve"> </w:t>
      </w:r>
      <w:r>
        <w:t xml:space="preserve">Livelihoods</w:t>
      </w:r>
    </w:p>
    <w:bookmarkStart w:id="204" w:name="X516fb7ec2e72b7e76c03dca54ff9b56a9289454"/>
    <w:p>
      <w:pPr>
        <w:pStyle w:val="Heading3"/>
      </w:pPr>
      <w:r>
        <w:t xml:space="preserve">12.4.1</w:t>
      </w:r>
      <w:r>
        <w:t xml:space="preserve"> </w:t>
      </w:r>
      <w:r>
        <w:t xml:space="preserve">Economic activity in last 10 years (Q314)</w:t>
      </w:r>
    </w:p>
    <w:bookmarkEnd w:id="204"/>
    <w:bookmarkStart w:id="205" w:name="income-sources-q401-q402-11"/>
    <w:p>
      <w:pPr>
        <w:pStyle w:val="Heading3"/>
      </w:pPr>
      <w:r>
        <w:t xml:space="preserve">12.4.2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d779d18-742f-47c6-a099-2c97ad53f3b1" w:name="unnamed-chunk-26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d779d18-742f-47c6-a099-2c97ad53f3b1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c3feaa9-2418-4198-938d-986cd15e67e8" w:name="unnamed-chunk-26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c3feaa9-2418-4198-938d-986cd15e67e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</w:tr>
    </w:tbl>
    <w:bookmarkEnd w:id="205"/>
    <w:bookmarkEnd w:id="206"/>
    <w:bookmarkStart w:id="207" w:name="food-security-11"/>
    <w:p>
      <w:pPr>
        <w:pStyle w:val="Heading2"/>
      </w:pPr>
      <w:r>
        <w:t xml:space="preserve">12.5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1e05114-fb46-4204-a855-a63580093112" w:name="unnamed-chunk-26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1e05114-fb46-4204-a855-a6358009311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5be19e2-f9bb-41f8-89cf-f3f66db88806" w:name="unnamed-chunk-26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be19e2-f9bb-41f8-89cf-f3f66db88806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6.5% - 25.3%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207"/>
    <w:bookmarkStart w:id="209" w:name="health-11"/>
    <w:p>
      <w:pPr>
        <w:pStyle w:val="Heading2"/>
      </w:pPr>
      <w:r>
        <w:t xml:space="preserve">12.6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a1f9fa-2483-49f4-9df3-53e00838e5dc" w:name="unnamed-chunk-2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a1f9fa-2483-49f4-9df3-53e00838e5dc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08" w:name="Xb975dd1d42d7aa6e63fb59812a3c42869be033c"/>
    <w:p>
      <w:pPr>
        <w:pStyle w:val="Heading3"/>
      </w:pPr>
      <w:r>
        <w:t xml:space="preserve">12.6.1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6859eb-8554-44cf-81c8-fe4f40d516dc" w:name="unnamed-chunk-2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6859eb-8554-44cf-81c8-fe4f40d516dc"/>
      <w:r>
        <w:t xml:space="preserve">: </w:t>
      </w:r>
      <w:r>
        <w:t xml:space="preserve">Health clinic satisfaction by service,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08"/>
    <w:bookmarkEnd w:id="209"/>
    <w:bookmarkEnd w:id="210"/>
    <w:bookmarkStart w:id="226" w:name="ulang-upper-nile"/>
    <w:p>
      <w:pPr>
        <w:pStyle w:val="Heading1"/>
      </w:pPr>
      <w:r>
        <w:t xml:space="preserve">13</w:t>
      </w:r>
      <w:r>
        <w:t xml:space="preserve"> </w:t>
      </w:r>
      <w:r>
        <w:t xml:space="preserve">Ulang (Upper Nile)</w:t>
      </w:r>
    </w:p>
    <w:bookmarkStart w:id="217" w:name="age-12"/>
    <w:p>
      <w:pPr>
        <w:pStyle w:val="Heading2"/>
      </w:pPr>
      <w:r>
        <w:t xml:space="preserve">13.1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density,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lang" title="" id="21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density,%20Ulang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Ulang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pyramid,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1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pyramid,%20Ulang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17"/>
    <w:bookmarkStart w:id="218" w:name="household-11"/>
    <w:p>
      <w:pPr>
        <w:pStyle w:val="Heading2"/>
      </w:pPr>
      <w:r>
        <w:t xml:space="preserve">13.2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22273fe-8a2e-4374-9b3d-021851106c0b" w:name="unnamed-chunk-2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2273fe-8a2e-4374-9b3d-021851106c0b"/>
      <w:r>
        <w:t xml:space="preserve">: </w:t>
      </w:r>
      <w:r>
        <w:t xml:space="preserve">Household size,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c20ea6a-2cdd-48db-b2f4-61fe5190e16c" w:name="unnamed-chunk-2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c20ea6a-2cdd-48db-b2f4-61fe5190e16c"/>
      <w:r>
        <w:t xml:space="preserve">: </w:t>
      </w:r>
      <w:r>
        <w:t xml:space="preserve">Proportion females 12-18 married,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- 25.2%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- 17.6%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218"/>
    <w:bookmarkStart w:id="219" w:name="education-12"/>
    <w:p>
      <w:pPr>
        <w:pStyle w:val="Heading2"/>
      </w:pPr>
      <w:r>
        <w:t xml:space="preserve">13.3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cb0ba4-548b-47ad-a361-2fc6248d4912" w:name="unnamed-chunk-2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cb0ba4-548b-47ad-a361-2fc6248d4912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bookmarkEnd w:id="219"/>
    <w:bookmarkStart w:id="222" w:name="livelihoods-12"/>
    <w:p>
      <w:pPr>
        <w:pStyle w:val="Heading2"/>
      </w:pPr>
      <w:r>
        <w:t xml:space="preserve">13.4</w:t>
      </w:r>
      <w:r>
        <w:t xml:space="preserve"> </w:t>
      </w:r>
      <w:r>
        <w:t xml:space="preserve">Livelihoods</w:t>
      </w:r>
    </w:p>
    <w:bookmarkStart w:id="220" w:name="Xd0e695fb5f607b659804ae0f7f1e83da9ec8956"/>
    <w:p>
      <w:pPr>
        <w:pStyle w:val="Heading3"/>
      </w:pPr>
      <w:r>
        <w:t xml:space="preserve">13.4.1</w:t>
      </w:r>
      <w:r>
        <w:t xml:space="preserve"> </w:t>
      </w:r>
      <w:r>
        <w:t xml:space="preserve">Economic activity in last 10 years (Q314)</w:t>
      </w:r>
    </w:p>
    <w:bookmarkEnd w:id="220"/>
    <w:bookmarkStart w:id="221" w:name="income-sources-q401-q402-12"/>
    <w:p>
      <w:pPr>
        <w:pStyle w:val="Heading3"/>
      </w:pPr>
      <w:r>
        <w:t xml:space="preserve">13.4.2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3529864-77f3-4e0f-9780-ccc880f34b87" w:name="unnamed-chunk-28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3529864-77f3-4e0f-9780-ccc880f34b87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2,322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6e40b85-4c24-4206-b00c-539ee67d4757" w:name="unnamed-chunk-28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6e40b85-4c24-4206-b00c-539ee67d475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4.3%</w:t>
                  </w:r>
                </w:p>
              </w:tc>
            </w:tr>
          </w:tbl>
          <w:p/>
        </w:tc>
      </w:tr>
    </w:tbl>
    <w:bookmarkEnd w:id="221"/>
    <w:bookmarkEnd w:id="222"/>
    <w:bookmarkStart w:id="223" w:name="food-security-12"/>
    <w:p>
      <w:pPr>
        <w:pStyle w:val="Heading2"/>
      </w:pPr>
      <w:r>
        <w:t xml:space="preserve">13.5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feb9dc-b66a-4662-a83c-7b452ff099a0" w:name="unnamed-chunk-29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feb9dc-b66a-4662-a83c-7b452ff099a0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4f9444d-0db7-41ee-8571-bfce6270bf56" w:name="unnamed-chunk-29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4f9444d-0db7-41ee-8571-bfce6270bf56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 - 42.7%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23"/>
    <w:bookmarkStart w:id="225" w:name="health-12"/>
    <w:p>
      <w:pPr>
        <w:pStyle w:val="Heading2"/>
      </w:pPr>
      <w:r>
        <w:t xml:space="preserve">13.6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b954bc-fc7b-4963-b7b4-c88e79bba4ac" w:name="unnamed-chunk-2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b954bc-fc7b-4963-b7b4-c88e79bba4ac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24" w:name="Xb46b999be6d46037e840af9e3c08b9746984daf"/>
    <w:p>
      <w:pPr>
        <w:pStyle w:val="Heading3"/>
      </w:pPr>
      <w:r>
        <w:t xml:space="preserve">13.6.1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b7ed0c-8def-4418-8feb-9d7c723ff9c8" w:name="unnamed-chunk-29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b7ed0c-8def-4418-8feb-9d7c723ff9c8"/>
      <w:r>
        <w:t xml:space="preserve">: </w:t>
      </w:r>
      <w:r>
        <w:t xml:space="preserve">Health clinic satisfaction by service,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224"/>
    <w:bookmarkEnd w:id="225"/>
    <w:bookmarkEnd w:id="226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2022-06-14T05:22:03Z</dcterms:created>
  <dcterms:modified xsi:type="dcterms:W3CDTF">2022-06-14T05:22:03Z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