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indicators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44"/>
        <w:gridCol w:w="1080"/>
        <w:gridCol w:w="1080"/>
        <w:gridCol w:w="2016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Indicator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Vaccinated for measles (9+ months)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46,163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77.2% - 91.7%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Visited health clinic in past six months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14,622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85.2% - 93.7%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Positive rating of health clinic visit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9,867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59.2% - 77.8%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with health clinic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9,349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56.3% - 74.4%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2022-06-14T11:39:26Z</dcterms:modified>
  <cp:category/>
</cp:coreProperties>
</file>