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24D58" w14:textId="77777777" w:rsidR="00586577" w:rsidRPr="00586577" w:rsidRDefault="00586577" w:rsidP="005865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April 19, 2022</w:t>
      </w:r>
    </w:p>
    <w:p w14:paraId="168B3AC7" w14:textId="2F408224" w:rsidR="00586577" w:rsidRPr="00586577" w:rsidRDefault="00586577" w:rsidP="005865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 </w:t>
      </w:r>
      <w:r w:rsidRPr="00586577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Family Planning</w:t>
      </w:r>
    </w:p>
    <w:p w14:paraId="765A8FD3" w14:textId="77777777" w:rsidR="00586577" w:rsidRPr="00586577" w:rsidRDefault="00586577" w:rsidP="005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Women of reproductive Age Visited by the CHA (Community Health Assistant)</w:t>
      </w:r>
    </w:p>
    <w:p w14:paraId="0B4C7FF3" w14:textId="77777777" w:rsidR="00586577" w:rsidRPr="00586577" w:rsidRDefault="00586577" w:rsidP="005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Women in reproductive age group on a modern FP method</w:t>
      </w:r>
    </w:p>
    <w:p w14:paraId="10D54F24" w14:textId="77777777" w:rsidR="00586577" w:rsidRPr="00586577" w:rsidRDefault="00586577" w:rsidP="005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Coverage of modern FP initiation for reproductive age women visited by CHA</w:t>
      </w:r>
    </w:p>
    <w:p w14:paraId="6249E4F4" w14:textId="77777777" w:rsidR="00586577" w:rsidRPr="00586577" w:rsidRDefault="00586577" w:rsidP="005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Proportion of new FP acceptors</w:t>
      </w:r>
    </w:p>
    <w:p w14:paraId="47E14C6B" w14:textId="77777777" w:rsidR="00586577" w:rsidRPr="00586577" w:rsidRDefault="00586577" w:rsidP="005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Clients accessing LARC</w:t>
      </w:r>
    </w:p>
    <w:p w14:paraId="293D6E4D" w14:textId="77777777" w:rsidR="00586577" w:rsidRPr="00586577" w:rsidRDefault="00586577" w:rsidP="005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Percentage of clients discontinuing LARC</w:t>
      </w:r>
    </w:p>
    <w:p w14:paraId="34BD5A1D" w14:textId="77777777" w:rsidR="00586577" w:rsidRPr="00586577" w:rsidRDefault="00586577" w:rsidP="005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Modern FP Method Used – medroxyprogesterone injection DMPA-IM and Medroxyprogesterone injection DMPA-SC</w:t>
      </w:r>
    </w:p>
    <w:p w14:paraId="5F36D1B7" w14:textId="77777777" w:rsidR="00586577" w:rsidRPr="00586577" w:rsidRDefault="00586577" w:rsidP="005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 xml:space="preserve">IUCD </w:t>
      </w:r>
      <w:proofErr w:type="spellStart"/>
      <w:r w:rsidRPr="00586577">
        <w:rPr>
          <w:rFonts w:ascii="Calibri" w:eastAsia="Times New Roman" w:hAnsi="Calibri" w:cs="Calibri"/>
          <w:color w:val="242424"/>
          <w:sz w:val="24"/>
          <w:szCs w:val="24"/>
        </w:rPr>
        <w:t>CopperT</w:t>
      </w:r>
      <w:proofErr w:type="spellEnd"/>
      <w:r w:rsidRPr="00586577">
        <w:rPr>
          <w:rFonts w:ascii="Calibri" w:eastAsia="Times New Roman" w:hAnsi="Calibri" w:cs="Calibri"/>
          <w:color w:val="242424"/>
          <w:sz w:val="24"/>
          <w:szCs w:val="24"/>
        </w:rPr>
        <w:t xml:space="preserve"> and IUCD Hormonal rates</w:t>
      </w:r>
    </w:p>
    <w:p w14:paraId="551848BF" w14:textId="77777777" w:rsidR="00586577" w:rsidRPr="00586577" w:rsidRDefault="00586577" w:rsidP="005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86577">
        <w:rPr>
          <w:rFonts w:ascii="Calibri" w:eastAsia="Times New Roman" w:hAnsi="Calibri" w:cs="Calibri"/>
          <w:color w:val="242424"/>
          <w:sz w:val="24"/>
          <w:szCs w:val="24"/>
        </w:rPr>
        <w:t>Jadelle</w:t>
      </w:r>
      <w:proofErr w:type="spellEnd"/>
      <w:r w:rsidRPr="00586577">
        <w:rPr>
          <w:rFonts w:ascii="Calibri" w:eastAsia="Times New Roman" w:hAnsi="Calibri" w:cs="Calibri"/>
          <w:color w:val="242424"/>
          <w:sz w:val="24"/>
          <w:szCs w:val="24"/>
        </w:rPr>
        <w:t xml:space="preserve"> remains the more popular implant than </w:t>
      </w:r>
      <w:proofErr w:type="spellStart"/>
      <w:r w:rsidRPr="00586577">
        <w:rPr>
          <w:rFonts w:ascii="Calibri" w:eastAsia="Times New Roman" w:hAnsi="Calibri" w:cs="Calibri"/>
          <w:color w:val="242424"/>
          <w:sz w:val="24"/>
          <w:szCs w:val="24"/>
        </w:rPr>
        <w:t>Implanon</w:t>
      </w:r>
      <w:proofErr w:type="spellEnd"/>
    </w:p>
    <w:p w14:paraId="1A90AEFD" w14:textId="58CD6596" w:rsidR="00586577" w:rsidRPr="00586577" w:rsidRDefault="00586577" w:rsidP="005865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 </w:t>
      </w:r>
      <w:r w:rsidRPr="00586577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Child Health, Nutrition and Disease</w:t>
      </w:r>
    </w:p>
    <w:p w14:paraId="3B95E632" w14:textId="77777777" w:rsidR="00586577" w:rsidRPr="00586577" w:rsidRDefault="00586577" w:rsidP="0058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86577">
        <w:rPr>
          <w:rFonts w:ascii="Calibri" w:eastAsia="Times New Roman" w:hAnsi="Calibri" w:cs="Calibri"/>
          <w:color w:val="242424"/>
          <w:sz w:val="24"/>
          <w:szCs w:val="24"/>
        </w:rPr>
        <w:t>Immunisations</w:t>
      </w:r>
      <w:proofErr w:type="spellEnd"/>
    </w:p>
    <w:p w14:paraId="00ACCE2E" w14:textId="77777777" w:rsidR="00586577" w:rsidRPr="00586577" w:rsidRDefault="00586577" w:rsidP="005865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Fully immunized coverage under 1</w:t>
      </w:r>
    </w:p>
    <w:p w14:paraId="006E6F2A" w14:textId="77777777" w:rsidR="00586577" w:rsidRPr="00586577" w:rsidRDefault="00586577" w:rsidP="005865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Measles Coverage under 1 year</w:t>
      </w:r>
    </w:p>
    <w:p w14:paraId="27AB576E" w14:textId="77777777" w:rsidR="00586577" w:rsidRPr="00586577" w:rsidRDefault="00586577" w:rsidP="005865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Measles Coverage under 2 years</w:t>
      </w:r>
    </w:p>
    <w:p w14:paraId="7345ECA3" w14:textId="77777777" w:rsidR="00586577" w:rsidRPr="00586577" w:rsidRDefault="00586577" w:rsidP="0058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Percent of Children (12-59 months) Dewormed by Province</w:t>
      </w:r>
    </w:p>
    <w:p w14:paraId="5C941A51" w14:textId="77777777" w:rsidR="00586577" w:rsidRPr="00586577" w:rsidRDefault="00586577" w:rsidP="0058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Percent of Children who Received a Dose of Vitamin A</w:t>
      </w:r>
    </w:p>
    <w:p w14:paraId="38C289A4" w14:textId="77777777" w:rsidR="00586577" w:rsidRPr="00586577" w:rsidRDefault="00586577" w:rsidP="0058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BCG Coverage for under 1 year</w:t>
      </w:r>
    </w:p>
    <w:p w14:paraId="1A2727DB" w14:textId="77777777" w:rsidR="00586577" w:rsidRPr="00586577" w:rsidRDefault="00586577" w:rsidP="0058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DPT Hib Hep first dose coverage under 1 year</w:t>
      </w:r>
    </w:p>
    <w:p w14:paraId="6B30B6C7" w14:textId="77777777" w:rsidR="00586577" w:rsidRPr="00586577" w:rsidRDefault="00586577" w:rsidP="0058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Infants on EBF at 6 months</w:t>
      </w:r>
    </w:p>
    <w:p w14:paraId="46E0CF4D" w14:textId="77777777" w:rsidR="00586577" w:rsidRPr="00586577" w:rsidRDefault="00586577" w:rsidP="0058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Initiation on breastmilk with one hour of birth</w:t>
      </w:r>
    </w:p>
    <w:p w14:paraId="23E6E607" w14:textId="5ABF0268" w:rsidR="00586577" w:rsidRPr="00586577" w:rsidRDefault="00586577" w:rsidP="005865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 </w:t>
      </w:r>
      <w:r w:rsidRPr="00586577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Maternal and Neonatal Health</w:t>
      </w:r>
    </w:p>
    <w:p w14:paraId="6C135C41" w14:textId="77777777" w:rsidR="00586577" w:rsidRPr="00586577" w:rsidRDefault="00586577" w:rsidP="00586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First ANC Coverage</w:t>
      </w:r>
    </w:p>
    <w:p w14:paraId="3DC70EEB" w14:textId="77777777" w:rsidR="00586577" w:rsidRPr="00586577" w:rsidRDefault="00586577" w:rsidP="00586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Folic acid and Iron Supplementation during ANC</w:t>
      </w:r>
    </w:p>
    <w:p w14:paraId="18941707" w14:textId="77777777" w:rsidR="00586577" w:rsidRPr="00586577" w:rsidRDefault="00586577" w:rsidP="00586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First ANC Coverage in First Trimester</w:t>
      </w:r>
    </w:p>
    <w:p w14:paraId="0444303A" w14:textId="77777777" w:rsidR="00586577" w:rsidRPr="00586577" w:rsidRDefault="00586577" w:rsidP="005865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High Risk Pregnancies at 1st ANC</w:t>
      </w:r>
    </w:p>
    <w:p w14:paraId="46FADBE4" w14:textId="77777777" w:rsidR="00586577" w:rsidRPr="00586577" w:rsidRDefault="00586577" w:rsidP="005865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Institutional Delivery Coverage</w:t>
      </w:r>
    </w:p>
    <w:p w14:paraId="20D283DC" w14:textId="77777777" w:rsidR="00586577" w:rsidRPr="00586577" w:rsidRDefault="00586577" w:rsidP="005865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Cesarean Section Rates</w:t>
      </w:r>
    </w:p>
    <w:p w14:paraId="47195415" w14:textId="77777777" w:rsidR="00586577" w:rsidRPr="00586577" w:rsidRDefault="00586577" w:rsidP="005865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Maternal Post Natal Care Within 48 Hours after Delivery</w:t>
      </w:r>
    </w:p>
    <w:p w14:paraId="31BB7635" w14:textId="77777777" w:rsidR="00586577" w:rsidRPr="00586577" w:rsidRDefault="00586577" w:rsidP="00586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Maternal Mortality ratio per 100,000 births</w:t>
      </w:r>
    </w:p>
    <w:p w14:paraId="7FB29B27" w14:textId="77777777" w:rsidR="00586577" w:rsidRPr="00586577" w:rsidRDefault="00586577" w:rsidP="00586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Delivery Outcomes per 1000 live births</w:t>
      </w:r>
    </w:p>
    <w:p w14:paraId="01F72773" w14:textId="77777777" w:rsidR="00586577" w:rsidRPr="00586577" w:rsidRDefault="00586577" w:rsidP="00586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 xml:space="preserve">Neonatal </w:t>
      </w:r>
      <w:proofErr w:type="gramStart"/>
      <w:r w:rsidRPr="00586577">
        <w:rPr>
          <w:rFonts w:ascii="Calibri" w:eastAsia="Times New Roman" w:hAnsi="Calibri" w:cs="Calibri"/>
          <w:color w:val="242424"/>
          <w:sz w:val="24"/>
          <w:szCs w:val="24"/>
        </w:rPr>
        <w:t>Deaths  why</w:t>
      </w:r>
      <w:proofErr w:type="gramEnd"/>
      <w:r w:rsidRPr="00586577">
        <w:rPr>
          <w:rFonts w:ascii="Calibri" w:eastAsia="Times New Roman" w:hAnsi="Calibri" w:cs="Calibri"/>
          <w:color w:val="242424"/>
          <w:sz w:val="24"/>
          <w:szCs w:val="24"/>
        </w:rPr>
        <w:t xml:space="preserve"> not rates</w:t>
      </w:r>
    </w:p>
    <w:p w14:paraId="01B1190F" w14:textId="77777777" w:rsidR="00586577" w:rsidRPr="00586577" w:rsidRDefault="00586577" w:rsidP="00586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Stillbirth Rate per 1000 live births</w:t>
      </w:r>
    </w:p>
    <w:p w14:paraId="021B035C" w14:textId="77777777" w:rsidR="00586577" w:rsidRPr="00586577" w:rsidRDefault="00586577" w:rsidP="00586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42424"/>
          <w:sz w:val="24"/>
          <w:szCs w:val="24"/>
        </w:rPr>
      </w:pPr>
      <w:r w:rsidRPr="00586577">
        <w:rPr>
          <w:rFonts w:ascii="Calibri" w:eastAsia="Times New Roman" w:hAnsi="Calibri" w:cs="Calibri"/>
          <w:color w:val="242424"/>
          <w:sz w:val="24"/>
          <w:szCs w:val="24"/>
        </w:rPr>
        <w:t>Perinatal Deaths why not rates</w:t>
      </w:r>
    </w:p>
    <w:p w14:paraId="487B0EDB" w14:textId="77777777" w:rsidR="008C790B" w:rsidRPr="00586577" w:rsidRDefault="00815C11">
      <w:pPr>
        <w:rPr>
          <w:sz w:val="24"/>
          <w:szCs w:val="24"/>
        </w:rPr>
      </w:pPr>
    </w:p>
    <w:sectPr w:rsidR="008C790B" w:rsidRPr="0058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783"/>
    <w:multiLevelType w:val="multilevel"/>
    <w:tmpl w:val="1D14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104E71"/>
    <w:multiLevelType w:val="multilevel"/>
    <w:tmpl w:val="36E4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FB2B2D"/>
    <w:multiLevelType w:val="multilevel"/>
    <w:tmpl w:val="189E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77"/>
    <w:rsid w:val="0011337B"/>
    <w:rsid w:val="0013447A"/>
    <w:rsid w:val="003F42D3"/>
    <w:rsid w:val="00586577"/>
    <w:rsid w:val="00815C11"/>
    <w:rsid w:val="00B3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5F27"/>
  <w15:chartTrackingRefBased/>
  <w15:docId w15:val="{2A532451-4AED-43EF-9E1F-9D84461B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1</cp:revision>
  <dcterms:created xsi:type="dcterms:W3CDTF">2022-04-26T15:53:00Z</dcterms:created>
  <dcterms:modified xsi:type="dcterms:W3CDTF">2022-04-26T18:53:00Z</dcterms:modified>
</cp:coreProperties>
</file>