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B1F2B">
      <w:pPr>
        <w:pStyle w:val="7"/>
        <w:rPr>
          <w:rFonts w:ascii="Times New Roman"/>
          <w:sz w:val="44"/>
        </w:rPr>
      </w:pPr>
      <w:bookmarkStart w:id="0" w:name="_GoBack"/>
    </w:p>
    <w:p w14:paraId="304B5272">
      <w:pPr>
        <w:pStyle w:val="7"/>
        <w:spacing w:before="483"/>
        <w:rPr>
          <w:rFonts w:ascii="Times New Roman"/>
          <w:sz w:val="44"/>
        </w:rPr>
      </w:pPr>
    </w:p>
    <w:p w14:paraId="40148D68">
      <w:pPr>
        <w:pStyle w:val="2"/>
      </w:pPr>
      <w:r>
        <w:t xml:space="preserve">Project 2: Exploratory Data </w:t>
      </w:r>
      <w:r>
        <w:rPr>
          <w:spacing w:val="-2"/>
        </w:rPr>
        <w:t>Analysis</w:t>
      </w:r>
    </w:p>
    <w:p w14:paraId="3AA6D73E">
      <w:pPr>
        <w:spacing w:before="42"/>
        <w:ind w:left="0" w:right="0" w:firstLine="0"/>
        <w:jc w:val="center"/>
        <w:rPr>
          <w:sz w:val="24"/>
        </w:rPr>
      </w:pPr>
      <w:r>
        <w:rPr>
          <w:color w:val="545454"/>
          <w:sz w:val="24"/>
        </w:rPr>
        <w:t xml:space="preserve">E-Commerce Orders Dataset DecodeLabs Industrial Training Kit, Batch </w:t>
      </w:r>
      <w:r>
        <w:rPr>
          <w:color w:val="545454"/>
          <w:spacing w:val="-4"/>
          <w:sz w:val="24"/>
        </w:rPr>
        <w:t>2026</w:t>
      </w:r>
    </w:p>
    <w:p w14:paraId="0DEB51FE">
      <w:pPr>
        <w:pStyle w:val="7"/>
        <w:rPr>
          <w:sz w:val="24"/>
        </w:rPr>
      </w:pPr>
    </w:p>
    <w:p w14:paraId="76E12E40">
      <w:pPr>
        <w:pStyle w:val="7"/>
        <w:spacing w:before="242"/>
        <w:rPr>
          <w:sz w:val="24"/>
        </w:rPr>
      </w:pPr>
    </w:p>
    <w:p w14:paraId="27438D59">
      <w:pPr>
        <w:pStyle w:val="7"/>
        <w:ind w:left="120"/>
      </w:pPr>
      <w:r>
        <w:t xml:space="preserve">Prepared by: </w:t>
      </w:r>
      <w:r>
        <w:rPr>
          <w:spacing w:val="-2"/>
        </w:rPr>
        <w:t>Manahil</w:t>
      </w:r>
    </w:p>
    <w:p w14:paraId="1FB9F744">
      <w:pPr>
        <w:pStyle w:val="7"/>
        <w:spacing w:before="218"/>
        <w:ind w:left="120"/>
      </w:pPr>
      <w:r>
        <w:t xml:space="preserve">Dataset: Dataset_for_Data_Analytics.xlsx (1,200 orders, cleaned in Project </w:t>
      </w:r>
      <w:r>
        <w:rPr>
          <w:spacing w:val="-5"/>
        </w:rPr>
        <w:t>1)</w:t>
      </w:r>
    </w:p>
    <w:p w14:paraId="43B7B9B0">
      <w:pPr>
        <w:pStyle w:val="7"/>
        <w:spacing w:after="0"/>
        <w:sectPr>
          <w:type w:val="continuous"/>
          <w:pgSz w:w="12240" w:h="15840"/>
          <w:pgMar w:top="1820" w:right="1080" w:bottom="280" w:left="1080" w:header="720" w:footer="720" w:gutter="0"/>
          <w:cols w:space="720" w:num="1"/>
        </w:sectPr>
      </w:pPr>
    </w:p>
    <w:p w14:paraId="4F303271">
      <w:pPr>
        <w:pStyle w:val="3"/>
        <w:numPr>
          <w:ilvl w:val="0"/>
          <w:numId w:val="1"/>
        </w:numPr>
        <w:tabs>
          <w:tab w:val="left" w:pos="431"/>
        </w:tabs>
        <w:spacing w:before="65" w:after="0" w:line="240" w:lineRule="auto"/>
        <w:ind w:left="431" w:right="0" w:hanging="311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Problem </w:t>
      </w:r>
      <w:r>
        <w:rPr>
          <w:color w:val="000000" w:themeColor="text1"/>
          <w:spacing w:val="-2"/>
          <w14:textFill>
            <w14:solidFill>
              <w14:schemeClr w14:val="tx1"/>
            </w14:solidFill>
          </w14:textFill>
        </w:rPr>
        <w:t>Statement</w:t>
      </w:r>
    </w:p>
    <w:p w14:paraId="27026397">
      <w:pPr>
        <w:pStyle w:val="7"/>
        <w:spacing w:before="194" w:line="297" w:lineRule="auto"/>
        <w:ind w:left="120"/>
      </w:pPr>
      <w:r>
        <w:t>What</w:t>
      </w:r>
      <w:r>
        <w:rPr>
          <w:spacing w:val="-3"/>
        </w:rPr>
        <w:t xml:space="preserve"> </w:t>
      </w:r>
      <w:r>
        <w:t>patterns,</w:t>
      </w:r>
      <w:r>
        <w:rPr>
          <w:spacing w:val="-3"/>
        </w:rPr>
        <w:t xml:space="preserve"> </w:t>
      </w:r>
      <w:r>
        <w:t>trends,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anomalies</w:t>
      </w:r>
      <w:r>
        <w:rPr>
          <w:spacing w:val="-3"/>
        </w:rPr>
        <w:t xml:space="preserve"> </w:t>
      </w:r>
      <w:r>
        <w:t>exist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e-commerce</w:t>
      </w:r>
      <w:r>
        <w:rPr>
          <w:spacing w:val="-3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dataset,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reveal about order value distribution, fulfillment performance, and customer purchasing behavior?</w:t>
      </w:r>
    </w:p>
    <w:p w14:paraId="4012C5A0">
      <w:pPr>
        <w:pStyle w:val="7"/>
        <w:spacing w:before="84"/>
      </w:pPr>
    </w:p>
    <w:p w14:paraId="0D7E1566">
      <w:pPr>
        <w:pStyle w:val="3"/>
        <w:numPr>
          <w:ilvl w:val="0"/>
          <w:numId w:val="1"/>
        </w:numPr>
        <w:tabs>
          <w:tab w:val="left" w:pos="431"/>
        </w:tabs>
        <w:spacing w:before="0" w:after="0" w:line="240" w:lineRule="auto"/>
        <w:ind w:left="431" w:right="0" w:hanging="311"/>
        <w:jc w:val="left"/>
      </w:pPr>
      <w:r>
        <w:rPr>
          <w:rFonts w:ascii="Arial" w:hAnsi="Arial" w:eastAsia="Arial" w:cs="Arial"/>
          <w:color w:val="000000" w:themeColor="text1"/>
          <w14:textFill>
            <w14:solidFill>
              <w14:schemeClr w14:val="tx1"/>
            </w14:solidFill>
          </w14:textFill>
        </w:rPr>
        <w:t>Methodology</w:t>
      </w:r>
    </w:p>
    <w:p w14:paraId="601D6BF9">
      <w:pPr>
        <w:pStyle w:val="7"/>
        <w:spacing w:before="193" w:line="297" w:lineRule="auto"/>
        <w:ind w:left="120" w:right="104"/>
      </w:pPr>
      <w:r>
        <w:t>The cleaned dataset from Project 1 was analyzed using Python (pandas, NumPy, matplotlib, seaborn). The analysis covered descriptive statistics (mean, median, five-number summary), outlier detection using the</w:t>
      </w:r>
      <w:r>
        <w:rPr>
          <w:spacing w:val="-3"/>
        </w:rPr>
        <w:t xml:space="preserve"> </w:t>
      </w:r>
      <w:r>
        <w:t>IQR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(1.5</w:t>
      </w:r>
      <w:r>
        <w:rPr>
          <w:spacing w:val="-3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t>IQR</w:t>
      </w:r>
      <w:r>
        <w:rPr>
          <w:spacing w:val="-3"/>
        </w:rPr>
        <w:t xml:space="preserve"> </w:t>
      </w:r>
      <w:r>
        <w:t>rule),</w:t>
      </w:r>
      <w:r>
        <w:rPr>
          <w:spacing w:val="-3"/>
        </w:rPr>
        <w:t xml:space="preserve"> </w:t>
      </w:r>
      <w:r>
        <w:t>categorical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time-based</w:t>
      </w:r>
      <w:r>
        <w:rPr>
          <w:spacing w:val="-3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Pearson correlation between numeric variables.</w:t>
      </w:r>
    </w:p>
    <w:p w14:paraId="53A52B71">
      <w:pPr>
        <w:pStyle w:val="7"/>
        <w:spacing w:before="85"/>
      </w:pPr>
    </w:p>
    <w:p w14:paraId="7AAC60D4">
      <w:pPr>
        <w:pStyle w:val="3"/>
        <w:numPr>
          <w:ilvl w:val="0"/>
          <w:numId w:val="1"/>
        </w:numPr>
        <w:tabs>
          <w:tab w:val="left" w:pos="431"/>
        </w:tabs>
        <w:spacing w:before="0" w:after="0" w:line="240" w:lineRule="auto"/>
        <w:ind w:left="431" w:right="0" w:hanging="311"/>
        <w:jc w:val="left"/>
        <w:rPr>
          <w:rFonts w:ascii="Arial" w:hAnsi="Arial" w:eastAsia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14:textFill>
            <w14:solidFill>
              <w14:schemeClr w14:val="tx1"/>
            </w14:solidFill>
          </w14:textFill>
        </w:rPr>
        <w:t>Key Findings</w:t>
      </w:r>
    </w:p>
    <w:p w14:paraId="15F2D4B2">
      <w:pPr>
        <w:pStyle w:val="4"/>
        <w:numPr>
          <w:ilvl w:val="1"/>
          <w:numId w:val="1"/>
        </w:numPr>
        <w:tabs>
          <w:tab w:val="left" w:pos="520"/>
        </w:tabs>
        <w:spacing w:before="275" w:after="0" w:line="240" w:lineRule="auto"/>
        <w:ind w:left="520" w:right="0" w:hanging="400"/>
        <w:jc w:val="left"/>
      </w:pPr>
      <w:r>
        <w:t xml:space="preserve">Descriptive </w:t>
      </w:r>
      <w:r>
        <w:rPr>
          <w:spacing w:val="-2"/>
        </w:rPr>
        <w:t>Statistics</w:t>
      </w:r>
    </w:p>
    <w:p w14:paraId="48603035">
      <w:pPr>
        <w:pStyle w:val="7"/>
        <w:spacing w:before="1"/>
        <w:rPr>
          <w:rFonts w:ascii="Arial"/>
          <w:b/>
          <w:i/>
          <w:sz w:val="9"/>
        </w:rPr>
      </w:pPr>
    </w:p>
    <w:tbl>
      <w:tblPr>
        <w:tblStyle w:val="6"/>
        <w:tblW w:w="0" w:type="auto"/>
        <w:tblInd w:w="58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4"/>
        <w:gridCol w:w="2016"/>
        <w:gridCol w:w="2304"/>
        <w:gridCol w:w="2304"/>
      </w:tblGrid>
      <w:tr w14:paraId="1281C40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304" w:type="dxa"/>
            <w:shd w:val="clear" w:color="auto" w:fill="1F3864"/>
          </w:tcPr>
          <w:p w14:paraId="62EAE9BD">
            <w:pPr>
              <w:pStyle w:val="10"/>
              <w:ind w:left="120"/>
              <w:jc w:val="lef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Metric</w:t>
            </w:r>
          </w:p>
        </w:tc>
        <w:tc>
          <w:tcPr>
            <w:tcW w:w="2016" w:type="dxa"/>
            <w:shd w:val="clear" w:color="auto" w:fill="1F3864"/>
          </w:tcPr>
          <w:p w14:paraId="1F9FF012">
            <w:pPr>
              <w:pStyle w:val="10"/>
              <w:ind w:right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Quantity</w:t>
            </w:r>
          </w:p>
        </w:tc>
        <w:tc>
          <w:tcPr>
            <w:tcW w:w="2304" w:type="dxa"/>
            <w:shd w:val="clear" w:color="auto" w:fill="1F3864"/>
          </w:tcPr>
          <w:p w14:paraId="71D91BE9">
            <w:pPr>
              <w:pStyle w:val="10"/>
              <w:ind w:right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Unit Price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($)</w:t>
            </w:r>
          </w:p>
        </w:tc>
        <w:tc>
          <w:tcPr>
            <w:tcW w:w="2304" w:type="dxa"/>
            <w:shd w:val="clear" w:color="auto" w:fill="1F3864"/>
          </w:tcPr>
          <w:p w14:paraId="45855F98">
            <w:pPr>
              <w:pStyle w:val="10"/>
              <w:ind w:right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Total Price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($)</w:t>
            </w:r>
          </w:p>
        </w:tc>
      </w:tr>
      <w:tr w14:paraId="10B89CC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304" w:type="dxa"/>
          </w:tcPr>
          <w:p w14:paraId="1D238535">
            <w:pPr>
              <w:pStyle w:val="10"/>
              <w:ind w:left="120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Mean</w:t>
            </w:r>
          </w:p>
        </w:tc>
        <w:tc>
          <w:tcPr>
            <w:tcW w:w="2016" w:type="dxa"/>
          </w:tcPr>
          <w:p w14:paraId="47C702B4">
            <w:pPr>
              <w:pStyle w:val="10"/>
              <w:rPr>
                <w:sz w:val="19"/>
              </w:rPr>
            </w:pPr>
            <w:r>
              <w:rPr>
                <w:spacing w:val="-4"/>
                <w:sz w:val="19"/>
              </w:rPr>
              <w:t>3.01</w:t>
            </w:r>
          </w:p>
        </w:tc>
        <w:tc>
          <w:tcPr>
            <w:tcW w:w="2304" w:type="dxa"/>
          </w:tcPr>
          <w:p w14:paraId="7DCDA20A">
            <w:pPr>
              <w:pStyle w:val="10"/>
              <w:rPr>
                <w:sz w:val="19"/>
              </w:rPr>
            </w:pPr>
            <w:r>
              <w:rPr>
                <w:spacing w:val="-2"/>
                <w:sz w:val="19"/>
              </w:rPr>
              <w:t>350.92</w:t>
            </w:r>
          </w:p>
        </w:tc>
        <w:tc>
          <w:tcPr>
            <w:tcW w:w="2304" w:type="dxa"/>
          </w:tcPr>
          <w:p w14:paraId="7CC34B56">
            <w:pPr>
              <w:pStyle w:val="10"/>
              <w:rPr>
                <w:sz w:val="19"/>
              </w:rPr>
            </w:pPr>
            <w:r>
              <w:rPr>
                <w:spacing w:val="-2"/>
                <w:sz w:val="19"/>
              </w:rPr>
              <w:t>1,053.97</w:t>
            </w:r>
          </w:p>
        </w:tc>
      </w:tr>
      <w:tr w14:paraId="74274A1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304" w:type="dxa"/>
            <w:shd w:val="clear" w:color="auto" w:fill="F2F4F9"/>
          </w:tcPr>
          <w:p w14:paraId="1219B9C4">
            <w:pPr>
              <w:pStyle w:val="10"/>
              <w:ind w:left="12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Median</w:t>
            </w:r>
          </w:p>
        </w:tc>
        <w:tc>
          <w:tcPr>
            <w:tcW w:w="2016" w:type="dxa"/>
            <w:shd w:val="clear" w:color="auto" w:fill="F2F4F9"/>
          </w:tcPr>
          <w:p w14:paraId="2F146112">
            <w:pPr>
              <w:pStyle w:val="10"/>
              <w:rPr>
                <w:sz w:val="19"/>
              </w:rPr>
            </w:pPr>
            <w:r>
              <w:rPr>
                <w:spacing w:val="-4"/>
                <w:sz w:val="19"/>
              </w:rPr>
              <w:t>3.00</w:t>
            </w:r>
          </w:p>
        </w:tc>
        <w:tc>
          <w:tcPr>
            <w:tcW w:w="2304" w:type="dxa"/>
            <w:shd w:val="clear" w:color="auto" w:fill="F2F4F9"/>
          </w:tcPr>
          <w:p w14:paraId="18AC79C7">
            <w:pPr>
              <w:pStyle w:val="10"/>
              <w:rPr>
                <w:sz w:val="19"/>
              </w:rPr>
            </w:pPr>
            <w:r>
              <w:rPr>
                <w:spacing w:val="-2"/>
                <w:sz w:val="19"/>
              </w:rPr>
              <w:t>297.65</w:t>
            </w:r>
          </w:p>
        </w:tc>
        <w:tc>
          <w:tcPr>
            <w:tcW w:w="2304" w:type="dxa"/>
            <w:shd w:val="clear" w:color="auto" w:fill="F2F4F9"/>
          </w:tcPr>
          <w:p w14:paraId="1C9CD5C3">
            <w:pPr>
              <w:pStyle w:val="10"/>
              <w:rPr>
                <w:sz w:val="19"/>
              </w:rPr>
            </w:pPr>
            <w:r>
              <w:rPr>
                <w:spacing w:val="-2"/>
                <w:sz w:val="19"/>
              </w:rPr>
              <w:t>823.62</w:t>
            </w:r>
          </w:p>
        </w:tc>
      </w:tr>
      <w:tr w14:paraId="4069A96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304" w:type="dxa"/>
          </w:tcPr>
          <w:p w14:paraId="7C6FDE99">
            <w:pPr>
              <w:pStyle w:val="10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 xml:space="preserve">Std </w:t>
            </w:r>
            <w:r>
              <w:rPr>
                <w:spacing w:val="-5"/>
                <w:sz w:val="19"/>
              </w:rPr>
              <w:t>Dev</w:t>
            </w:r>
          </w:p>
        </w:tc>
        <w:tc>
          <w:tcPr>
            <w:tcW w:w="2016" w:type="dxa"/>
          </w:tcPr>
          <w:p w14:paraId="3A02A2E7">
            <w:pPr>
              <w:pStyle w:val="10"/>
              <w:rPr>
                <w:sz w:val="19"/>
              </w:rPr>
            </w:pPr>
            <w:r>
              <w:rPr>
                <w:spacing w:val="-4"/>
                <w:sz w:val="19"/>
              </w:rPr>
              <w:t>1.42</w:t>
            </w:r>
          </w:p>
        </w:tc>
        <w:tc>
          <w:tcPr>
            <w:tcW w:w="2304" w:type="dxa"/>
          </w:tcPr>
          <w:p w14:paraId="33F6AEFB">
            <w:pPr>
              <w:pStyle w:val="10"/>
              <w:rPr>
                <w:sz w:val="19"/>
              </w:rPr>
            </w:pPr>
            <w:r>
              <w:rPr>
                <w:spacing w:val="-2"/>
                <w:sz w:val="19"/>
              </w:rPr>
              <w:t>229.61</w:t>
            </w:r>
          </w:p>
        </w:tc>
        <w:tc>
          <w:tcPr>
            <w:tcW w:w="2304" w:type="dxa"/>
          </w:tcPr>
          <w:p w14:paraId="2E1D895D">
            <w:pPr>
              <w:pStyle w:val="10"/>
              <w:rPr>
                <w:sz w:val="19"/>
              </w:rPr>
            </w:pPr>
            <w:r>
              <w:rPr>
                <w:spacing w:val="-2"/>
                <w:sz w:val="19"/>
              </w:rPr>
              <w:t>823.45</w:t>
            </w:r>
          </w:p>
        </w:tc>
      </w:tr>
      <w:tr w14:paraId="47AE128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304" w:type="dxa"/>
            <w:shd w:val="clear" w:color="auto" w:fill="F2F4F9"/>
          </w:tcPr>
          <w:p w14:paraId="57754419">
            <w:pPr>
              <w:pStyle w:val="10"/>
              <w:ind w:left="12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Min</w:t>
            </w:r>
          </w:p>
        </w:tc>
        <w:tc>
          <w:tcPr>
            <w:tcW w:w="2016" w:type="dxa"/>
            <w:shd w:val="clear" w:color="auto" w:fill="F2F4F9"/>
          </w:tcPr>
          <w:p w14:paraId="77892F73">
            <w:pPr>
              <w:pStyle w:val="10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304" w:type="dxa"/>
            <w:shd w:val="clear" w:color="auto" w:fill="F2F4F9"/>
          </w:tcPr>
          <w:p w14:paraId="25043CF9">
            <w:pPr>
              <w:pStyle w:val="10"/>
              <w:rPr>
                <w:sz w:val="19"/>
              </w:rPr>
            </w:pPr>
            <w:r>
              <w:rPr>
                <w:spacing w:val="-2"/>
                <w:sz w:val="19"/>
              </w:rPr>
              <w:t>10.05</w:t>
            </w:r>
          </w:p>
        </w:tc>
        <w:tc>
          <w:tcPr>
            <w:tcW w:w="2304" w:type="dxa"/>
            <w:shd w:val="clear" w:color="auto" w:fill="F2F4F9"/>
          </w:tcPr>
          <w:p w14:paraId="1063830F">
            <w:pPr>
              <w:pStyle w:val="10"/>
              <w:rPr>
                <w:sz w:val="19"/>
              </w:rPr>
            </w:pPr>
            <w:r>
              <w:rPr>
                <w:spacing w:val="-2"/>
                <w:sz w:val="19"/>
              </w:rPr>
              <w:t>10.12</w:t>
            </w:r>
          </w:p>
        </w:tc>
      </w:tr>
      <w:tr w14:paraId="1FC4E61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304" w:type="dxa"/>
          </w:tcPr>
          <w:p w14:paraId="2758C7E6">
            <w:pPr>
              <w:pStyle w:val="10"/>
              <w:ind w:left="120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Max</w:t>
            </w:r>
          </w:p>
        </w:tc>
        <w:tc>
          <w:tcPr>
            <w:tcW w:w="2016" w:type="dxa"/>
          </w:tcPr>
          <w:p w14:paraId="54742C17">
            <w:pPr>
              <w:pStyle w:val="10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2304" w:type="dxa"/>
          </w:tcPr>
          <w:p w14:paraId="6F19DC93">
            <w:pPr>
              <w:pStyle w:val="10"/>
              <w:rPr>
                <w:sz w:val="19"/>
              </w:rPr>
            </w:pPr>
            <w:r>
              <w:rPr>
                <w:spacing w:val="-2"/>
                <w:sz w:val="19"/>
              </w:rPr>
              <w:t>999.82</w:t>
            </w:r>
          </w:p>
        </w:tc>
        <w:tc>
          <w:tcPr>
            <w:tcW w:w="2304" w:type="dxa"/>
          </w:tcPr>
          <w:p w14:paraId="38DB2048">
            <w:pPr>
              <w:pStyle w:val="10"/>
              <w:rPr>
                <w:sz w:val="19"/>
              </w:rPr>
            </w:pPr>
            <w:r>
              <w:rPr>
                <w:spacing w:val="-2"/>
                <w:sz w:val="19"/>
              </w:rPr>
              <w:t>3,464.10</w:t>
            </w:r>
          </w:p>
        </w:tc>
      </w:tr>
    </w:tbl>
    <w:p w14:paraId="56C67CA4">
      <w:pPr>
        <w:pStyle w:val="7"/>
        <w:spacing w:before="208" w:line="297" w:lineRule="auto"/>
        <w:ind w:left="120" w:right="1308"/>
      </w:pPr>
      <w:r>
        <w:t>Note:</w:t>
      </w:r>
      <w:r>
        <w:rPr>
          <w:spacing w:val="-3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($1,053.97)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notably</w:t>
      </w:r>
      <w:r>
        <w:rPr>
          <w:spacing w:val="-3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Median</w:t>
      </w:r>
      <w:r>
        <w:rPr>
          <w:spacing w:val="-3"/>
        </w:rPr>
        <w:t xml:space="preserve"> </w:t>
      </w:r>
      <w:r>
        <w:t>($823.62),</w:t>
      </w:r>
      <w:r>
        <w:rPr>
          <w:spacing w:val="-3"/>
        </w:rPr>
        <w:t xml:space="preserve"> </w:t>
      </w:r>
      <w:r>
        <w:t>confirming</w:t>
      </w:r>
      <w:r>
        <w:rPr>
          <w:spacing w:val="-3"/>
        </w:rPr>
        <w:t xml:space="preserve"> </w:t>
      </w:r>
      <w:r>
        <w:t>a right-skewed distribution. The Median is the more representative figure for a 'typical' order.</w:t>
      </w:r>
    </w:p>
    <w:p w14:paraId="745DB9D5">
      <w:pPr>
        <w:pStyle w:val="7"/>
        <w:spacing w:before="62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1473200</wp:posOffset>
            </wp:positionH>
            <wp:positionV relativeFrom="paragraph">
              <wp:posOffset>200660</wp:posOffset>
            </wp:positionV>
            <wp:extent cx="4814570" cy="297053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4368" cy="2970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27B5A6">
      <w:pPr>
        <w:spacing w:before="205"/>
        <w:ind w:left="0" w:right="0" w:firstLine="0"/>
        <w:jc w:val="center"/>
        <w:rPr>
          <w:sz w:val="18"/>
        </w:rPr>
      </w:pPr>
      <w:r>
        <w:rPr>
          <w:color w:val="666666"/>
          <w:sz w:val="18"/>
        </w:rPr>
        <w:t>Figure 1: Distribution of order total price, showing right-</w:t>
      </w:r>
      <w:r>
        <w:rPr>
          <w:color w:val="666666"/>
          <w:spacing w:val="-2"/>
          <w:sz w:val="18"/>
        </w:rPr>
        <w:t>skew.</w:t>
      </w:r>
    </w:p>
    <w:p w14:paraId="6DA5CA53">
      <w:pPr>
        <w:spacing w:after="0"/>
        <w:jc w:val="center"/>
        <w:rPr>
          <w:sz w:val="18"/>
        </w:rPr>
        <w:sectPr>
          <w:pgSz w:w="12240" w:h="15840"/>
          <w:pgMar w:top="1080" w:right="1080" w:bottom="280" w:left="1080" w:header="720" w:footer="720" w:gutter="0"/>
          <w:cols w:space="720" w:num="1"/>
        </w:sectPr>
      </w:pPr>
    </w:p>
    <w:p w14:paraId="7EEA7E38">
      <w:pPr>
        <w:spacing w:line="240" w:lineRule="auto"/>
        <w:ind w:left="12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18380" cy="296989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8473" cy="297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1974">
      <w:pPr>
        <w:spacing w:before="201"/>
        <w:ind w:left="0" w:right="0" w:firstLine="0"/>
        <w:jc w:val="center"/>
        <w:rPr>
          <w:sz w:val="18"/>
        </w:rPr>
      </w:pPr>
      <w:r>
        <w:rPr>
          <w:color w:val="666666"/>
          <w:sz w:val="18"/>
        </w:rPr>
        <w:t xml:space="preserve">Figure 2: Boxplot highlighting 8 high-value outlier orders beyond the IQR upper </w:t>
      </w:r>
      <w:r>
        <w:rPr>
          <w:color w:val="666666"/>
          <w:spacing w:val="-2"/>
          <w:sz w:val="18"/>
        </w:rPr>
        <w:t>bound.</w:t>
      </w:r>
    </w:p>
    <w:p w14:paraId="4CB2F120">
      <w:pPr>
        <w:pStyle w:val="7"/>
        <w:spacing w:before="109"/>
        <w:rPr>
          <w:sz w:val="18"/>
        </w:rPr>
      </w:pPr>
    </w:p>
    <w:p w14:paraId="4688C301">
      <w:pPr>
        <w:pStyle w:val="3"/>
        <w:numPr>
          <w:ilvl w:val="0"/>
          <w:numId w:val="1"/>
        </w:numPr>
        <w:tabs>
          <w:tab w:val="left" w:pos="431"/>
        </w:tabs>
        <w:spacing w:before="0" w:after="0" w:line="240" w:lineRule="auto"/>
        <w:ind w:left="431" w:right="0" w:hanging="311"/>
        <w:jc w:val="left"/>
      </w:pPr>
      <w:r>
        <w:rPr>
          <w:rFonts w:ascii="Arial" w:hAnsi="Arial" w:eastAsia="Arial" w:cs="Arial"/>
          <w:color w:val="000000" w:themeColor="text1"/>
          <w14:textFill>
            <w14:solidFill>
              <w14:schemeClr w14:val="tx1"/>
            </w14:solidFill>
          </w14:textFill>
        </w:rPr>
        <w:t>Outliers</w:t>
      </w:r>
    </w:p>
    <w:p w14:paraId="00433949">
      <w:pPr>
        <w:pStyle w:val="7"/>
        <w:spacing w:before="122" w:line="297" w:lineRule="auto"/>
        <w:ind w:left="120"/>
      </w:pPr>
      <w:r>
        <w:t>Using the IQR method (Outlier &gt; Q3 + 1.5×IQR), 8 orders were flagged as high-value outliers, all with Quantity = 5 (the dataset maximum) and Unit Price above $665. These appear to be genuine bulk or premium</w:t>
      </w:r>
      <w:r>
        <w:rPr>
          <w:spacing w:val="-3"/>
        </w:rPr>
        <w:t xml:space="preserve"> </w:t>
      </w:r>
      <w:r>
        <w:t>purchases</w:t>
      </w:r>
      <w:r>
        <w:rPr>
          <w:spacing w:val="-3"/>
        </w:rPr>
        <w:t xml:space="preserve"> </w:t>
      </w:r>
      <w:r>
        <w:t>rather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entry</w:t>
      </w:r>
      <w:r>
        <w:rPr>
          <w:spacing w:val="-3"/>
        </w:rPr>
        <w:t xml:space="preserve"> </w:t>
      </w:r>
      <w:r>
        <w:t>errors</w:t>
      </w:r>
      <w:r>
        <w:rPr>
          <w:spacing w:val="-3"/>
        </w:rPr>
        <w:t xml:space="preserve">  </w:t>
      </w:r>
      <w:r>
        <w:t>signal,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noise</w:t>
      </w:r>
      <w:r>
        <w:rPr>
          <w:spacing w:val="-3"/>
        </w:rPr>
        <w:t xml:space="preserve">  </w:t>
      </w:r>
      <w:r>
        <w:t>and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worth</w:t>
      </w:r>
      <w:r>
        <w:rPr>
          <w:spacing w:val="-3"/>
        </w:rPr>
        <w:t xml:space="preserve"> </w:t>
      </w:r>
      <w:r>
        <w:t>highlighting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sales team as a high-value customer segment.</w:t>
      </w:r>
    </w:p>
    <w:p w14:paraId="50D60E25">
      <w:pPr>
        <w:pStyle w:val="7"/>
        <w:spacing w:before="2"/>
      </w:pPr>
    </w:p>
    <w:p w14:paraId="556266DA">
      <w:pPr>
        <w:pStyle w:val="3"/>
        <w:numPr>
          <w:ilvl w:val="0"/>
          <w:numId w:val="1"/>
        </w:numPr>
        <w:tabs>
          <w:tab w:val="left" w:pos="431"/>
        </w:tabs>
        <w:spacing w:before="0" w:after="0" w:line="240" w:lineRule="auto"/>
        <w:ind w:left="431" w:right="0" w:hanging="311"/>
        <w:jc w:val="left"/>
      </w:pPr>
      <w:r>
        <w:rPr>
          <w:rFonts w:ascii="Arial" w:hAnsi="Arial" w:eastAsia="Arial" w:cs="Arial"/>
          <w:color w:val="000000" w:themeColor="text1"/>
          <w14:textFill>
            <w14:solidFill>
              <w14:schemeClr w14:val="tx1"/>
            </w14:solidFill>
          </w14:textFill>
        </w:rPr>
        <w:t>Order Status &amp; Fulfillment</w:t>
      </w:r>
    </w:p>
    <w:p w14:paraId="267E404F">
      <w:pPr>
        <w:pStyle w:val="4"/>
        <w:spacing w:after="0" w:line="240" w:lineRule="auto"/>
        <w:jc w:val="left"/>
        <w:sectPr>
          <w:pgSz w:w="12240" w:h="15840"/>
          <w:pgMar w:top="1300" w:right="1080" w:bottom="280" w:left="1080" w:header="720" w:footer="720" w:gutter="0"/>
          <w:cols w:space="720" w:num="1"/>
        </w:sectPr>
      </w:pPr>
    </w:p>
    <w:p w14:paraId="36F499F9">
      <w:pPr>
        <w:spacing w:line="240" w:lineRule="auto"/>
        <w:ind w:left="2159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3639185" cy="343090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9338" cy="343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74C0">
      <w:pPr>
        <w:pStyle w:val="7"/>
        <w:rPr>
          <w:rFonts w:ascii="Arial"/>
          <w:b/>
          <w:i/>
          <w:sz w:val="18"/>
        </w:rPr>
      </w:pPr>
    </w:p>
    <w:p w14:paraId="78B15C0B">
      <w:pPr>
        <w:pStyle w:val="7"/>
        <w:spacing w:before="133"/>
        <w:rPr>
          <w:rFonts w:ascii="Arial"/>
          <w:b/>
          <w:i/>
          <w:sz w:val="18"/>
        </w:rPr>
      </w:pPr>
    </w:p>
    <w:p w14:paraId="2BECCFD1">
      <w:pPr>
        <w:spacing w:before="0"/>
        <w:ind w:left="0" w:right="0" w:firstLine="0"/>
        <w:jc w:val="center"/>
        <w:rPr>
          <w:sz w:val="18"/>
        </w:rPr>
      </w:pPr>
      <w:r>
        <w:rPr>
          <w:color w:val="666666"/>
          <w:sz w:val="18"/>
        </w:rPr>
        <w:t xml:space="preserve">Figure 3: Order status breakdown across all 1,200 </w:t>
      </w:r>
      <w:r>
        <w:rPr>
          <w:color w:val="666666"/>
          <w:spacing w:val="-2"/>
          <w:sz w:val="18"/>
        </w:rPr>
        <w:t>orders.</w:t>
      </w:r>
    </w:p>
    <w:p w14:paraId="05273937">
      <w:pPr>
        <w:pStyle w:val="7"/>
        <w:spacing w:before="108"/>
        <w:rPr>
          <w:sz w:val="18"/>
        </w:rPr>
      </w:pPr>
    </w:p>
    <w:p w14:paraId="56B992E6">
      <w:pPr>
        <w:pStyle w:val="7"/>
        <w:spacing w:line="297" w:lineRule="auto"/>
        <w:ind w:left="120"/>
      </w:pPr>
      <w:r>
        <w:t>41.4%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>Cancelled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Returned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actionable</w:t>
      </w:r>
      <w:r>
        <w:rPr>
          <w:spacing w:val="-3"/>
        </w:rPr>
        <w:t xml:space="preserve"> </w:t>
      </w:r>
      <w:r>
        <w:t>finding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dataset. This represents nearly half of all transactions failing to complete successfully and warrants direct investigation into checkout and fulfillment processes.</w:t>
      </w:r>
    </w:p>
    <w:p w14:paraId="1FCD236B">
      <w:pPr>
        <w:pStyle w:val="7"/>
        <w:spacing w:before="2"/>
      </w:pPr>
    </w:p>
    <w:p w14:paraId="57E17F3F">
      <w:pPr>
        <w:pStyle w:val="4"/>
        <w:numPr>
          <w:ilvl w:val="1"/>
          <w:numId w:val="1"/>
        </w:numPr>
        <w:tabs>
          <w:tab w:val="left" w:pos="520"/>
        </w:tabs>
        <w:spacing w:before="0" w:after="0" w:line="240" w:lineRule="auto"/>
        <w:ind w:left="520" w:right="0" w:hanging="400"/>
        <w:jc w:val="left"/>
      </w:pPr>
      <w:r>
        <w:t xml:space="preserve">Revenue Trend Over </w:t>
      </w:r>
      <w:r>
        <w:rPr>
          <w:spacing w:val="-4"/>
        </w:rPr>
        <w:t>Time</w:t>
      </w:r>
    </w:p>
    <w:p w14:paraId="238E95AC">
      <w:pPr>
        <w:pStyle w:val="7"/>
        <w:spacing w:before="4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1460500</wp:posOffset>
            </wp:positionH>
            <wp:positionV relativeFrom="paragraph">
              <wp:posOffset>163830</wp:posOffset>
            </wp:positionV>
            <wp:extent cx="4817110" cy="260096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7157" cy="2600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4031E">
      <w:pPr>
        <w:spacing w:before="230"/>
        <w:ind w:left="0" w:right="0" w:firstLine="0"/>
        <w:jc w:val="center"/>
        <w:rPr>
          <w:sz w:val="18"/>
        </w:rPr>
      </w:pPr>
      <w:r>
        <w:rPr>
          <w:color w:val="666666"/>
          <w:sz w:val="18"/>
        </w:rPr>
        <w:t xml:space="preserve">Figure 4: Monthly revenue over the most recent 12 </w:t>
      </w:r>
      <w:r>
        <w:rPr>
          <w:color w:val="666666"/>
          <w:spacing w:val="-2"/>
          <w:sz w:val="18"/>
        </w:rPr>
        <w:t>months.</w:t>
      </w:r>
    </w:p>
    <w:p w14:paraId="2DE0D871">
      <w:pPr>
        <w:spacing w:after="0"/>
        <w:jc w:val="center"/>
        <w:rPr>
          <w:sz w:val="18"/>
        </w:rPr>
        <w:sectPr>
          <w:pgSz w:w="12240" w:h="15840"/>
          <w:pgMar w:top="1380" w:right="1080" w:bottom="280" w:left="1080" w:header="720" w:footer="720" w:gutter="0"/>
          <w:cols w:space="720" w:num="1"/>
        </w:sectPr>
      </w:pPr>
    </w:p>
    <w:p w14:paraId="0150E57F">
      <w:pPr>
        <w:pStyle w:val="7"/>
        <w:spacing w:before="81" w:line="297" w:lineRule="auto"/>
        <w:ind w:left="120"/>
      </w:pPr>
      <w:r>
        <w:t>Monthly revenue fluctuates between roughly $29,000 and $53,000 with no single sustained directional trend.</w:t>
      </w:r>
      <w:r>
        <w:rPr>
          <w:spacing w:val="-3"/>
        </w:rPr>
        <w:t xml:space="preserve"> </w:t>
      </w:r>
      <w:r>
        <w:t>Year-level</w:t>
      </w:r>
      <w:r>
        <w:rPr>
          <w:spacing w:val="-3"/>
        </w:rPr>
        <w:t xml:space="preserve"> </w:t>
      </w:r>
      <w:r>
        <w:t>totals</w:t>
      </w:r>
      <w:r>
        <w:rPr>
          <w:spacing w:val="-3"/>
        </w:rPr>
        <w:t xml:space="preserve"> </w:t>
      </w:r>
      <w:r>
        <w:t>appear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decline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2025,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2025</w:t>
      </w:r>
      <w:r>
        <w:rPr>
          <w:spacing w:val="-3"/>
        </w:rPr>
        <w:t xml:space="preserve"> </w:t>
      </w:r>
      <w:r>
        <w:t>figure</w:t>
      </w:r>
      <w:r>
        <w:rPr>
          <w:spacing w:val="-3"/>
        </w:rPr>
        <w:t xml:space="preserve"> </w:t>
      </w:r>
      <w:r>
        <w:t>reflects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partial</w:t>
      </w:r>
      <w:r>
        <w:rPr>
          <w:spacing w:val="-3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and should not yet be read as a real decline without confirming the full date range covered.</w:t>
      </w:r>
    </w:p>
    <w:p w14:paraId="6145461D">
      <w:pPr>
        <w:pStyle w:val="7"/>
        <w:spacing w:before="2"/>
      </w:pPr>
    </w:p>
    <w:p w14:paraId="44E157DF">
      <w:pPr>
        <w:pStyle w:val="4"/>
        <w:numPr>
          <w:ilvl w:val="1"/>
          <w:numId w:val="1"/>
        </w:numPr>
        <w:tabs>
          <w:tab w:val="left" w:pos="520"/>
        </w:tabs>
        <w:spacing w:before="0" w:after="0" w:line="240" w:lineRule="auto"/>
        <w:ind w:left="520" w:right="0" w:hanging="400"/>
        <w:jc w:val="left"/>
      </w:pPr>
      <w:r>
        <w:t xml:space="preserve">Correlation Between </w:t>
      </w:r>
      <w:r>
        <w:rPr>
          <w:spacing w:val="-2"/>
        </w:rPr>
        <w:t>Variables</w:t>
      </w:r>
    </w:p>
    <w:p w14:paraId="787E353E">
      <w:pPr>
        <w:pStyle w:val="7"/>
        <w:spacing w:before="4"/>
        <w:rPr>
          <w:rFonts w:ascii="Arial"/>
          <w:b/>
          <w:i/>
          <w:sz w:val="16"/>
        </w:rPr>
      </w:pPr>
      <w:r>
        <w:rPr>
          <w:rFonts w:ascii="Arial"/>
          <w:b/>
          <w:i/>
          <w:sz w:val="16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2012950</wp:posOffset>
            </wp:positionH>
            <wp:positionV relativeFrom="paragraph">
              <wp:posOffset>134620</wp:posOffset>
            </wp:positionV>
            <wp:extent cx="3700780" cy="318198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0775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A2FD41">
      <w:pPr>
        <w:spacing w:before="80"/>
        <w:ind w:left="0" w:right="0" w:firstLine="0"/>
        <w:jc w:val="center"/>
        <w:rPr>
          <w:sz w:val="18"/>
        </w:rPr>
      </w:pPr>
      <w:r>
        <w:rPr>
          <w:color w:val="666666"/>
          <w:sz w:val="18"/>
        </w:rPr>
        <w:t xml:space="preserve">Figure 5: Correlation heatmap of numeric order </w:t>
      </w:r>
      <w:r>
        <w:rPr>
          <w:color w:val="666666"/>
          <w:spacing w:val="-2"/>
          <w:sz w:val="18"/>
        </w:rPr>
        <w:t>variables.</w:t>
      </w:r>
    </w:p>
    <w:p w14:paraId="345FBF66">
      <w:pPr>
        <w:pStyle w:val="7"/>
        <w:spacing w:before="108"/>
        <w:rPr>
          <w:sz w:val="18"/>
        </w:rPr>
      </w:pPr>
    </w:p>
    <w:p w14:paraId="579055BF">
      <w:pPr>
        <w:pStyle w:val="7"/>
        <w:spacing w:line="297" w:lineRule="auto"/>
        <w:ind w:left="120" w:right="164"/>
      </w:pPr>
      <w:r>
        <w:t>Quantity and Unit Price are essentially uncorrelated (r = 0.015) customers are not trading off buying more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cheaper</w:t>
      </w:r>
      <w:r>
        <w:rPr>
          <w:spacing w:val="-2"/>
        </w:rPr>
        <w:t xml:space="preserve"> </w:t>
      </w:r>
      <w:r>
        <w:t>items.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driven</w:t>
      </w:r>
      <w:r>
        <w:rPr>
          <w:spacing w:val="-2"/>
        </w:rPr>
        <w:t xml:space="preserve"> </w:t>
      </w:r>
      <w:r>
        <w:t>independently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(r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0.717)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Quantity</w:t>
      </w:r>
      <w:r>
        <w:rPr>
          <w:spacing w:val="-2"/>
        </w:rPr>
        <w:t xml:space="preserve"> </w:t>
      </w:r>
      <w:r>
        <w:t>(r</w:t>
      </w:r>
      <w:r>
        <w:rPr>
          <w:spacing w:val="-2"/>
        </w:rPr>
        <w:t xml:space="preserve"> </w:t>
      </w:r>
      <w:r>
        <w:t>= 0.615), confirming both factors matter separately rather than one dominating.</w:t>
      </w:r>
    </w:p>
    <w:p w14:paraId="658A3CAC">
      <w:pPr>
        <w:pStyle w:val="7"/>
        <w:spacing w:before="2"/>
      </w:pPr>
    </w:p>
    <w:p w14:paraId="49544DA8">
      <w:pPr>
        <w:pStyle w:val="3"/>
        <w:numPr>
          <w:ilvl w:val="0"/>
          <w:numId w:val="1"/>
        </w:numPr>
        <w:tabs>
          <w:tab w:val="left" w:pos="431"/>
        </w:tabs>
        <w:spacing w:before="65" w:after="0" w:line="240" w:lineRule="auto"/>
        <w:ind w:left="431" w:right="0" w:hanging="311"/>
        <w:jc w:val="left"/>
        <w:rPr>
          <w:rFonts w:ascii="Arial" w:hAnsi="Arial" w:eastAsia="Arial" w:cs="Arial"/>
          <w:color w:val="000000" w:themeColor="text1"/>
          <w:spacing w:val="-2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pacing w:val="-2"/>
          <w14:textFill>
            <w14:solidFill>
              <w14:schemeClr w14:val="tx1"/>
            </w14:solidFill>
          </w14:textFill>
        </w:rPr>
        <w:t>Product Performance</w:t>
      </w:r>
    </w:p>
    <w:p w14:paraId="1A8BD2F9">
      <w:pPr>
        <w:pStyle w:val="4"/>
        <w:spacing w:after="0" w:line="240" w:lineRule="auto"/>
        <w:jc w:val="left"/>
        <w:sectPr>
          <w:pgSz w:w="12240" w:h="15840"/>
          <w:pgMar w:top="1060" w:right="1080" w:bottom="280" w:left="1080" w:header="720" w:footer="720" w:gutter="0"/>
          <w:cols w:space="720" w:num="1"/>
        </w:sectPr>
      </w:pPr>
    </w:p>
    <w:p w14:paraId="7B7D1CE8">
      <w:pPr>
        <w:spacing w:line="240" w:lineRule="auto"/>
        <w:ind w:left="1259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4782185" cy="296989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648" cy="297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E929">
      <w:pPr>
        <w:spacing w:before="201"/>
        <w:ind w:left="0" w:right="0" w:firstLine="0"/>
        <w:jc w:val="center"/>
        <w:rPr>
          <w:sz w:val="18"/>
        </w:rPr>
      </w:pPr>
      <w:r>
        <w:rPr>
          <w:color w:val="666666"/>
          <w:sz w:val="18"/>
        </w:rPr>
        <w:t xml:space="preserve">Figure 6: Total revenue generated by each product </w:t>
      </w:r>
      <w:r>
        <w:rPr>
          <w:color w:val="666666"/>
          <w:spacing w:val="-2"/>
          <w:sz w:val="18"/>
        </w:rPr>
        <w:t>category.</w:t>
      </w:r>
    </w:p>
    <w:p w14:paraId="3C70AC64">
      <w:pPr>
        <w:pStyle w:val="7"/>
        <w:spacing w:before="108"/>
        <w:rPr>
          <w:sz w:val="18"/>
        </w:rPr>
      </w:pPr>
    </w:p>
    <w:p w14:paraId="2073D897">
      <w:pPr>
        <w:pStyle w:val="7"/>
        <w:spacing w:line="297" w:lineRule="auto"/>
        <w:ind w:left="120"/>
        <w:sectPr>
          <w:pgSz w:w="12240" w:h="15840"/>
          <w:pgMar w:top="1300" w:right="1080" w:bottom="280" w:left="1080" w:header="720" w:footer="720" w:gutter="0"/>
          <w:cols w:space="720" w:num="1"/>
        </w:sectPr>
      </w:pPr>
      <w:r>
        <w:t>Revenue is unusually evenly distributed across products (each contributing roughly 14-15% of total revenue), unlike typical real-world e-commerce data which often shows a few products dominating sales. This</w:t>
      </w:r>
      <w:r>
        <w:rPr>
          <w:spacing w:val="-3"/>
        </w:rPr>
        <w:t xml:space="preserve"> </w:t>
      </w:r>
      <w:r>
        <w:t>evenness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worth</w:t>
      </w:r>
      <w:r>
        <w:rPr>
          <w:spacing w:val="-3"/>
        </w:rPr>
        <w:t xml:space="preserve"> </w:t>
      </w:r>
      <w:r>
        <w:t>noting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presenting</w:t>
      </w:r>
      <w:r>
        <w:rPr>
          <w:spacing w:val="-3"/>
        </w:rPr>
        <w:t xml:space="preserve"> </w:t>
      </w:r>
      <w:r>
        <w:t>findings,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differs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typical</w:t>
      </w:r>
      <w:r>
        <w:rPr>
          <w:spacing w:val="-3"/>
        </w:rPr>
        <w:t xml:space="preserve"> </w:t>
      </w:r>
      <w:r>
        <w:t>Pareto</w:t>
      </w:r>
      <w:r>
        <w:rPr>
          <w:spacing w:val="-3"/>
        </w:rPr>
        <w:t xml:space="preserve"> </w:t>
      </w:r>
      <w:r>
        <w:t>pattern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may reflect how the dataset was generated.</w:t>
      </w:r>
    </w:p>
    <w:p w14:paraId="4F667CAB">
      <w:pPr>
        <w:spacing w:before="0"/>
        <w:ind w:right="0"/>
        <w:jc w:val="left"/>
        <w:rPr>
          <w:rFonts w:hint="default"/>
          <w:sz w:val="18"/>
          <w:lang w:val="en-US"/>
        </w:rPr>
      </w:pPr>
    </w:p>
    <w:bookmarkEnd w:id="0"/>
    <w:sectPr>
      <w:pgSz w:w="12240" w:h="15840"/>
      <w:pgMar w:top="1080" w:right="108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31" w:hanging="312"/>
        <w:jc w:val="left"/>
      </w:pPr>
      <w:rPr>
        <w:rFonts w:hint="default" w:ascii="Arial" w:hAnsi="Arial" w:eastAsia="Arial" w:cs="Arial"/>
        <w:b/>
        <w:bCs/>
        <w:i w:val="0"/>
        <w:iCs w:val="0"/>
        <w:color w:val="000000" w:themeColor="text1"/>
        <w:spacing w:val="0"/>
        <w:w w:val="100"/>
        <w:sz w:val="28"/>
        <w:szCs w:val="28"/>
        <w:lang w:val="en-US" w:eastAsia="en-US" w:bidi="ar-SA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lvlText w:val="%1.%2"/>
      <w:lvlJc w:val="left"/>
      <w:pPr>
        <w:ind w:left="520" w:hanging="401"/>
        <w:jc w:val="left"/>
      </w:pPr>
      <w:rPr>
        <w:rFonts w:hint="default" w:ascii="Arial" w:hAnsi="Arial" w:eastAsia="Arial" w:cs="Arial"/>
        <w:b/>
        <w:bCs/>
        <w:i/>
        <w:iCs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582" w:hanging="40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44" w:hanging="40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06" w:hanging="40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68" w:hanging="40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1" w:hanging="40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93" w:hanging="40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55" w:hanging="40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8E47ACA"/>
    <w:rsid w:val="342D50A6"/>
    <w:rsid w:val="5E1335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jc w:val="center"/>
      <w:outlineLvl w:val="1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65"/>
      <w:ind w:left="431" w:hanging="311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520" w:hanging="400"/>
      <w:outlineLvl w:val="3"/>
    </w:pPr>
    <w:rPr>
      <w:rFonts w:ascii="Arial" w:hAnsi="Arial" w:eastAsia="Arial" w:cs="Arial"/>
      <w:b/>
      <w:bCs/>
      <w:i/>
      <w:i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Arial MT" w:hAnsi="Arial MT" w:eastAsia="Arial MT" w:cs="Arial MT"/>
      <w:sz w:val="21"/>
      <w:szCs w:val="21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520" w:hanging="400"/>
    </w:pPr>
    <w:rPr>
      <w:rFonts w:ascii="Arial MT" w:hAnsi="Arial MT" w:eastAsia="Arial MT" w:cs="Arial MT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66"/>
      <w:ind w:left="10"/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582</Words>
  <Characters>3372</Characters>
  <TotalTime>3</TotalTime>
  <ScaleCrop>false</ScaleCrop>
  <LinksUpToDate>false</LinksUpToDate>
  <CharactersWithSpaces>3897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2026-06-19T23:25:00Z</dcterms:created>
  <dc:creator>(anonymous)</dc:creator>
  <cp:lastModifiedBy>Manahil Khan</cp:lastModifiedBy>
  <dcterms:modified xsi:type="dcterms:W3CDTF">2026-06-19T23:29:25Z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2026-06-19T00:00:00Z</vt:filetime>
  </property>
  <property fmtid="{D5CDD505-2E9C-101B-9397-08002B2CF9AE}" pid="6" name="Producer">
    <vt:lpwstr>ReportLab PDF Library - (opensource)</vt:lpwstr>
  </property>
  <property fmtid="{D5CDD505-2E9C-101B-9397-08002B2CF9AE}" pid="7" name="KSOTemplateDocerSaveRecord">
    <vt:lpwstr>eyJoZGlkIjoiYjYzOTMxZDQ0MWZkZTk1OGU1MDYxN2ZiZGM2YWYwZjMiLCJ1c2VySWQiOiI4ODEzODM3MTQ2MTA1In0=</vt:lpwstr>
  </property>
  <property fmtid="{D5CDD505-2E9C-101B-9397-08002B2CF9AE}" pid="8" name="KSOProductBuildVer">
    <vt:lpwstr>1033-12.1.0.26880</vt:lpwstr>
  </property>
  <property fmtid="{D5CDD505-2E9C-101B-9397-08002B2CF9AE}" pid="9" name="ICV">
    <vt:lpwstr>E5F1E54548914C179A4FF4FB9C067CE8_12</vt:lpwstr>
  </property>
</Properties>
</file>