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ind w:end="120"/>
        <w:jc w:val="center"/>
        <w:rPr>
          <w:rFonts w:ascii="Arial" w:hAnsi="Arial" w:cs="Arial"/>
          <w:b/>
          <w:u w:val="single"/>
        </w:rPr>
      </w:pPr>
      <w:r>
        <w:rPr>
          <w:rFonts w:eastAsia="Arial" w:cs="Arial" w:ascii="Arial" w:hAnsi="Arial"/>
          <w:b/>
          <w:bCs/>
        </w:rPr>
        <w:t xml:space="preserve">     </w:t>
      </w:r>
      <w:r>
        <w:rPr>
          <w:rFonts w:cs="Arial" w:ascii="Arial" w:hAnsi="Arial"/>
          <w:b/>
          <w:bCs/>
          <w:u w:val="single"/>
        </w:rPr>
        <w:t>BRIEF ON WEEKLY INFLATION</w:t>
      </w:r>
    </w:p>
    <w:p>
      <w:pPr>
        <w:pStyle w:val="Normal"/>
        <w:spacing w:lineRule="auto" w:line="360"/>
        <w:ind w:firstLine="900" w:end="72"/>
        <w:jc w:val="both"/>
        <w:rPr>
          <w:rFonts w:ascii="Arial" w:hAnsi="Arial" w:cs="Arial"/>
        </w:rPr>
      </w:pPr>
      <w:r>
        <w:rPr>
          <w:rFonts w:ascii="Arial" w:hAnsi="Arial"/>
          <w:b w:val="0"/>
        </w:rPr>
        <w:t xml:space="preserve">Sensitive Price Indicator (SPI) for Combined Income Group for the week ended on </w:t>
      </w:r>
      <w:r>
        <w:rPr>
          <w:rFonts w:ascii="Arial" w:hAnsi="Arial"/>
          <w:b/>
        </w:rPr>
        <w:t>23.07.2026 increased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 w:val="0"/>
        </w:rPr>
        <w:t xml:space="preserve">by </w:t>
      </w:r>
      <w:r>
        <w:rPr>
          <w:rFonts w:ascii="Arial" w:hAnsi="Arial"/>
          <w:b/>
        </w:rPr>
        <w:t>0.91%.</w:t>
      </w:r>
      <w:r>
        <w:rPr>
          <w:rFonts w:ascii="Arial" w:hAnsi="Arial"/>
          <w:b w:val="0"/>
        </w:rPr>
        <w:t xml:space="preserve"> A comparison of percentage changes in SPI by income groups during the current week viz-a-viz previous five weeks is given in the following table:</w:t>
      </w:r>
    </w:p>
    <w:tbl>
      <w:tblPr>
        <w:tblpPr w:vertAnchor="text" w:horzAnchor="text" w:tblpXSpec="center" w:leftFromText="180" w:rightFromText="180" w:tblpY="1"/>
        <w:tblOverlap w:val="never"/>
        <w:tblW w:w="10306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304"/>
        <w:gridCol w:w="1411"/>
        <w:gridCol w:w="1411"/>
        <w:gridCol w:w="1411"/>
        <w:gridCol w:w="1411"/>
        <w:gridCol w:w="1411"/>
        <w:gridCol w:w="1411"/>
      </w:tblGrid>
      <w:tr>
        <w:trPr>
          <w:trHeight w:val="269" w:hRule="atLeast"/>
        </w:trPr>
        <w:tc>
          <w:tcPr>
            <w:tcW w:w="230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Consumption Quintiles</w:t>
            </w:r>
          </w:p>
        </w:tc>
        <w:tc>
          <w:tcPr>
            <w:tcW w:w="1411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Percentage Change as compared to previous weeks</w:t>
            </w:r>
          </w:p>
        </w:tc>
      </w:tr>
      <w:tr>
        <w:trPr>
          <w:trHeight w:val="324" w:hRule="atLeast"/>
        </w:trPr>
        <w:tc>
          <w:tcPr>
            <w:tcW w:w="263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1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="-14" w:end="-4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/>
              </w:rPr>
              <w:t>23.07.2026</w:t>
            </w:r>
          </w:p>
        </w:tc>
        <w:tc>
          <w:tcPr>
            <w:tcW w:w="1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="-14" w:end="-4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</w:rPr>
              <w:t>16.07.2026</w:t>
            </w:r>
          </w:p>
        </w:tc>
        <w:tc>
          <w:tcPr>
            <w:tcW w:w="1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="-14" w:end="-4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</w:rPr>
              <w:t>09.07.2026</w:t>
            </w:r>
          </w:p>
        </w:tc>
        <w:tc>
          <w:tcPr>
            <w:tcW w:w="1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="-14" w:end="-4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</w:rPr>
              <w:t>02.07.2026</w:t>
            </w:r>
          </w:p>
        </w:tc>
        <w:tc>
          <w:tcPr>
            <w:tcW w:w="1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="-14" w:end="-4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</w:rPr>
              <w:t>18.06.2026</w:t>
            </w:r>
          </w:p>
        </w:tc>
        <w:tc>
          <w:tcPr>
            <w:tcW w:w="1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="-14" w:end="-4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/>
              </w:rPr>
              <w:t>11.06.2026</w:t>
            </w:r>
          </w:p>
        </w:tc>
      </w:tr>
      <w:tr>
        <w:trPr>
          <w:trHeight w:val="411" w:hRule="atLeast"/>
        </w:trPr>
        <w:tc>
          <w:tcPr>
            <w:tcW w:w="2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-112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0" w:name="OLE_LINK9"/>
            <w:bookmarkStart w:id="1" w:name="OLE_LINK8"/>
            <w:bookmarkStart w:id="2" w:name="OLE_LINK7"/>
            <w:bookmarkStart w:id="3" w:name="OLE_LINK6"/>
            <w:bookmarkStart w:id="4" w:name="OLE_LINK5"/>
            <w:bookmarkStart w:id="5" w:name="OLE_LINK4"/>
            <w:bookmarkStart w:id="6" w:name="OLE_LINK3"/>
            <w:bookmarkStart w:id="7" w:name="OLE_LINK2"/>
            <w:bookmarkStart w:id="8" w:name="OLE_LINK1"/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r>
              <w:rPr>
                <w:rFonts w:cs="Arial" w:ascii="Arial" w:hAnsi="Arial"/>
                <w:sz w:val="20"/>
                <w:szCs w:val="20"/>
              </w:rPr>
              <w:t>Q1 (Up to Rs.18,000)</w:t>
            </w:r>
          </w:p>
        </w:tc>
        <w:tc>
          <w:tcPr>
            <w:tcW w:w="1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/>
              </w:rPr>
              <w:t>0.87</w:t>
            </w:r>
          </w:p>
        </w:tc>
        <w:tc>
          <w:tcPr>
            <w:tcW w:w="1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/>
              </w:rPr>
              <w:t>1.11</w:t>
            </w:r>
          </w:p>
        </w:tc>
        <w:tc>
          <w:tcPr>
            <w:tcW w:w="1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/>
              </w:rPr>
              <w:t>-0.36</w:t>
            </w:r>
          </w:p>
        </w:tc>
        <w:tc>
          <w:tcPr>
            <w:tcW w:w="1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/>
              </w:rPr>
              <w:t>1.42</w:t>
            </w:r>
          </w:p>
        </w:tc>
        <w:tc>
          <w:tcPr>
            <w:tcW w:w="1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/>
              </w:rPr>
              <w:t>0.64</w:t>
            </w:r>
          </w:p>
        </w:tc>
        <w:tc>
          <w:tcPr>
            <w:tcW w:w="1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/>
              </w:rPr>
              <w:t>0.19</w:t>
            </w:r>
          </w:p>
        </w:tc>
      </w:tr>
      <w:tr>
        <w:trPr>
          <w:trHeight w:val="368" w:hRule="atLeast"/>
        </w:trPr>
        <w:tc>
          <w:tcPr>
            <w:tcW w:w="2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-11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Q2 (Rs. 18001 – 23,000)</w:t>
            </w:r>
          </w:p>
        </w:tc>
        <w:tc>
          <w:tcPr>
            <w:tcW w:w="141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/>
              </w:rPr>
              <w:t>0.89</w:t>
            </w:r>
          </w:p>
        </w:tc>
        <w:tc>
          <w:tcPr>
            <w:tcW w:w="141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/>
              </w:rPr>
              <w:t>1.18</w:t>
            </w:r>
          </w:p>
        </w:tc>
        <w:tc>
          <w:tcPr>
            <w:tcW w:w="141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/>
              </w:rPr>
              <w:t>-0.33</w:t>
            </w:r>
          </w:p>
        </w:tc>
        <w:tc>
          <w:tcPr>
            <w:tcW w:w="141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/>
              </w:rPr>
              <w:t>0.86</w:t>
            </w:r>
          </w:p>
        </w:tc>
        <w:tc>
          <w:tcPr>
            <w:tcW w:w="141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/>
              </w:rPr>
              <w:t>0.61</w:t>
            </w:r>
          </w:p>
        </w:tc>
        <w:tc>
          <w:tcPr>
            <w:tcW w:w="141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/>
              </w:rPr>
              <w:t>0.12</w:t>
            </w:r>
          </w:p>
        </w:tc>
      </w:tr>
      <w:tr>
        <w:trPr>
          <w:trHeight w:val="368" w:hRule="atLeast"/>
        </w:trPr>
        <w:tc>
          <w:tcPr>
            <w:tcW w:w="2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-11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Q3 (Rs. 23,001 – 30,000)</w:t>
            </w:r>
          </w:p>
        </w:tc>
        <w:tc>
          <w:tcPr>
            <w:tcW w:w="141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/>
              </w:rPr>
              <w:t>0.80</w:t>
            </w:r>
          </w:p>
        </w:tc>
        <w:tc>
          <w:tcPr>
            <w:tcW w:w="141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/>
              </w:rPr>
              <w:t>1.17</w:t>
            </w:r>
          </w:p>
        </w:tc>
        <w:tc>
          <w:tcPr>
            <w:tcW w:w="141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/>
              </w:rPr>
              <w:t>-0.32</w:t>
            </w:r>
          </w:p>
        </w:tc>
        <w:tc>
          <w:tcPr>
            <w:tcW w:w="141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/>
              </w:rPr>
              <w:t>0.28</w:t>
            </w:r>
          </w:p>
        </w:tc>
        <w:tc>
          <w:tcPr>
            <w:tcW w:w="141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/>
              </w:rPr>
              <w:t>0.53</w:t>
            </w:r>
          </w:p>
        </w:tc>
        <w:tc>
          <w:tcPr>
            <w:tcW w:w="141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/>
              </w:rPr>
              <w:t>0.11</w:t>
            </w:r>
          </w:p>
        </w:tc>
      </w:tr>
      <w:tr>
        <w:trPr>
          <w:trHeight w:val="368" w:hRule="atLeast"/>
        </w:trPr>
        <w:tc>
          <w:tcPr>
            <w:tcW w:w="2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-11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Q4 (Rs. 30,001 – 45,000)</w:t>
            </w:r>
          </w:p>
        </w:tc>
        <w:tc>
          <w:tcPr>
            <w:tcW w:w="141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/>
              </w:rPr>
              <w:t>0.86</w:t>
            </w:r>
          </w:p>
        </w:tc>
        <w:tc>
          <w:tcPr>
            <w:tcW w:w="141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/>
              </w:rPr>
              <w:t>1.28</w:t>
            </w:r>
          </w:p>
        </w:tc>
        <w:tc>
          <w:tcPr>
            <w:tcW w:w="141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/>
              </w:rPr>
              <w:t>-0.33</w:t>
            </w:r>
          </w:p>
        </w:tc>
        <w:tc>
          <w:tcPr>
            <w:tcW w:w="141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/>
              </w:rPr>
              <w:t>-0.32</w:t>
            </w:r>
          </w:p>
        </w:tc>
        <w:tc>
          <w:tcPr>
            <w:tcW w:w="141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/>
              </w:rPr>
              <w:t>0.51</w:t>
            </w:r>
          </w:p>
        </w:tc>
        <w:tc>
          <w:tcPr>
            <w:tcW w:w="141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/>
              </w:rPr>
              <w:t>0.08</w:t>
            </w:r>
          </w:p>
        </w:tc>
      </w:tr>
      <w:tr>
        <w:trPr>
          <w:trHeight w:val="368" w:hRule="atLeast"/>
        </w:trPr>
        <w:tc>
          <w:tcPr>
            <w:tcW w:w="2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-11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Q5 (Above Rs. 45,000)</w:t>
            </w:r>
          </w:p>
        </w:tc>
        <w:tc>
          <w:tcPr>
            <w:tcW w:w="141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/>
              </w:rPr>
              <w:t>0.98</w:t>
            </w:r>
          </w:p>
        </w:tc>
        <w:tc>
          <w:tcPr>
            <w:tcW w:w="141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/>
              </w:rPr>
              <w:t>1.58</w:t>
            </w:r>
          </w:p>
        </w:tc>
        <w:tc>
          <w:tcPr>
            <w:tcW w:w="141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/>
              </w:rPr>
              <w:t>-0.55</w:t>
            </w:r>
          </w:p>
        </w:tc>
        <w:tc>
          <w:tcPr>
            <w:tcW w:w="141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/>
              </w:rPr>
              <w:t>-2.00</w:t>
            </w:r>
          </w:p>
        </w:tc>
        <w:tc>
          <w:tcPr>
            <w:tcW w:w="141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/>
              </w:rPr>
              <w:t>0.39</w:t>
            </w:r>
          </w:p>
        </w:tc>
        <w:tc>
          <w:tcPr>
            <w:tcW w:w="141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/>
              </w:rPr>
              <w:t>0.20</w:t>
            </w:r>
          </w:p>
        </w:tc>
      </w:tr>
      <w:tr>
        <w:trPr>
          <w:trHeight w:val="332" w:hRule="atLeast"/>
        </w:trPr>
        <w:tc>
          <w:tcPr>
            <w:tcW w:w="2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-112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Combined</w:t>
            </w:r>
          </w:p>
        </w:tc>
        <w:tc>
          <w:tcPr>
            <w:tcW w:w="141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/>
              </w:rPr>
              <w:t>0.91</w:t>
            </w:r>
          </w:p>
        </w:tc>
        <w:tc>
          <w:tcPr>
            <w:tcW w:w="141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/>
              </w:rPr>
              <w:t>1.40</w:t>
            </w:r>
          </w:p>
        </w:tc>
        <w:tc>
          <w:tcPr>
            <w:tcW w:w="141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/>
              </w:rPr>
              <w:t>-0.45</w:t>
            </w:r>
          </w:p>
        </w:tc>
        <w:tc>
          <w:tcPr>
            <w:tcW w:w="141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/>
              </w:rPr>
              <w:t>-0.98</w:t>
            </w:r>
          </w:p>
        </w:tc>
        <w:tc>
          <w:tcPr>
            <w:tcW w:w="141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/>
              </w:rPr>
              <w:t>0.46</w:t>
            </w:r>
          </w:p>
        </w:tc>
        <w:tc>
          <w:tcPr>
            <w:tcW w:w="141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/>
              </w:rPr>
              <w:t>0.16</w:t>
            </w:r>
          </w:p>
        </w:tc>
      </w:tr>
    </w:tbl>
    <w:p>
      <w:pPr>
        <w:pStyle w:val="Normal"/>
        <w:spacing w:lineRule="auto" w:line="360"/>
        <w:ind w:end="81"/>
        <w:jc w:val="both"/>
        <w:rPr>
          <w:rFonts w:ascii="Arial" w:hAnsi="Arial" w:cs="Arial"/>
          <w:sz w:val="8"/>
          <w:u w:val="single"/>
        </w:rPr>
      </w:pPr>
      <w:r>
        <w:rPr>
          <w:rFonts w:cs="Arial" w:ascii="Arial" w:hAnsi="Arial"/>
          <w:sz w:val="8"/>
          <w:u w:val="single"/>
        </w:rPr>
      </w:r>
    </w:p>
    <w:p>
      <w:pPr>
        <w:pStyle w:val="Normal"/>
        <w:tabs>
          <w:tab w:val="clear" w:pos="720"/>
          <w:tab w:val="left" w:pos="8100" w:leader="none"/>
        </w:tabs>
        <w:spacing w:lineRule="auto" w:line="360"/>
        <w:ind w:end="81"/>
        <w:jc w:val="both"/>
        <w:rPr/>
      </w:pPr>
      <w:r>
        <w:rPr>
          <w:rFonts w:eastAsia="Arial" w:cs="Arial" w:ascii="Arial" w:hAnsi="Arial"/>
          <w:b/>
          <w:sz w:val="26"/>
        </w:rPr>
        <w:t xml:space="preserve">   </w:t>
      </w:r>
      <w:r>
        <w:rPr>
          <w:rFonts w:cs="Arial" w:ascii="Arial" w:hAnsi="Arial"/>
          <w:b/>
          <w:sz w:val="26"/>
          <w:u w:val="single"/>
        </w:rPr>
        <w:t>A) Current week over previous week</w:t>
      </w:r>
    </w:p>
    <w:p>
      <w:pPr>
        <w:pStyle w:val="Normal"/>
        <w:spacing w:lineRule="auto" w:line="276"/>
        <w:ind w:hanging="86" w:start="86" w:end="86"/>
        <w:jc w:val="both"/>
        <w:rPr>
          <w:lang w:val="en-US" w:eastAsia="en-US"/>
        </w:rPr>
      </w:pPr>
      <w:r>
        <w:rPr>
          <w:rFonts w:ascii="Arial" w:hAnsi="Arial"/>
          <w:b/>
        </w:rPr>
        <w:t>2.</w:t>
        <w:tab/>
      </w:r>
      <w:r>
        <w:rPr>
          <w:rFonts w:ascii="Arial" w:hAnsi="Arial"/>
          <w:b w:val="0"/>
        </w:rPr>
        <w:t xml:space="preserve"> A comparison of percentage changes for current week over previous week in SPI for   income groups </w:t>
      </w:r>
      <w:r>
        <w:rPr>
          <w:rFonts w:ascii="Arial" w:hAnsi="Arial"/>
          <w:b/>
        </w:rPr>
        <w:t>Q1</w:t>
      </w:r>
      <w:r>
        <w:rPr>
          <w:rFonts w:ascii="Arial" w:hAnsi="Arial"/>
          <w:b w:val="0"/>
        </w:rPr>
        <w:t xml:space="preserve"> and </w:t>
      </w:r>
      <w:r>
        <w:rPr>
          <w:rFonts w:ascii="Arial" w:hAnsi="Arial"/>
          <w:b/>
        </w:rPr>
        <w:t>combined</w:t>
      </w:r>
      <w:r>
        <w:rPr>
          <w:rFonts w:ascii="Arial" w:hAnsi="Arial"/>
          <w:b w:val="0"/>
        </w:rPr>
        <w:t xml:space="preserve"> since February 19, 2026</w:t>
      </w:r>
      <w:r>
        <w:rPr>
          <w:rFonts w:ascii="Arial" w:hAnsi="Arial"/>
          <w:b w:val="0"/>
        </w:rPr>
        <w:t xml:space="preserve"> is given below: </w:t>
      </w:r>
    </w:p>
    <w:p>
      <w:pPr>
        <w:pStyle w:val="Normal"/>
        <w:spacing w:lineRule="auto" w:line="276"/>
        <w:ind w:hanging="86" w:start="86" w:end="86"/>
        <w:jc w:val="both"/>
        <w:rPr>
          <w:lang w:val="en-US" w:eastAsia="en-US"/>
        </w:rPr>
      </w:pPr>
      <w:r>
        <w:rPr>
          <w:lang w:val="en-US" w:eastAsia="en-US"/>
        </w:rPr>
      </w:r>
    </w:p>
    <w:p>
      <w:pPr>
        <w:pStyle w:val="Normal"/>
        <w:spacing w:lineRule="auto" w:line="360"/>
        <w:ind w:end="86"/>
        <w:jc w:val="both"/>
        <w:rPr>
          <w:rFonts w:ascii="Arial" w:hAnsi="Arial" w:cs="Arial"/>
          <w:color w:val="000000"/>
        </w:rPr>
      </w:pPr>
      <w:bookmarkStart w:id="9" w:name="_Hlk166773164"/>
      <w:bookmarkStart w:id="10" w:name="_Hlk232690648"/>
      <w:bookmarkStart w:id="11" w:name="_Hlk229062828"/>
      <w:bookmarkStart w:id="12" w:name="_Hlk220592942"/>
      <w:bookmarkStart w:id="13" w:name="_Hlk218780804"/>
      <w:bookmarkStart w:id="14" w:name="_Hlk218781220"/>
      <w:bookmarkEnd w:id="9"/>
      <w:bookmarkEnd w:id="10"/>
      <w:bookmarkEnd w:id="11"/>
      <w:bookmarkEnd w:id="12"/>
      <w:bookmarkEnd w:id="13"/>
      <w:bookmarkEnd w:id="14"/>
      <w:r>
        <w:rPr>
          <w:rFonts w:ascii="Arial" w:hAnsi="Arial"/>
          <w:b/>
        </w:rPr>
        <w:t>3.</w:t>
        <w:tab/>
      </w:r>
      <w:r>
        <w:rPr>
          <w:rFonts w:ascii="Arial" w:hAnsi="Arial"/>
          <w:b w:val="0"/>
        </w:rPr>
        <w:t>During the current week, major</w:t>
      </w:r>
      <w:r>
        <w:rPr>
          <w:rFonts w:ascii="Arial" w:hAnsi="Arial"/>
          <w:b/>
        </w:rPr>
        <w:t xml:space="preserve"> increase </w:t>
      </w:r>
      <w:r>
        <w:rPr>
          <w:rFonts w:ascii="Arial" w:hAnsi="Arial"/>
          <w:b w:val="0"/>
        </w:rPr>
        <w:t xml:space="preserve">is observed in the prices of </w:t>
      </w:r>
      <w:r>
        <w:rPr>
          <w:rFonts w:ascii="Arial" w:hAnsi="Arial"/>
          <w:b w:val="0"/>
        </w:rPr>
        <w:t>Tomatoes (39.92%), Diesel (15.87%), Eggs (7.31%), Petrol (5.23%), Potatoes (3.70%), LPG (0.91%), Cooked Daal (0.72%), Tea Lipton (0.59%), Mustard Oil (0.45%), Garlic (0.41%), Cooked Beef (0.36%), Vegetable Ghee 1Kg (0.28%), Washing Soap (0.21%), Wheat Flour (0.14%), Vegetable Ghee 2.5 KG (0.11%), Milk Fresh &amp; Curd (0.09%), Powdered Milk &amp; Tea Prepared (0.06%), Cooking Oil &amp; Onions (0.05%) and Gur (0.04%)</w:t>
      </w:r>
      <w:r>
        <w:rPr>
          <w:rFonts w:ascii="Arial" w:hAnsi="Arial"/>
          <w:b w:val="0"/>
        </w:rPr>
        <w:t xml:space="preserve"> each, while </w:t>
      </w:r>
      <w:r>
        <w:rPr>
          <w:rFonts w:ascii="Arial" w:hAnsi="Arial"/>
          <w:b/>
        </w:rPr>
        <w:t>decrease</w:t>
      </w:r>
      <w:r>
        <w:rPr>
          <w:rFonts w:ascii="Arial" w:hAnsi="Arial"/>
          <w:b w:val="0"/>
        </w:rPr>
        <w:t xml:space="preserve"> is observed in the prices of </w:t>
      </w:r>
      <w:r>
        <w:rPr>
          <w:rFonts w:ascii="Arial" w:hAnsi="Arial"/>
          <w:b w:val="0"/>
        </w:rPr>
        <w:t>Chicken (-4.66%), Bananas (-1.72%), Moong (-1.08%), Mash (-1.07%), IRRI (-0.52%), Masoor (-0.40%), Sugar (-0.09%) and Gram (-0.03%)</w:t>
      </w:r>
      <w:r>
        <w:rPr>
          <w:rFonts w:ascii="Arial" w:hAnsi="Arial"/>
          <w:b w:val="0"/>
        </w:rPr>
        <w:t>.</w:t>
      </w:r>
    </w:p>
    <w:p>
      <w:pPr>
        <w:pStyle w:val="Normal"/>
        <w:spacing w:lineRule="auto" w:line="360"/>
        <w:ind w:end="86"/>
        <w:jc w:val="both"/>
        <w:rPr>
          <w:rFonts w:ascii="Arial" w:hAnsi="Arial" w:cs="Arial"/>
        </w:rPr>
      </w:pPr>
      <w:r>
        <w:rPr>
          <w:rFonts w:ascii="Arial" w:hAnsi="Arial"/>
          <w:b/>
        </w:rPr>
        <w:t>4.</w:t>
        <w:tab/>
      </w:r>
      <w:r>
        <w:rPr>
          <w:rFonts w:ascii="Arial" w:hAnsi="Arial"/>
          <w:b w:val="0"/>
        </w:rPr>
        <w:t xml:space="preserve">The prices of </w:t>
      </w:r>
      <w:r>
        <w:rPr>
          <w:rFonts w:ascii="Arial" w:hAnsi="Arial"/>
          <w:b/>
        </w:rPr>
        <w:t xml:space="preserve">22 </w:t>
      </w:r>
      <w:r>
        <w:rPr>
          <w:rFonts w:ascii="Arial" w:hAnsi="Arial"/>
          <w:b w:val="0"/>
        </w:rPr>
        <w:t xml:space="preserve">items registered increase </w:t>
      </w:r>
      <w:r>
        <w:rPr>
          <w:rFonts w:ascii="Arial" w:hAnsi="Arial"/>
          <w:b/>
        </w:rPr>
        <w:t xml:space="preserve">08 </w:t>
      </w:r>
      <w:r>
        <w:rPr>
          <w:rFonts w:ascii="Arial" w:hAnsi="Arial"/>
          <w:b w:val="0"/>
        </w:rPr>
        <w:t xml:space="preserve">items decrease and no change is observed in the prices of </w:t>
      </w:r>
      <w:r>
        <w:rPr>
          <w:rFonts w:ascii="Arial" w:hAnsi="Arial"/>
          <w:b/>
        </w:rPr>
        <w:t xml:space="preserve">21 </w:t>
      </w:r>
      <w:r>
        <w:rPr>
          <w:rFonts w:ascii="Arial" w:hAnsi="Arial"/>
          <w:b w:val="0"/>
        </w:rPr>
        <w:t>items during the week.</w:t>
      </w:r>
    </w:p>
    <w:p>
      <w:pPr>
        <w:pStyle w:val="Normal"/>
        <w:spacing w:lineRule="auto" w:line="360"/>
        <w:ind w:end="86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/>
        <w:ind w:end="12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spacing w:lineRule="auto" w:line="360"/>
        <w:ind w:end="120"/>
        <w:jc w:val="center"/>
        <w:rPr>
          <w:rFonts w:ascii="Arial" w:hAnsi="Arial" w:cs="Arial"/>
          <w:b/>
        </w:rPr>
      </w:pPr>
      <w:r>
        <w:rPr>
          <w:rFonts w:eastAsia="Arial" w:cs="Arial" w:ascii="Arial" w:hAnsi="Arial"/>
          <w:b/>
        </w:rPr>
        <w:t xml:space="preserve"> </w:t>
      </w:r>
      <w:r>
        <w:rPr>
          <w:rFonts w:cs="Arial" w:ascii="Arial" w:hAnsi="Arial"/>
          <w:b/>
        </w:rPr>
        <w:t>2-</w:t>
      </w:r>
    </w:p>
    <w:p>
      <w:pPr>
        <w:pStyle w:val="Normal"/>
        <w:spacing w:lineRule="auto" w:line="360"/>
        <w:ind w:end="81"/>
        <w:jc w:val="both"/>
        <w:rPr/>
      </w:pPr>
      <w:r>
        <w:rPr>
          <w:rFonts w:eastAsia="Arial" w:cs="Arial" w:ascii="Arial" w:hAnsi="Arial"/>
          <w:b/>
          <w:sz w:val="26"/>
        </w:rPr>
        <w:t xml:space="preserve"> </w:t>
      </w:r>
      <w:r>
        <w:rPr>
          <w:rFonts w:cs="Arial" w:ascii="Arial" w:hAnsi="Arial"/>
          <w:b/>
          <w:sz w:val="26"/>
          <w:u w:val="single"/>
        </w:rPr>
        <w:t>B) Current week over corresponding week of the last year</w:t>
      </w:r>
    </w:p>
    <w:p>
      <w:pPr>
        <w:pStyle w:val="Normal"/>
        <w:spacing w:lineRule="auto" w:line="276"/>
        <w:ind w:hanging="86" w:start="86" w:end="86"/>
        <w:jc w:val="both"/>
        <w:rPr>
          <w:rFonts w:ascii="Arial" w:hAnsi="Arial" w:cs="Arial"/>
        </w:rPr>
      </w:pPr>
      <w:r>
        <w:rPr>
          <w:rFonts w:ascii="Arial" w:hAnsi="Arial"/>
          <w:b/>
        </w:rPr>
        <w:t>5.</w:t>
        <w:tab/>
      </w:r>
      <w:r>
        <w:rPr>
          <w:rFonts w:ascii="Arial" w:hAnsi="Arial"/>
          <w:b w:val="0"/>
        </w:rPr>
        <w:t xml:space="preserve">A comparison of percentage changes for current week over Corresponding week in SPI for income groups </w:t>
      </w:r>
      <w:r>
        <w:rPr>
          <w:rFonts w:ascii="Arial" w:hAnsi="Arial"/>
          <w:b/>
        </w:rPr>
        <w:t>Q1</w:t>
      </w:r>
      <w:r>
        <w:rPr>
          <w:rFonts w:ascii="Arial" w:hAnsi="Arial"/>
          <w:b w:val="0"/>
        </w:rPr>
        <w:t xml:space="preserve"> and </w:t>
      </w:r>
      <w:r>
        <w:rPr>
          <w:rFonts w:ascii="Arial" w:hAnsi="Arial"/>
          <w:b/>
        </w:rPr>
        <w:t>combined</w:t>
      </w:r>
      <w:r>
        <w:rPr>
          <w:rFonts w:ascii="Arial" w:hAnsi="Arial"/>
          <w:b w:val="0"/>
        </w:rPr>
        <w:t xml:space="preserve"> since February 19, 2026</w:t>
      </w:r>
      <w:r>
        <w:rPr>
          <w:rFonts w:ascii="Arial" w:hAnsi="Arial"/>
          <w:b w:val="0"/>
        </w:rPr>
        <w:t xml:space="preserve"> is given below: </w:t>
      </w:r>
    </w:p>
    <w:p>
      <w:pPr>
        <w:pStyle w:val="Normal"/>
        <w:spacing w:lineRule="auto" w:line="360"/>
        <w:ind w:end="173"/>
        <w:jc w:val="both"/>
        <w:rPr>
          <w:rFonts w:ascii="Arial" w:hAnsi="Arial" w:cs="Arial"/>
          <w:color w:val="000000"/>
          <w:lang w:val="en-US"/>
        </w:rPr>
      </w:pPr>
      <w:bookmarkStart w:id="15" w:name="_Hlk232690736"/>
      <w:bookmarkStart w:id="16" w:name="_Hlk220592964"/>
      <w:bookmarkStart w:id="17" w:name="_Hlk213338608"/>
      <w:bookmarkStart w:id="18" w:name="_Hlk197670597"/>
      <w:bookmarkEnd w:id="18"/>
      <w:bookmarkStart w:id="19" w:name="_Hlk197670710"/>
      <w:bookmarkStart w:id="20" w:name="_Hlk197670655"/>
      <w:bookmarkStart w:id="21" w:name="_Hlk187934092"/>
      <w:bookmarkStart w:id="22" w:name="_Hlk180073632"/>
      <w:bookmarkStart w:id="23" w:name="_Hlk156915056"/>
      <w:bookmarkStart w:id="24" w:name="_Hlk152252867"/>
      <w:bookmarkStart w:id="25" w:name="_Hlk197670842"/>
      <w:bookmarkEnd w:id="25"/>
      <w:bookmarkStart w:id="26" w:name="_Hlk197670742"/>
      <w:bookmarkEnd w:id="16"/>
      <w:bookmarkEnd w:id="17"/>
      <w:bookmarkEnd w:id="19"/>
      <w:bookmarkEnd w:id="21"/>
      <w:bookmarkEnd w:id="22"/>
      <w:bookmarkEnd w:id="23"/>
      <w:bookmarkEnd w:id="24"/>
      <w:bookmarkEnd w:id="15"/>
      <w:r>
        <w:rPr>
          <w:rFonts w:ascii="Arial" w:hAnsi="Arial"/>
          <w:b/>
        </w:rPr>
        <w:t>6.</w:t>
        <w:tab/>
      </w:r>
      <w:r>
        <w:rPr>
          <w:rFonts w:ascii="Arial" w:hAnsi="Arial"/>
          <w:b w:val="0"/>
        </w:rPr>
        <w:t xml:space="preserve">During the current week, the combined SPI recorded </w:t>
      </w:r>
      <w:r>
        <w:rPr>
          <w:rFonts w:ascii="Arial" w:hAnsi="Arial"/>
          <w:b/>
        </w:rPr>
        <w:t>an increase</w:t>
      </w:r>
      <w:r>
        <w:rPr>
          <w:rFonts w:ascii="Arial" w:hAnsi="Arial"/>
          <w:b w:val="0"/>
        </w:rPr>
        <w:t xml:space="preserve"> of </w:t>
      </w:r>
      <w:r>
        <w:rPr>
          <w:rFonts w:ascii="Arial" w:hAnsi="Arial"/>
          <w:b/>
        </w:rPr>
        <w:t>9.66%</w:t>
      </w:r>
      <w:r>
        <w:rPr>
          <w:rFonts w:ascii="Arial" w:hAnsi="Arial"/>
          <w:b w:val="0"/>
        </w:rPr>
        <w:t xml:space="preserve"> over corresponding week of the last year i.e., July 24, 2025. </w:t>
      </w:r>
      <w:r>
        <w:rPr>
          <w:rFonts w:ascii="Arial" w:hAnsi="Arial"/>
          <w:b/>
        </w:rPr>
        <w:t>Major increase</w:t>
      </w:r>
      <w:r>
        <w:rPr>
          <w:rFonts w:ascii="Arial" w:hAnsi="Arial"/>
          <w:b w:val="0"/>
        </w:rPr>
        <w:t xml:space="preserve"> is observed in the prices of </w:t>
      </w:r>
      <w:r>
        <w:rPr>
          <w:rFonts w:ascii="Arial" w:hAnsi="Arial"/>
          <w:b w:val="0"/>
        </w:rPr>
        <w:t>Tomatoes (253.04%), Onions (81.55%), Wheat Flour (74.13%), LPG (46.87%), Diesel (31.92%), Electricity Charges for Q1 (22.79%), Petrol (20.32%), Gents Sponge Chappal (16.69%), Mutton (16.02%), Chilies Powder (15.20%) and Beef (13.09%)</w:t>
      </w:r>
      <w:r>
        <w:rPr>
          <w:rFonts w:ascii="Arial" w:hAnsi="Arial"/>
          <w:b w:val="0"/>
        </w:rPr>
        <w:t xml:space="preserve"> while </w:t>
      </w:r>
      <w:r>
        <w:rPr>
          <w:rFonts w:ascii="Arial" w:hAnsi="Arial"/>
          <w:b/>
        </w:rPr>
        <w:t>decrease</w:t>
      </w:r>
      <w:r>
        <w:rPr>
          <w:rFonts w:ascii="Arial" w:hAnsi="Arial"/>
          <w:b w:val="0"/>
        </w:rPr>
        <w:t xml:space="preserve"> is observed in the prices of </w:t>
      </w:r>
      <w:r>
        <w:rPr>
          <w:rFonts w:ascii="Arial" w:hAnsi="Arial"/>
          <w:b w:val="0"/>
        </w:rPr>
        <w:t>Potatoes (-32.69%), Gram (-21.48%), Sugar (-17.67%), Salt Powder (-14.09%), Chicken (-13.73%), Masoor (-13.55%), Eggs (-9.59%), Moong (-8.67%), Gur (-4.61%), Garlic (-1.83%) and Mash (-1.23%)</w:t>
      </w:r>
      <w:r>
        <w:rPr>
          <w:rFonts w:ascii="Arial" w:hAnsi="Arial"/>
          <w:b w:val="0"/>
        </w:rPr>
        <w:t>.</w:t>
      </w:r>
    </w:p>
    <w:p>
      <w:pPr>
        <w:pStyle w:val="Normal"/>
        <w:spacing w:lineRule="auto" w:line="360"/>
        <w:ind w:end="173"/>
        <w:jc w:val="both"/>
        <w:rPr>
          <w:rFonts w:ascii="Arial" w:hAnsi="Arial" w:cs="Arial"/>
          <w:color w:val="000000"/>
          <w:lang w:val="en-AU"/>
        </w:rPr>
      </w:pPr>
      <w:bookmarkEnd w:id="20"/>
      <w:bookmarkEnd w:id="26"/>
      <w:r>
        <w:rPr>
          <w:rFonts w:ascii="Arial" w:hAnsi="Arial"/>
          <w:b/>
        </w:rPr>
        <w:t>7.</w:t>
        <w:tab/>
      </w:r>
      <w:r>
        <w:rPr>
          <w:rFonts w:ascii="Arial" w:hAnsi="Arial"/>
          <w:b w:val="0"/>
        </w:rPr>
        <w:t xml:space="preserve">The following table depicts the current week impact of each group on SPI change over corresponding week of the last year. </w:t>
      </w:r>
    </w:p>
    <w:p>
      <w:pPr>
        <w:pStyle w:val="Normal"/>
        <w:spacing w:lineRule="auto" w:line="360"/>
        <w:ind w:end="173"/>
        <w:jc w:val="both"/>
        <w:rPr>
          <w:rFonts w:ascii="Arial" w:hAnsi="Arial" w:cs="Arial"/>
          <w:color w:val="000000"/>
          <w:sz w:val="12"/>
          <w:szCs w:val="12"/>
          <w:lang w:val="en-AU"/>
        </w:rPr>
      </w:pPr>
      <w:r>
        <w:rPr>
          <w:rFonts w:cs="Arial" w:ascii="Arial" w:hAnsi="Arial"/>
          <w:color w:val="000000"/>
          <w:sz w:val="12"/>
          <w:szCs w:val="12"/>
          <w:lang w:val="en-AU"/>
        </w:rPr>
      </w:r>
    </w:p>
    <w:tbl>
      <w:tblPr>
        <w:tblpPr w:vertAnchor="text" w:horzAnchor="margin" w:tblpXSpec="center" w:leftFromText="180" w:rightFromText="180" w:tblpY="-55"/>
        <w:tblW w:w="783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60"/>
        <w:gridCol w:w="2413"/>
        <w:gridCol w:w="2561"/>
      </w:tblGrid>
      <w:tr>
        <w:trPr>
          <w:trHeight w:val="692" w:hRule="atLeast"/>
        </w:trPr>
        <w:tc>
          <w:tcPr>
            <w:tcW w:w="28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ind w:end="148"/>
              <w:jc w:val="center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b/>
                <w:lang w:val="en-US"/>
              </w:rPr>
              <w:t>SPI Groups</w:t>
            </w:r>
          </w:p>
        </w:tc>
        <w:tc>
          <w:tcPr>
            <w:tcW w:w="2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ind w:end="148"/>
              <w:jc w:val="end"/>
              <w:rPr/>
            </w:pPr>
            <w:r>
              <w:rPr>
                <w:rFonts w:cs="Arial" w:ascii="Arial" w:hAnsi="Arial"/>
                <w:b/>
                <w:lang w:val="en-US"/>
              </w:rPr>
              <w:t>Weight</w:t>
            </w:r>
            <w:r>
              <w:rPr>
                <w:rFonts w:cs="Arial" w:ascii="Arial" w:hAnsi="Arial"/>
                <w:b/>
                <w:lang w:val="en-AU"/>
              </w:rPr>
              <w:t xml:space="preserve"> </w:t>
            </w:r>
            <w:r>
              <w:rPr>
                <w:rFonts w:cs="Arial" w:ascii="Arial" w:hAnsi="Arial"/>
                <w:b/>
              </w:rPr>
              <w:t>(2015-16)</w:t>
            </w:r>
          </w:p>
        </w:tc>
        <w:tc>
          <w:tcPr>
            <w:tcW w:w="2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ind w:end="148"/>
              <w:jc w:val="center"/>
              <w:rPr/>
            </w:pPr>
            <w:r>
              <w:rPr>
                <w:rFonts w:cs="Arial" w:ascii="Arial" w:hAnsi="Arial"/>
                <w:b/>
                <w:lang w:val="en-US"/>
              </w:rPr>
              <w:t>Impact</w:t>
            </w:r>
            <w:r>
              <w:rPr>
                <w:rFonts w:cs="Arial" w:ascii="Arial" w:hAnsi="Arial"/>
                <w:b/>
              </w:rPr>
              <w:t xml:space="preserve"> (% Change)</w:t>
            </w:r>
          </w:p>
        </w:tc>
      </w:tr>
      <w:tr>
        <w:trPr>
          <w:trHeight w:val="299" w:hRule="atLeast"/>
        </w:trPr>
        <w:tc>
          <w:tcPr>
            <w:tcW w:w="28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cs="Arial" w:ascii="Arial" w:hAnsi="Arial"/>
                <w:lang w:val="en-US"/>
              </w:rPr>
              <w:t>Food</w:t>
            </w:r>
          </w:p>
        </w:tc>
        <w:tc>
          <w:tcPr>
            <w:tcW w:w="2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148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/>
              </w:rPr>
              <w:t>63.43</w:t>
            </w:r>
          </w:p>
        </w:tc>
        <w:tc>
          <w:tcPr>
            <w:tcW w:w="2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ind w:end="148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/>
              </w:rPr>
              <w:t>5.66</w:t>
            </w:r>
          </w:p>
        </w:tc>
      </w:tr>
      <w:tr>
        <w:trPr>
          <w:trHeight w:val="299" w:hRule="atLeast"/>
        </w:trPr>
        <w:tc>
          <w:tcPr>
            <w:tcW w:w="28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cs="Arial" w:ascii="Arial" w:hAnsi="Arial"/>
                <w:lang w:val="en-US"/>
              </w:rPr>
              <w:t>Non-Food</w:t>
            </w:r>
          </w:p>
        </w:tc>
        <w:tc>
          <w:tcPr>
            <w:tcW w:w="2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148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/>
              </w:rPr>
              <w:t>13.24</w:t>
            </w:r>
          </w:p>
        </w:tc>
        <w:tc>
          <w:tcPr>
            <w:tcW w:w="256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ind w:end="148"/>
              <w:jc w:val="center"/>
              <w:rPr>
                <w:rFonts w:ascii="Arial" w:hAnsi="Arial" w:cs="Arial"/>
                <w:lang w:val="en-AU"/>
              </w:rPr>
            </w:pPr>
            <w:r>
              <w:rPr>
                <w:rFonts w:ascii="Arial" w:hAnsi="Arial"/>
              </w:rPr>
              <w:t>1.38</w:t>
            </w:r>
          </w:p>
        </w:tc>
      </w:tr>
      <w:tr>
        <w:trPr>
          <w:trHeight w:val="299" w:hRule="atLeast"/>
        </w:trPr>
        <w:tc>
          <w:tcPr>
            <w:tcW w:w="28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cs="Arial" w:ascii="Arial" w:hAnsi="Arial"/>
                <w:lang w:val="en-US"/>
              </w:rPr>
              <w:t>Utilities</w:t>
            </w:r>
          </w:p>
        </w:tc>
        <w:tc>
          <w:tcPr>
            <w:tcW w:w="2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148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/>
              </w:rPr>
              <w:t>16.54</w:t>
            </w:r>
          </w:p>
        </w:tc>
        <w:tc>
          <w:tcPr>
            <w:tcW w:w="256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ind w:end="148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/>
              </w:rPr>
              <w:t>1.09</w:t>
            </w:r>
          </w:p>
        </w:tc>
      </w:tr>
      <w:tr>
        <w:trPr>
          <w:trHeight w:val="282" w:hRule="atLeast"/>
        </w:trPr>
        <w:tc>
          <w:tcPr>
            <w:tcW w:w="28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cs="Arial" w:ascii="Arial" w:hAnsi="Arial"/>
                <w:lang w:val="en-US"/>
              </w:rPr>
              <w:t>Transport</w:t>
            </w:r>
          </w:p>
        </w:tc>
        <w:tc>
          <w:tcPr>
            <w:tcW w:w="2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148"/>
              <w:jc w:val="center"/>
              <w:rPr/>
            </w:pPr>
            <w:r>
              <w:rPr>
                <w:rFonts w:ascii="Arial" w:hAnsi="Arial"/>
              </w:rPr>
              <w:t>6.79</w:t>
            </w:r>
          </w:p>
        </w:tc>
        <w:tc>
          <w:tcPr>
            <w:tcW w:w="256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ind w:end="148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/>
              </w:rPr>
              <w:t>1.54</w:t>
            </w:r>
          </w:p>
        </w:tc>
      </w:tr>
      <w:tr>
        <w:trPr>
          <w:trHeight w:val="271" w:hRule="atLeast"/>
        </w:trPr>
        <w:tc>
          <w:tcPr>
            <w:tcW w:w="28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148"/>
              <w:jc w:val="center"/>
              <w:rPr>
                <w:rFonts w:ascii="Arial" w:hAnsi="Arial" w:cs="Arial"/>
                <w:b/>
                <w:lang w:val="en-US"/>
              </w:rPr>
            </w:pPr>
            <w:r>
              <w:rPr>
                <w:rFonts w:cs="Arial" w:ascii="Arial" w:hAnsi="Arial"/>
                <w:b/>
                <w:lang w:val="en-US"/>
              </w:rPr>
              <w:t>SPI Change</w:t>
            </w:r>
          </w:p>
        </w:tc>
        <w:tc>
          <w:tcPr>
            <w:tcW w:w="2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148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/>
              </w:rPr>
              <w:t>100.00</w:t>
            </w:r>
          </w:p>
        </w:tc>
        <w:tc>
          <w:tcPr>
            <w:tcW w:w="256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ind w:end="148"/>
              <w:jc w:val="center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/>
              </w:rPr>
              <w:t>9.66</w:t>
            </w:r>
          </w:p>
        </w:tc>
      </w:tr>
    </w:tbl>
    <w:p>
      <w:pPr>
        <w:pStyle w:val="Normal"/>
        <w:spacing w:lineRule="auto" w:line="360"/>
        <w:ind w:end="173"/>
        <w:jc w:val="both"/>
        <w:rPr>
          <w:rFonts w:ascii="Arial" w:hAnsi="Arial" w:cs="Arial"/>
          <w:lang w:val="en-AU"/>
        </w:rPr>
      </w:pPr>
      <w:r>
        <w:rPr>
          <w:rFonts w:cs="Arial" w:ascii="Arial" w:hAnsi="Arial"/>
          <w:lang w:val="en-AU"/>
        </w:rPr>
      </w:r>
    </w:p>
    <w:p>
      <w:pPr>
        <w:pStyle w:val="Normal"/>
        <w:ind w:end="148"/>
        <w:jc w:val="center"/>
        <w:rPr>
          <w:rFonts w:ascii="Arial" w:hAnsi="Arial" w:cs="Arial"/>
          <w:sz w:val="8"/>
          <w:lang w:val="en-AU"/>
        </w:rPr>
      </w:pPr>
      <w:r>
        <w:rPr>
          <w:rFonts w:cs="Arial" w:ascii="Arial" w:hAnsi="Arial"/>
          <w:sz w:val="8"/>
          <w:lang w:val="en-AU"/>
        </w:rPr>
      </w:r>
    </w:p>
    <w:p>
      <w:pPr>
        <w:pStyle w:val="Normal"/>
        <w:ind w:end="171"/>
        <w:jc w:val="both"/>
        <w:rPr>
          <w:rFonts w:ascii="Arial" w:hAnsi="Arial" w:cs="Arial"/>
          <w:b/>
          <w:sz w:val="8"/>
          <w:lang w:val="en-AU"/>
        </w:rPr>
      </w:pPr>
      <w:r>
        <w:rPr>
          <w:rFonts w:cs="Arial" w:ascii="Arial" w:hAnsi="Arial"/>
          <w:b/>
          <w:sz w:val="8"/>
          <w:lang w:val="en-AU"/>
        </w:rPr>
      </w:r>
    </w:p>
    <w:p>
      <w:pPr>
        <w:pStyle w:val="Normal"/>
        <w:ind w:end="171"/>
        <w:jc w:val="both"/>
        <w:rPr>
          <w:rFonts w:ascii="Arial" w:hAnsi="Arial" w:cs="Arial"/>
          <w:b/>
          <w:lang w:val="en-AU"/>
        </w:rPr>
      </w:pPr>
      <w:r>
        <w:rPr>
          <w:rFonts w:cs="Arial" w:ascii="Arial" w:hAnsi="Arial"/>
          <w:b/>
          <w:lang w:val="en-AU"/>
        </w:rPr>
      </w:r>
    </w:p>
    <w:p>
      <w:pPr>
        <w:pStyle w:val="Normal"/>
        <w:ind w:end="171"/>
        <w:jc w:val="both"/>
        <w:rPr>
          <w:rFonts w:ascii="Arial" w:hAnsi="Arial" w:cs="Arial"/>
          <w:b/>
          <w:lang w:val="en-AU"/>
        </w:rPr>
      </w:pPr>
      <w:r>
        <w:rPr>
          <w:rFonts w:cs="Arial" w:ascii="Arial" w:hAnsi="Arial"/>
          <w:b/>
          <w:lang w:val="en-AU"/>
        </w:rPr>
      </w:r>
    </w:p>
    <w:p>
      <w:pPr>
        <w:pStyle w:val="Normal"/>
        <w:ind w:end="171"/>
        <w:jc w:val="both"/>
        <w:rPr>
          <w:rFonts w:ascii="Arial" w:hAnsi="Arial" w:cs="Arial"/>
          <w:b/>
          <w:lang w:val="en-AU"/>
        </w:rPr>
      </w:pPr>
      <w:r>
        <w:rPr>
          <w:rFonts w:cs="Arial" w:ascii="Arial" w:hAnsi="Arial"/>
          <w:b/>
          <w:lang w:val="en-AU"/>
        </w:rPr>
      </w:r>
    </w:p>
    <w:p>
      <w:pPr>
        <w:pStyle w:val="Normal"/>
        <w:ind w:end="171"/>
        <w:jc w:val="both"/>
        <w:rPr>
          <w:rFonts w:ascii="Arial" w:hAnsi="Arial" w:cs="Arial"/>
          <w:b/>
          <w:lang w:val="en-AU"/>
        </w:rPr>
      </w:pPr>
      <w:r>
        <w:rPr>
          <w:rFonts w:cs="Arial" w:ascii="Arial" w:hAnsi="Arial"/>
          <w:b/>
          <w:lang w:val="en-AU"/>
        </w:rPr>
      </w:r>
    </w:p>
    <w:p>
      <w:pPr>
        <w:pStyle w:val="Normal"/>
        <w:ind w:end="171"/>
        <w:jc w:val="both"/>
        <w:rPr>
          <w:rFonts w:ascii="Arial" w:hAnsi="Arial" w:cs="Arial"/>
          <w:b/>
          <w:lang w:val="en-AU"/>
        </w:rPr>
      </w:pPr>
      <w:r>
        <w:rPr>
          <w:rFonts w:cs="Arial" w:ascii="Arial" w:hAnsi="Arial"/>
          <w:b/>
          <w:lang w:val="en-AU"/>
        </w:rPr>
      </w:r>
    </w:p>
    <w:p>
      <w:pPr>
        <w:pStyle w:val="Normal"/>
        <w:ind w:end="171"/>
        <w:jc w:val="both"/>
        <w:rPr>
          <w:rFonts w:ascii="Arial" w:hAnsi="Arial" w:cs="Arial"/>
          <w:b/>
          <w:lang w:val="en-AU"/>
        </w:rPr>
      </w:pPr>
      <w:r>
        <w:rPr>
          <w:rFonts w:cs="Arial" w:ascii="Arial" w:hAnsi="Arial"/>
          <w:b/>
          <w:lang w:val="en-AU"/>
        </w:rPr>
      </w:r>
    </w:p>
    <w:sectPr>
      <w:footerReference w:type="default" r:id="rId4"/>
      <w:footerReference w:type="first" r:id="rId5"/>
      <w:type w:val="nextPage"/>
      <w:pgSz w:w="11906" w:h="16838"/>
      <w:pgMar w:left="1008" w:right="567" w:gutter="0" w:header="0" w:top="180" w:footer="0" w:bottom="18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Verdana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rPr/>
    </w:pPr>
    <w:r>
      <w:rPr/>
    </w:r>
  </w:p>
  <w:p>
    <w:pPr>
      <w:pStyle w:val="Footer"/>
      <w:ind w:end="360"/>
      <w:rPr/>
    </w:pPr>
    <w:r>
      <w:rPr/>
    </w:r>
  </w:p>
  <w:p>
    <w:pPr>
      <w:pStyle w:val="Footer"/>
      <w:ind w:end="36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BreakWrappedTables/>
    <w:compatSetting w:name="compatibilityMode" w:uri="http://schemas.microsoft.com/office/word" w:val="11"/>
  </w:compat>
  <w:docVars>
    <w:docVar w:name="__Grammarly_42____i" w:val="H4sIAAAAAAAEAKtWckksSQxILCpxzi/NK1GyMqwFAAEhoTITAAAA"/>
    <w:docVar w:name="__Grammarly_42___1" w:val="H4sIAAAAAAAEAKtWcslP9kxRslIyNDYyMrcwMzExsjQyNTAztjBS0lEKTi0uzszPAykwtKwFABBAGYotAAAA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b/>
      <w:sz w:val="22"/>
      <w:szCs w:val="2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sz w:val="22"/>
      <w:szCs w:val="22"/>
      <w:u w:val="single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360" w:end="0"/>
      <w:jc w:val="center"/>
      <w:outlineLvl w:val="2"/>
    </w:pPr>
    <w:rPr>
      <w:b/>
      <w:bCs/>
      <w:sz w:val="22"/>
      <w:szCs w:val="22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ind w:hanging="0" w:start="720" w:end="533"/>
      <w:jc w:val="center"/>
      <w:outlineLvl w:val="3"/>
    </w:pPr>
    <w:rPr>
      <w:rFonts w:ascii="Verdana" w:hAnsi="Verdana" w:cs="Verdana"/>
      <w:b/>
      <w:i/>
      <w:iCs/>
      <w:sz w:val="26"/>
      <w:u w:val="single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>
      <w:rFonts w:ascii="Arial" w:hAnsi="Arial" w:eastAsia="Times New Roman" w:cs="Aria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/>
  </w:style>
  <w:style w:type="character" w:styleId="WW8Num6z0">
    <w:name w:val="WW8Num6z0"/>
    <w:qFormat/>
    <w:rPr>
      <w:b/>
    </w:rPr>
  </w:style>
  <w:style w:type="character" w:styleId="WW8Num7z0">
    <w:name w:val="WW8Num7z0"/>
    <w:qFormat/>
    <w:rPr>
      <w:color w:val="000000"/>
    </w:rPr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>
      <w:rFonts w:ascii="Symbol" w:hAnsi="Symbol" w:cs="Symbol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WW8Num15z0">
    <w:name w:val="WW8Num15z0"/>
    <w:qFormat/>
    <w:rPr/>
  </w:style>
  <w:style w:type="character" w:styleId="WW8Num16z0">
    <w:name w:val="WW8Num16z0"/>
    <w:qFormat/>
    <w:rPr/>
  </w:style>
  <w:style w:type="character" w:styleId="WW8Num17z0">
    <w:name w:val="WW8Num17z0"/>
    <w:qFormat/>
    <w:rPr/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BodyTextChar">
    <w:name w:val="Body Text Char"/>
    <w:qFormat/>
    <w:rPr>
      <w:sz w:val="24"/>
      <w:szCs w:val="24"/>
    </w:rPr>
  </w:style>
  <w:style w:type="character" w:styleId="Heading4Char">
    <w:name w:val="Heading 4 Char"/>
    <w:qFormat/>
    <w:rPr>
      <w:rFonts w:ascii="Verdana" w:hAnsi="Verdana" w:cs="Verdana"/>
      <w:b/>
      <w:i/>
      <w:iCs/>
      <w:sz w:val="26"/>
      <w:szCs w:val="24"/>
      <w:u w:val="single"/>
    </w:rPr>
  </w:style>
  <w:style w:type="character" w:styleId="Hyperlink">
    <w:name w:val="Hyperlink"/>
    <w:rPr>
      <w:color w:val="0000FF"/>
      <w:u w:val="single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TitleChar">
    <w:name w:val="Title Char"/>
    <w:qFormat/>
    <w:rPr>
      <w:b/>
      <w:sz w:val="28"/>
      <w:lang w:val="en-US"/>
    </w:rPr>
  </w:style>
  <w:style w:type="paragraph" w:styleId="Heading">
    <w:name w:val="Heading"/>
    <w:basedOn w:val="Normal"/>
    <w:next w:val="BodyText"/>
    <w:qFormat/>
    <w:pPr>
      <w:jc w:val="center"/>
    </w:pPr>
    <w:rPr>
      <w:b/>
      <w:sz w:val="28"/>
      <w:szCs w:val="20"/>
      <w:lang w:val="en-US"/>
    </w:rPr>
  </w:style>
  <w:style w:type="paragraph" w:styleId="BodyText">
    <w:name w:val="Body Text"/>
    <w:basedOn w:val="Normal"/>
    <w:pPr>
      <w:spacing w:before="0" w:after="120"/>
    </w:pPr>
    <w:rPr>
      <w:lang w:val="en-US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odyTextIndent">
    <w:name w:val="Body Text Indent"/>
    <w:basedOn w:val="Normal"/>
    <w:pPr>
      <w:ind w:hanging="0" w:start="720" w:end="0"/>
      <w:jc w:val="both"/>
    </w:pPr>
    <w:rPr>
      <w:sz w:val="22"/>
      <w:szCs w:val="22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alloonText">
    <w:name w:val="Balloon Text"/>
    <w:basedOn w:val="Normal"/>
    <w:qFormat/>
    <w:pPr/>
    <w:rPr>
      <w:rFonts w:ascii="Tahoma" w:hAnsi="Tahoma" w:cs="Courier New"/>
      <w:sz w:val="16"/>
      <w:szCs w:val="16"/>
    </w:rPr>
  </w:style>
  <w:style w:type="paragraph" w:styleId="BlockText">
    <w:name w:val="Block Text"/>
    <w:basedOn w:val="Normal"/>
    <w:qFormat/>
    <w:pPr>
      <w:ind w:hanging="0" w:start="1620" w:end="1649"/>
      <w:jc w:val="center"/>
    </w:pPr>
    <w:rPr>
      <w:sz w:val="22"/>
      <w:szCs w:val="22"/>
    </w:rPr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ListParagraph">
    <w:name w:val="List Paragraph"/>
    <w:basedOn w:val="Normal"/>
    <w:qFormat/>
    <w:pPr>
      <w:ind w:hanging="0" w:start="720" w:end="0"/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1829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2025-08-12T22:28:00Z</dcterms:created>
  <dc:creator>Sabur Zia</dc:creator>
  <dc:description/>
  <cp:keywords/>
  <dc:language>en-US</dc:language>
  <cp:lastModifiedBy>umaira zareen</cp:lastModifiedBy>
  <cp:lastPrinted>2026-07-23T17:44:00Z</cp:lastPrinted>
  <dcterms:modified xsi:type="dcterms:W3CDTF">2026-08-04T10:37:00Z</dcterms:modified>
  <cp:revision>702</cp:revision>
  <dc:subject/>
  <dc:title>Government of Pakistan</dc:title>
</cp:coreProperties>
</file>