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B47E2A"/>
          <w:sz w:val="16"/>
          <w:szCs w:val="16"/>
        </w:rPr>
        <w:t xml:space="preserve">STRATEGIC SPEC · ONE-PAGER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1410"/>
          <w:sz w:val="44"/>
          <w:szCs w:val="44"/>
        </w:rPr>
        <w:t xml:space="preserve">FRA × AFX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A5248"/>
          <w:sz w:val="22"/>
          <w:szCs w:val="22"/>
        </w:rPr>
        <w:t xml:space="preserve">The African film industry's discovery layer, powered by its finance-ready marketplace.</w:t>
      </w:r>
    </w:p>
    <w:p>
      <w:pPr>
        <w:pBdr>
          <w:bottom w:val="single" w:color="B47E2A" w:sz="6" w:space="1"/>
        </w:pBdr>
        <w:spacing w:after="120" w:before="120"/>
      </w:pPr>
      <w:r>
        <w:rPr>
          <w:sz w:val="2"/>
          <w:szCs w:val="2"/>
        </w:rPr>
        <w:t xml:space="preserve"/>
      </w:r>
    </w:p>
    <w:p>
      <w:pPr>
        <w:pStyle w:val="Heading2"/>
        <w:spacing w:after="100" w:before="0"/>
      </w:pPr>
      <w:r>
        <w:rPr>
          <w:rFonts w:ascii="Arial" w:cs="Arial" w:eastAsia="Arial" w:hAnsi="Arial"/>
          <w:b/>
          <w:bCs/>
          <w:color w:val="1A1410"/>
        </w:rPr>
        <w:t xml:space="preserve">Vision</w:t>
      </w:r>
    </w:p>
    <w:p>
      <w:pPr>
        <w:spacing w:after="60" w:before="4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FRA is the pan-African directory that filmmakers trust. AFX is the South Africa–first marketplace that turns verified, compliance-ready projects into deal flow for funders, studios, and institutional capital. One funnel, two layers, one thesis: we are the </w:t>
      </w: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translation layer between story and finance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410"/>
        </w:rPr>
        <w:t xml:space="preserve">The Opportunity — Why Now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~$1.5B USD of </w:t>
      </w: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dry powder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 earmarked for African production (CANEX, Next Narrative Africa, private PE, Afreximbank).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Funders report </w:t>
      </w: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90% of pitches lack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 Chain of Title, B-BBEE compliance, or QSAPE estimates. Supply of money is not the bottleneck — </w:t>
      </w:r>
      <w:r>
        <w:rPr>
          <w:rFonts w:ascii="Arial" w:cs="Arial" w:eastAsia="Arial" w:hAnsi="Arial"/>
          <w:i/>
          <w:iCs/>
          <w:color w:val="1A1410"/>
          <w:sz w:val="20"/>
          <w:szCs w:val="20"/>
        </w:rPr>
        <w:t xml:space="preserve">bankable packaging is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The </w:t>
      </w: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DTIC incentive crisis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 has made funders wary of unverified SA projects. A private adjudication layer is in demand — and there is no competitor with African tax fluency.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Streamer demand for African content is at an all-time high while traditional discovery (festivals, agencies) remains seasonal and expensive.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410"/>
        </w:rPr>
        <w:t xml:space="preserve">The Product — Two Layers, One Funnel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3EA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FRA · Discovery Layer (free)</w:t>
            </w:r>
          </w:p>
        </w:tc>
        <w:tc>
          <w:tcPr>
            <w:tcW w:type="dxa" w:w="468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3EA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AFX · Finance Layer (paid)</w:t>
            </w:r>
          </w:p>
        </w:tc>
      </w:tr>
      <w:tr>
        <w:tc>
          <w:tcPr>
            <w:tcW w:type="dxa" w:w="468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B47E2A"/>
                <w:sz w:val="16"/>
                <w:szCs w:val="16"/>
              </w:rPr>
              <w:t xml:space="preserve">Top of funnel · Pan-African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Curated directory (98+ labs, funds, festivals, pitch forums)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Editorial news, trailers, Community Spotlight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Country pages, Call Sheet, Industry Directory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Rebate &amp; Net Exposure Calculator (public, SEO wedge)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Weekly digest, deadline nudges, shortlist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5A5248"/>
                <w:sz w:val="16"/>
                <w:szCs w:val="16"/>
              </w:rPr>
              <w:t xml:space="preserve">Role: build creator trust, audience, SEO, and deal flow into AFX.</w:t>
            </w:r>
          </w:p>
        </w:tc>
        <w:tc>
          <w:tcPr>
            <w:tcW w:type="dxa" w:w="468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B84A2E"/>
                <w:sz w:val="16"/>
                <w:szCs w:val="16"/>
              </w:rPr>
              <w:t xml:space="preserve">Bottom of funnel · SA first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Verified Project Cards (Finance-Ready checklist)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QSAPE + B-BBEE rebate math; Net Exposure calc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Compliance vault: CIPC, Chain of Title, SARS, 25% skin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Funder dashboard built for due diligence, not browsing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Line-producer verification audit (human in the loop)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5A5248"/>
                <w:sz w:val="16"/>
                <w:szCs w:val="16"/>
              </w:rPr>
              <w:t xml:space="preserve">Role: convert vetted projects into bankable deal flow; generate revenue.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410"/>
        </w:rPr>
        <w:t xml:space="preserve">Where We Start</w:t>
      </w:r>
    </w:p>
    <w:p>
      <w:pPr>
        <w:spacing w:after="60" w:before="4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FRA's brand is pan-African from day one — Kenya, Nigeria, South Africa, Egypt, Ghana, Morocco, and beyond. AFX </w:t>
      </w: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starts with SA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 because QSAPE, B-BBEE, DTIC rebate logic, SARS compliance, and CIPC chain-of-title are the sharpest regulatory wedge in Africa and we can be fluent in them before any competitor. </w:t>
      </w:r>
      <w:r>
        <w:rPr>
          <w:rFonts w:ascii="Arial" w:cs="Arial" w:eastAsia="Arial" w:hAnsi="Arial"/>
          <w:i/>
          <w:iCs/>
          <w:color w:val="1A1410"/>
          <w:sz w:val="20"/>
          <w:szCs w:val="20"/>
        </w:rPr>
        <w:t xml:space="preserve">Nigeria and Kenya rebate modules follow in Year 1 as country-by-country plug-ins against the same data model.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410"/>
        </w:rPr>
        <w:t xml:space="preserve">Business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2480"/>
        <w:gridCol w:w="1920"/>
        <w:gridCol w:w="2880"/>
      </w:tblGrid>
      <w:tr>
        <w:trPr>
          <w:tblHeader/>
        </w:trPr>
        <w:tc>
          <w:tcPr>
            <w:tcW w:type="dxa" w:w="208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3EA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410"/>
                <w:sz w:val="18"/>
                <w:szCs w:val="18"/>
              </w:rPr>
              <w:t xml:space="preserve">Revenue Stream</w:t>
            </w:r>
          </w:p>
        </w:tc>
        <w:tc>
          <w:tcPr>
            <w:tcW w:type="dxa" w:w="248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3EA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410"/>
                <w:sz w:val="18"/>
                <w:szCs w:val="18"/>
              </w:rPr>
              <w:t xml:space="preserve">Who Pays</w:t>
            </w:r>
          </w:p>
        </w:tc>
        <w:tc>
          <w:tcPr>
            <w:tcW w:type="dxa" w:w="192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3EA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410"/>
                <w:sz w:val="18"/>
                <w:szCs w:val="18"/>
              </w:rPr>
              <w:t xml:space="preserve">Price</w:t>
            </w:r>
          </w:p>
        </w:tc>
        <w:tc>
          <w:tcPr>
            <w:tcW w:type="dxa" w:w="288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3EA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410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208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410"/>
                <w:sz w:val="18"/>
                <w:szCs w:val="18"/>
              </w:rPr>
              <w:t xml:space="preserve">Listing &amp; Readiness</w:t>
            </w:r>
          </w:p>
        </w:tc>
        <w:tc>
          <w:tcPr>
            <w:tcW w:type="dxa" w:w="248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Creators (filmmakers, producers)</w:t>
            </w:r>
          </w:p>
        </w:tc>
        <w:tc>
          <w:tcPr>
            <w:tcW w:type="dxa" w:w="192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47E2A"/>
                <w:sz w:val="18"/>
                <w:szCs w:val="18"/>
              </w:rPr>
              <w:t xml:space="preserve">$15 per project</w:t>
            </w:r>
          </w:p>
        </w:tc>
        <w:tc>
          <w:tcPr>
            <w:tcW w:type="dxa" w:w="288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Months 1–3 (Manual Matchmaker)</w:t>
            </w:r>
          </w:p>
        </w:tc>
      </w:tr>
      <w:tr>
        <w:tc>
          <w:tcPr>
            <w:tcW w:type="dxa" w:w="208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410"/>
                <w:sz w:val="18"/>
                <w:szCs w:val="18"/>
              </w:rPr>
              <w:t xml:space="preserve">High-Signal Discovery</w:t>
            </w:r>
          </w:p>
        </w:tc>
        <w:tc>
          <w:tcPr>
            <w:tcW w:type="dxa" w:w="248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Studios, funds, sales agents</w:t>
            </w:r>
          </w:p>
        </w:tc>
        <w:tc>
          <w:tcPr>
            <w:tcW w:type="dxa" w:w="192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47E2A"/>
                <w:sz w:val="18"/>
                <w:szCs w:val="18"/>
              </w:rPr>
              <w:t xml:space="preserve">$250 / month</w:t>
            </w:r>
          </w:p>
        </w:tc>
        <w:tc>
          <w:tcPr>
            <w:tcW w:type="dxa" w:w="288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Months 4–9 (SaaS Automation)</w:t>
            </w:r>
          </w:p>
        </w:tc>
      </w:tr>
      <w:tr>
        <w:tc>
          <w:tcPr>
            <w:tcW w:type="dxa" w:w="208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410"/>
                <w:sz w:val="18"/>
                <w:szCs w:val="18"/>
              </w:rPr>
              <w:t xml:space="preserve">Success Fees</w:t>
            </w:r>
          </w:p>
        </w:tc>
        <w:tc>
          <w:tcPr>
            <w:tcW w:type="dxa" w:w="248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Both sides on closed deals</w:t>
            </w:r>
          </w:p>
        </w:tc>
        <w:tc>
          <w:tcPr>
            <w:tcW w:type="dxa" w:w="192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47E2A"/>
                <w:sz w:val="18"/>
                <w:szCs w:val="18"/>
              </w:rPr>
              <w:t xml:space="preserve">1–2% of deal</w:t>
            </w:r>
          </w:p>
        </w:tc>
        <w:tc>
          <w:tcPr>
            <w:tcW w:type="dxa" w:w="288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Year 1+</w:t>
            </w:r>
          </w:p>
        </w:tc>
      </w:tr>
      <w:tr>
        <w:tc>
          <w:tcPr>
            <w:tcW w:type="dxa" w:w="208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410"/>
                <w:sz w:val="18"/>
                <w:szCs w:val="18"/>
              </w:rPr>
              <w:t xml:space="preserve">Data / B2G Licensing</w:t>
            </w:r>
          </w:p>
        </w:tc>
        <w:tc>
          <w:tcPr>
            <w:tcW w:type="dxa" w:w="248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Governments, institutions (Afreximbank, NFVF, DTIC)</w:t>
            </w:r>
          </w:p>
        </w:tc>
        <w:tc>
          <w:tcPr>
            <w:tcW w:type="dxa" w:w="192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47E2A"/>
                <w:sz w:val="18"/>
                <w:szCs w:val="18"/>
              </w:rPr>
              <w:t xml:space="preserve">Bespoke contracts</w:t>
            </w:r>
          </w:p>
        </w:tc>
        <w:tc>
          <w:tcPr>
            <w:tcW w:type="dxa" w:w="288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Year 1+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410"/>
        </w:rPr>
        <w:t xml:space="preserve">Roadmap</w:t>
      </w:r>
    </w:p>
    <w:p>
      <w:pPr>
        <w:spacing w:after="40" w:before="120" w:line="280"/>
      </w:pPr>
      <w:r>
        <w:rPr>
          <w:rFonts w:ascii="Arial" w:cs="Arial" w:eastAsia="Arial" w:hAnsi="Arial"/>
          <w:b/>
          <w:bCs/>
          <w:color w:val="B47E2A"/>
          <w:sz w:val="20"/>
          <w:szCs w:val="20"/>
        </w:rPr>
        <w:t xml:space="preserve">Phase 1 · Next 30 days · </w:t>
      </w: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Manual Matchmaker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Ship public </w:t>
      </w: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Rebate &amp; Net Exposure Calculator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 (SA) as FRA's first AFX-flavored wedge. Standalone page, shareable, SEO-optimized.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Airtable intake for the Finance-Ready checklist. Manual verification. Manual matchmaking.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Goal: </w:t>
      </w:r>
      <w:r>
        <w:rPr>
          <w:rFonts w:ascii="Arial" w:cs="Arial" w:eastAsia="Arial" w:hAnsi="Arial"/>
          <w:b/>
          <w:bCs/>
          <w:color w:val="B84A2E"/>
          <w:sz w:val="20"/>
          <w:szCs w:val="20"/>
        </w:rPr>
        <w:t xml:space="preserve">one closed introduction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 between a verified project and an enquiring studio.</w:t>
      </w:r>
    </w:p>
    <w:p>
      <w:pPr>
        <w:spacing w:after="40" w:before="160" w:line="280"/>
      </w:pPr>
      <w:r>
        <w:rPr>
          <w:rFonts w:ascii="Arial" w:cs="Arial" w:eastAsia="Arial" w:hAnsi="Arial"/>
          <w:b/>
          <w:bCs/>
          <w:color w:val="B47E2A"/>
          <w:sz w:val="20"/>
          <w:szCs w:val="20"/>
        </w:rPr>
        <w:t xml:space="preserve">Phase 2 · Next 90 days · </w:t>
      </w: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SaaS Automation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Project Workspace + Package Builder inside the existing Next.js app. Verified badge flow.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First paid Studio subscribers ($250/mo). Line-producer auditor onboarded.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Shortlist, deadline nudges, personalized digest — FRA's engagement engine feeding AFX signups.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Editorial: </w:t>
      </w:r>
      <w:r>
        <w:rPr>
          <w:rFonts w:ascii="Arial" w:cs="Arial" w:eastAsia="Arial" w:hAnsi="Arial"/>
          <w:b/>
          <w:bCs/>
          <w:i/>
          <w:iCs/>
          <w:color w:val="1A1410"/>
          <w:sz w:val="20"/>
          <w:szCs w:val="20"/>
        </w:rPr>
        <w:t xml:space="preserve">"What This Fund Actually Wants"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 briefs for the top 20 African funds.</w:t>
      </w:r>
    </w:p>
    <w:p>
      <w:pPr>
        <w:spacing w:after="40" w:before="160" w:line="280"/>
      </w:pPr>
      <w:r>
        <w:rPr>
          <w:rFonts w:ascii="Arial" w:cs="Arial" w:eastAsia="Arial" w:hAnsi="Arial"/>
          <w:b/>
          <w:bCs/>
          <w:color w:val="B47E2A"/>
          <w:sz w:val="20"/>
          <w:szCs w:val="20"/>
        </w:rPr>
        <w:t xml:space="preserve">Phase 3 · Year 1+ · </w:t>
      </w: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Institutional Engine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Nigeria + Kenya rebate modules. Expand the Verified Project registry across the continent.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Funder dashboard with due-diligence UX for institutional desks (CANEX, Afreximbank, Next Narrative Africa).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Success-fee infrastructure. B2G data licensing conversations (NFVF / DTIC). Funded Here outcome database goes public as annual report.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410"/>
        </w:rPr>
        <w:t xml:space="preserve">North Star Metric</w:t>
      </w:r>
    </w:p>
    <w:p>
      <w:pPr>
        <w:spacing w:after="60" w:before="40" w:line="280"/>
      </w:pPr>
      <w:r>
        <w:rPr>
          <w:rFonts w:ascii="Arial" w:cs="Arial" w:eastAsia="Arial" w:hAnsi="Arial"/>
          <w:b/>
          <w:bCs/>
          <w:color w:val="B84A2E"/>
          <w:sz w:val="20"/>
          <w:szCs w:val="20"/>
        </w:rPr>
        <w:t xml:space="preserve">Dollars of production financing won by FRA-registered projects.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 Not subscribers, not listings — funded output. Reported annually as our proof of positioning.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410"/>
        </w:rPr>
        <w:t xml:space="preserve">Open Items to Resolve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Validate the "dominant SA studios already enquiring" relationship (strength, names, willingness to sign). This is the SWOT moat — we need names, not hopes.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Confirm timing alignment against the DTIC incentive schedule — when does capital deployment resume in earnest?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Decide pricing test for Listing Fee ($15 vs. free with Premium upsell at verification).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Identify first freelance Line Producer / Verification Auditor.</w:t>
      </w:r>
    </w:p>
    <w:p>
      <w:pPr>
        <w:pBdr>
          <w:bottom w:val="single" w:color="B47E2A" w:sz="6" w:space="1"/>
        </w:pBdr>
        <w:spacing w:after="120" w:before="120"/>
      </w:pPr>
      <w:r>
        <w:rPr>
          <w:sz w:val="2"/>
          <w:szCs w:val="2"/>
        </w:rPr>
        <w:t xml:space="preserve"/>
      </w:r>
    </w:p>
    <w:p>
      <w:pPr>
        <w:spacing w:after="0" w:before="40" w:line="280"/>
        <w:jc w:val="center"/>
      </w:pPr>
      <w:r>
        <w:rPr>
          <w:rFonts w:ascii="Arial" w:cs="Arial" w:eastAsia="Arial" w:hAnsi="Arial"/>
          <w:b/>
          <w:bCs/>
          <w:color w:val="B47E2A"/>
          <w:sz w:val="16"/>
          <w:szCs w:val="16"/>
        </w:rPr>
        <w:t xml:space="preserve">FRA × AFX · </w:t>
      </w:r>
      <w:r>
        <w:rPr>
          <w:rFonts w:ascii="Arial" w:cs="Arial" w:eastAsia="Arial" w:hAnsi="Arial"/>
          <w:color w:val="5A5248"/>
          <w:sz w:val="16"/>
          <w:szCs w:val="16"/>
        </w:rPr>
        <w:t xml:space="preserve">Powered by Film Resource Africa · Authored with Gerhard · 20 April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41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A141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A141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 x AFX — Strategic Spec</dc:title>
  <dc:creator>Film Resource Africa</dc:creator>
  <cp:lastModifiedBy>Un-named</cp:lastModifiedBy>
  <cp:revision>1</cp:revision>
  <dcterms:created xsi:type="dcterms:W3CDTF">2026-04-20T17:51:55.003Z</dcterms:created>
  <dcterms:modified xsi:type="dcterms:W3CDTF">2026-04-20T17:51:55.009Z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