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B47E2A"/>
          <w:sz w:val="16"/>
          <w:szCs w:val="16"/>
        </w:rPr>
        <w:t xml:space="preserve">PRODUCT SPEC · V1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1410"/>
          <w:sz w:val="40"/>
          <w:szCs w:val="40"/>
        </w:rPr>
        <w:t xml:space="preserve">Rebate &amp; Net Exposure Calculator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A5248"/>
          <w:sz w:val="22"/>
          <w:szCs w:val="22"/>
        </w:rPr>
        <w:t xml:space="preserve">FRA's first AFX-flavored wedge. A public calculator that turns the SA incentive maze into a single, trustable number — and a gated door into AFX.</w:t>
      </w:r>
    </w:p>
    <w:p>
      <w:pPr>
        <w:pBdr>
          <w:bottom w:val="single" w:color="B47E2A" w:sz="6" w:space="1"/>
        </w:pBdr>
        <w:spacing w:after="120" w:before="120"/>
      </w:pPr>
      <w:r>
        <w:rPr>
          <w:sz w:val="2"/>
          <w:szCs w:val="2"/>
        </w:rPr>
        <w:t xml:space="preserve"/>
      </w:r>
    </w:p>
    <w:p>
      <w:pPr>
        <w:pStyle w:val="Heading2"/>
        <w:spacing w:after="100" w:before="100"/>
      </w:pPr>
      <w:r>
        <w:rPr>
          <w:rFonts w:ascii="Arial" w:cs="Arial" w:eastAsia="Arial" w:hAnsi="Arial"/>
          <w:b/>
          <w:bCs/>
          <w:color w:val="1A1410"/>
        </w:rPr>
        <w:t xml:space="preserve">Why This, Why First</w:t>
      </w:r>
    </w:p>
    <w:p>
      <w:pPr>
        <w:spacing w:after="60" w:before="4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Every funder conversation in SA ends at the same question: </w:t>
      </w:r>
      <w:r>
        <w:rPr>
          <w:rFonts w:ascii="Arial" w:cs="Arial" w:eastAsia="Arial" w:hAnsi="Arial"/>
          <w:b/>
          <w:bCs/>
          <w:i/>
          <w:iCs/>
          <w:color w:val="1A1410"/>
          <w:sz w:val="20"/>
          <w:szCs w:val="20"/>
        </w:rPr>
        <w:t xml:space="preserve">"what is your net exposure?"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 Today, a producer has to stitch together DTIC SAFPRI rebate logic, NFVF grant eligibility, at least three provincial schemes, and B-BBEE bonuses — with rules that shift yearly. Most give up, or quote a number that doesn't survive due diligence. </w:t>
      </w: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The calculator solves this in under two minutes, in public, with receipts.</w:t>
      </w:r>
    </w:p>
    <w:p>
      <w:pPr>
        <w:spacing w:after="60" w:before="4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Strategically, it is </w:t>
      </w:r>
      <w:r>
        <w:rPr>
          <w:rFonts w:ascii="Arial" w:cs="Arial" w:eastAsia="Arial" w:hAnsi="Arial"/>
          <w:b/>
          <w:bCs/>
          <w:color w:val="B84A2E"/>
          <w:sz w:val="20"/>
          <w:szCs w:val="20"/>
        </w:rPr>
        <w:t xml:space="preserve">the single best SEO wedge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 FRA can ship — a tool people will link to, bookmark, and search for by name — and the most natural lead magnet into AFX. Enter inputs free; download the branded PDF and save the project behind a login.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410"/>
        </w:rPr>
        <w:t xml:space="preserve">The Calculation Stack</w:t>
      </w:r>
    </w:p>
    <w:p>
      <w:pPr>
        <w:spacing w:after="80" w:before="40" w:line="280"/>
      </w:pPr>
      <w:r>
        <w:rPr>
          <w:rFonts w:ascii="Arial" w:cs="Arial" w:eastAsia="Arial" w:hAnsi="Arial"/>
          <w:i/>
          <w:iCs/>
          <w:color w:val="5A5248"/>
          <w:sz w:val="20"/>
          <w:szCs w:val="20"/>
        </w:rPr>
        <w:t xml:space="preserve">Four layers, calculated in order. Earlier layers gate later ones — no NFVF if not eligible; no provincial if under minimum shoot days in that province.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80"/>
        <w:gridCol w:w="2640"/>
        <w:gridCol w:w="2640"/>
      </w:tblGrid>
      <w:tr>
        <w:trPr>
          <w:tblHeader/>
        </w:trPr>
        <w:tc>
          <w:tcPr>
            <w:tcW w:type="dxa" w:w="180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3EA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410"/>
                <w:sz w:val="18"/>
                <w:szCs w:val="18"/>
              </w:rPr>
              <w:t xml:space="preserve">Layer</w:t>
            </w:r>
          </w:p>
        </w:tc>
        <w:tc>
          <w:tcPr>
            <w:tcW w:type="dxa" w:w="228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3EA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410"/>
                <w:sz w:val="18"/>
                <w:szCs w:val="18"/>
              </w:rPr>
              <w:t xml:space="preserve">Authority</w:t>
            </w:r>
          </w:p>
        </w:tc>
        <w:tc>
          <w:tcPr>
            <w:tcW w:type="dxa" w:w="264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3EA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410"/>
                <w:sz w:val="18"/>
                <w:szCs w:val="18"/>
              </w:rPr>
              <w:t xml:space="preserve">Calculation</w:t>
            </w:r>
          </w:p>
        </w:tc>
        <w:tc>
          <w:tcPr>
            <w:tcW w:type="dxa" w:w="264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3EA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410"/>
                <w:sz w:val="18"/>
                <w:szCs w:val="18"/>
              </w:rPr>
              <w:t xml:space="preserve">Key gating inputs</w:t>
            </w:r>
          </w:p>
        </w:tc>
      </w:tr>
      <w:tr>
        <w:tc>
          <w:tcPr>
            <w:tcW w:type="dxa" w:w="180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84A2E"/>
                <w:sz w:val="18"/>
                <w:szCs w:val="18"/>
              </w:rPr>
              <w:t xml:space="preserve">National rebate</w:t>
            </w:r>
          </w:p>
        </w:tc>
        <w:tc>
          <w:tcPr>
            <w:tcW w:type="dxa" w:w="228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DTIC · SAFPRI</w:t>
            </w:r>
          </w:p>
        </w:tc>
        <w:tc>
          <w:tcPr>
            <w:tcW w:type="dxa" w:w="264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QSAPE × 35% base + 5% B-BBEE bonus (when eligible)</w:t>
            </w:r>
          </w:p>
        </w:tc>
        <w:tc>
          <w:tcPr>
            <w:tcW w:type="dxa" w:w="264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Min QSAPE threshold; ≥14 SA shoot days; B-BBEE level; production type</w:t>
            </w:r>
          </w:p>
        </w:tc>
      </w:tr>
      <w:tr>
        <w:tc>
          <w:tcPr>
            <w:tcW w:type="dxa" w:w="180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84A2E"/>
                <w:sz w:val="18"/>
                <w:szCs w:val="18"/>
              </w:rPr>
              <w:t xml:space="preserve">National grant</w:t>
            </w:r>
          </w:p>
        </w:tc>
        <w:tc>
          <w:tcPr>
            <w:tcW w:type="dxa" w:w="228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NFVF · Production / Dev / Marketing funds</w:t>
            </w:r>
          </w:p>
        </w:tc>
        <w:tc>
          <w:tcPr>
            <w:tcW w:type="dxa" w:w="264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Tiered grant amounts by budget band (Tier 1 / 2 / 3)</w:t>
            </w:r>
          </w:p>
        </w:tc>
        <w:tc>
          <w:tcPr>
            <w:tcW w:type="dxa" w:w="264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SA majority ownership; SA director or writer; commercial viability panel</w:t>
            </w:r>
          </w:p>
        </w:tc>
      </w:tr>
      <w:tr>
        <w:tc>
          <w:tcPr>
            <w:tcW w:type="dxa" w:w="180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84A2E"/>
                <w:sz w:val="18"/>
                <w:szCs w:val="18"/>
              </w:rPr>
              <w:t xml:space="preserve">Provincial</w:t>
            </w:r>
          </w:p>
        </w:tc>
        <w:tc>
          <w:tcPr>
            <w:tcW w:type="dxa" w:w="228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KZN Film Commission · Gauteng Film Commission · Wesgro / WCFC</w:t>
            </w:r>
          </w:p>
        </w:tc>
        <w:tc>
          <w:tcPr>
            <w:tcW w:type="dxa" w:w="264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Production grant caps + post-production &amp; location incentives (per-province ruleset)</w:t>
            </w:r>
          </w:p>
        </w:tc>
        <w:tc>
          <w:tcPr>
            <w:tcW w:type="dxa" w:w="264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Shoot-days in province; local hire %; SA producer; application window open</w:t>
            </w:r>
          </w:p>
        </w:tc>
      </w:tr>
      <w:tr>
        <w:tc>
          <w:tcPr>
            <w:tcW w:type="dxa" w:w="180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E8845"/>
                <w:sz w:val="18"/>
                <w:szCs w:val="18"/>
              </w:rPr>
              <w:t xml:space="preserve">Net Exposure</w:t>
            </w:r>
          </w:p>
        </w:tc>
        <w:tc>
          <w:tcPr>
            <w:tcW w:type="dxa" w:w="228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Producer's gap math</w:t>
            </w:r>
          </w:p>
        </w:tc>
        <w:tc>
          <w:tcPr>
            <w:tcW w:type="dxa" w:w="264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Total budget − all incentives − private equity committed = Remaining gap</w:t>
            </w:r>
          </w:p>
        </w:tc>
        <w:tc>
          <w:tcPr>
            <w:tcW w:type="dxa" w:w="264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Total budget; confirmed equity; co-pro splits; bridge financing flagged separately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410"/>
        </w:rPr>
        <w:t xml:space="preserve">Inputs — What The User Provides</w:t>
      </w:r>
    </w:p>
    <w:p>
      <w:pPr>
        <w:spacing w:after="80" w:before="40" w:line="280"/>
      </w:pPr>
      <w:r>
        <w:rPr>
          <w:rFonts w:ascii="Arial" w:cs="Arial" w:eastAsia="Arial" w:hAnsi="Arial"/>
          <w:i/>
          <w:iCs/>
          <w:color w:val="5A5248"/>
          <w:sz w:val="20"/>
          <w:szCs w:val="20"/>
        </w:rPr>
        <w:t xml:space="preserve">Two tiers. Tier 1 is the bare minimum to produce a credible number; Tier 2 unlocks provincial layering and the full PDF.</w:t>
      </w:r>
    </w:p>
    <w:p>
      <w:pPr>
        <w:spacing w:after="40" w:before="100" w:line="280"/>
      </w:pPr>
      <w:r>
        <w:rPr>
          <w:rFonts w:ascii="Arial" w:cs="Arial" w:eastAsia="Arial" w:hAnsi="Arial"/>
          <w:b/>
          <w:bCs/>
          <w:color w:val="B47E2A"/>
          <w:sz w:val="20"/>
          <w:szCs w:val="20"/>
        </w:rPr>
        <w:t xml:space="preserve">Tier 1 · Quick estimate (public, free)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Total production budget (ZAR or USD, with live FX rate stamped into the PDF)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QSAPE portion as % of budget (default 70%, user-overridable with a tooltip explaining what counts)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Number of SA shoot days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Production type: feature · documentary · series · animation · commercial (commercials excluded from SAFPRI)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B-BBEE level (1–8, or "none / unsure") — drives the +5% bonus eligibility</w:t>
      </w:r>
    </w:p>
    <w:p>
      <w:pPr>
        <w:spacing w:after="40" w:before="140" w:line="280"/>
      </w:pPr>
      <w:r>
        <w:rPr>
          <w:rFonts w:ascii="Arial" w:cs="Arial" w:eastAsia="Arial" w:hAnsi="Arial"/>
          <w:b/>
          <w:bCs/>
          <w:color w:val="B84A2E"/>
          <w:sz w:val="20"/>
          <w:szCs w:val="20"/>
        </w:rPr>
        <w:t xml:space="preserve">Tier 2 · Finance-Ready estimate (gated: email to download PDF)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Province breakdown: days &amp; spend per province (KZN / Gauteng / Western Cape / other)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Applying to NFVF? (toggle) — opens Tier 1/2/3 selector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Confirmed equity &amp; co-pro contributions (ZAR or USD; label each source)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Stage: development · pre-production · production · post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Director &amp; lead producer nationality (for SA-citizen bonus tests where applicable)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410"/>
        </w:rPr>
        <w:t xml:space="preserve">Outputs — Four Formats, One Number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3EA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410"/>
                <w:sz w:val="18"/>
                <w:szCs w:val="18"/>
              </w:rPr>
              <w:t xml:space="preserve">Output</w:t>
            </w:r>
          </w:p>
        </w:tc>
        <w:tc>
          <w:tcPr>
            <w:tcW w:type="dxa" w:w="380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3EA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410"/>
                <w:sz w:val="18"/>
                <w:szCs w:val="18"/>
              </w:rPr>
              <w:t xml:space="preserve">Contents</w:t>
            </w:r>
          </w:p>
        </w:tc>
        <w:tc>
          <w:tcPr>
            <w:tcW w:type="dxa" w:w="336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3EA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410"/>
                <w:sz w:val="18"/>
                <w:szCs w:val="18"/>
              </w:rPr>
              <w:t xml:space="preserve">Gating</w:t>
            </w:r>
          </w:p>
        </w:tc>
      </w:tr>
      <w:tr>
        <w:tc>
          <w:tcPr>
            <w:tcW w:type="dxa" w:w="220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410"/>
                <w:sz w:val="18"/>
                <w:szCs w:val="18"/>
              </w:rPr>
              <w:t xml:space="preserve">On-screen Result Card</w:t>
            </w:r>
          </w:p>
        </w:tc>
        <w:tc>
          <w:tcPr>
            <w:tcW w:type="dxa" w:w="380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Headline Net Exposure number; 4-layer waterfall (Rebate → NFVF → Provincial → Gap); eligibility checklist with green / amber / red flags; FX rate and date stamp.</w:t>
            </w:r>
          </w:p>
        </w:tc>
        <w:tc>
          <w:tcPr>
            <w:tcW w:type="dxa" w:w="336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Public — no login required. Rendered server-side so it's SEO-indexable.</w:t>
            </w:r>
          </w:p>
        </w:tc>
      </w:tr>
      <w:tr>
        <w:tc>
          <w:tcPr>
            <w:tcW w:type="dxa" w:w="220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84A2E"/>
                <w:sz w:val="18"/>
                <w:szCs w:val="18"/>
              </w:rPr>
              <w:t xml:space="preserve">Branded PDF — "Net Exposure Sheet"</w:t>
            </w:r>
          </w:p>
        </w:tc>
        <w:tc>
          <w:tcPr>
            <w:tcW w:type="dxa" w:w="380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2–3 page PDF: cover with project name &amp; logline, the waterfall, per-layer calculation with formulas shown, eligibility checklist, disclaimers, FRA × AFX lockup, QR code linking to the saved result.</w:t>
            </w:r>
          </w:p>
        </w:tc>
        <w:tc>
          <w:tcPr>
            <w:tcW w:type="dxa" w:w="336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Email-gated. Name + email + role required. Adds to AFX marketing list with consent checkbox.</w:t>
            </w:r>
          </w:p>
        </w:tc>
      </w:tr>
      <w:tr>
        <w:tc>
          <w:tcPr>
            <w:tcW w:type="dxa" w:w="220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410"/>
                <w:sz w:val="18"/>
                <w:szCs w:val="18"/>
              </w:rPr>
              <w:t xml:space="preserve">Shareable Link</w:t>
            </w:r>
          </w:p>
        </w:tc>
        <w:tc>
          <w:tcPr>
            <w:tcW w:type="dxa" w:w="380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Read-only URL like /r/{slug} with the full Result Card. Can be password-optional. Tracks views.</w:t>
            </w:r>
          </w:p>
        </w:tc>
        <w:tc>
          <w:tcPr>
            <w:tcW w:type="dxa" w:w="336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Created on PDF download. Owner can revoke. Link is indexable only if owner opts in.</w:t>
            </w:r>
          </w:p>
        </w:tc>
      </w:tr>
      <w:tr>
        <w:tc>
          <w:tcPr>
            <w:tcW w:type="dxa" w:w="220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E8845"/>
                <w:sz w:val="18"/>
                <w:szCs w:val="18"/>
              </w:rPr>
              <w:t xml:space="preserve">Saved to Project Workspace</w:t>
            </w:r>
          </w:p>
        </w:tc>
        <w:tc>
          <w:tcPr>
            <w:tcW w:type="dxa" w:w="380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Result is attached to a Project in the user's FRA account. Editable, versioned, feeds into the AFX Finance-Ready checklist.</w:t>
            </w:r>
          </w:p>
        </w:tc>
        <w:tc>
          <w:tcPr>
            <w:tcW w:type="dxa" w:w="336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Requires FRA account. First save converts the gated lead into a registered user — the AFX funnel handoff.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410"/>
        </w:rPr>
        <w:t xml:space="preserve">Placement &amp; Gating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Public page: </w:t>
      </w:r>
      <w:r>
        <w:rPr>
          <w:rFonts w:ascii="Arial" w:cs="Arial" w:eastAsia="Arial" w:hAnsi="Arial"/>
          <w:b/>
          <w:bCs/>
          <w:color w:val="B84A2E"/>
          <w:sz w:val="20"/>
          <w:szCs w:val="20"/>
        </w:rPr>
        <w:t xml:space="preserve">/rebate-calculator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 — standalone, shareable, link-in-bio-worthy. Links in the main nav under "Tools" and as a Just-In module on the homepage.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Embedded CTAs: 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appears inside every SA-tagged opportunity card and on the country/South Africa page. "See what you'd actually take home →".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Gating ladder: 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Tier 1 inputs unlock the on-screen Result Card. Shareable Link and PDF require email. Save to Project requires a full FRA account. Each step has a clear preview.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SEO angle: 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target queries — "South Africa film rebate calculator", "DTIC SAFPRI rebate", "QSAPE what counts", "NFVF grant eligibility", "Gauteng / KZN / Western Cape film incentive". Each layer gets a landing page explaining the rules, with the calculator embedded.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410"/>
        </w:rPr>
        <w:t xml:space="preserve">Data Model</w:t>
      </w:r>
    </w:p>
    <w:p>
      <w:pPr>
        <w:spacing w:after="40" w:before="40" w:line="280"/>
      </w:pPr>
      <w:r>
        <w:rPr>
          <w:rFonts w:ascii="Arial" w:cs="Arial" w:eastAsia="Arial" w:hAnsi="Arial"/>
          <w:i/>
          <w:iCs/>
          <w:color w:val="5A5248"/>
          <w:sz w:val="20"/>
          <w:szCs w:val="20"/>
        </w:rPr>
        <w:t xml:space="preserve">Four tables. Everything else is derived. Rules live in a versioned table so the calculator is auditable and updateable without a code deploy.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3EA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410"/>
                <w:sz w:val="18"/>
                <w:szCs w:val="18"/>
              </w:rPr>
              <w:t xml:space="preserve">Entity</w:t>
            </w:r>
          </w:p>
        </w:tc>
        <w:tc>
          <w:tcPr>
            <w:tcW w:type="dxa" w:w="320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3EA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410"/>
                <w:sz w:val="18"/>
                <w:szCs w:val="18"/>
              </w:rPr>
              <w:t xml:space="preserve">Key fields</w:t>
            </w:r>
          </w:p>
        </w:tc>
        <w:tc>
          <w:tcPr>
            <w:tcW w:type="dxa" w:w="376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3EA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41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410"/>
                <w:sz w:val="18"/>
                <w:szCs w:val="18"/>
              </w:rPr>
              <w:t xml:space="preserve">calculator_runs</w:t>
            </w:r>
          </w:p>
        </w:tc>
        <w:tc>
          <w:tcPr>
            <w:tcW w:type="dxa" w:w="320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id · user_id (nullable) · inputs_json · results_json · fx_rate · created_at</w:t>
            </w:r>
          </w:p>
        </w:tc>
        <w:tc>
          <w:tcPr>
            <w:tcW w:type="dxa" w:w="376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Every run is logged, even anonymous ones. Feeds analytics + the /r/{slug} link.</w:t>
            </w:r>
          </w:p>
        </w:tc>
      </w:tr>
      <w:tr>
        <w:tc>
          <w:tcPr>
            <w:tcW w:type="dxa" w:w="240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410"/>
                <w:sz w:val="18"/>
                <w:szCs w:val="18"/>
              </w:rPr>
              <w:t xml:space="preserve">incentive_rules</w:t>
            </w:r>
          </w:p>
        </w:tc>
        <w:tc>
          <w:tcPr>
            <w:tcW w:type="dxa" w:w="320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id · authority · program · rate · thresholds_json · effective_from · effective_to · source_url</w:t>
            </w:r>
          </w:p>
        </w:tc>
        <w:tc>
          <w:tcPr>
            <w:tcW w:type="dxa" w:w="376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Versioned. Every result PDF stamps the rule version used — so old PDFs stay auditable.</w:t>
            </w:r>
          </w:p>
        </w:tc>
      </w:tr>
      <w:tr>
        <w:tc>
          <w:tcPr>
            <w:tcW w:type="dxa" w:w="240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410"/>
                <w:sz w:val="18"/>
                <w:szCs w:val="18"/>
              </w:rPr>
              <w:t xml:space="preserve">projects</w:t>
            </w:r>
          </w:p>
        </w:tc>
        <w:tc>
          <w:tcPr>
            <w:tcW w:type="dxa" w:w="320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id · user_id · title · logline · stage · budget · saved_runs[] · verified_status</w:t>
            </w:r>
          </w:p>
        </w:tc>
        <w:tc>
          <w:tcPr>
            <w:tcW w:type="dxa" w:w="376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The AFX bridge. Save-to-project is the bottom of the calculator funnel.</w:t>
            </w:r>
          </w:p>
        </w:tc>
      </w:tr>
      <w:tr>
        <w:tc>
          <w:tcPr>
            <w:tcW w:type="dxa" w:w="240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410"/>
                <w:sz w:val="18"/>
                <w:szCs w:val="18"/>
              </w:rPr>
              <w:t xml:space="preserve">calculator_leads</w:t>
            </w:r>
          </w:p>
        </w:tc>
        <w:tc>
          <w:tcPr>
            <w:tcW w:type="dxa" w:w="320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email · name · role · run_id · consent · created_at</w:t>
            </w:r>
          </w:p>
        </w:tc>
        <w:tc>
          <w:tcPr>
            <w:tcW w:type="dxa" w:w="376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Email-gated PDF leads. Synced to Resend audience; fed into the AFX nurture sequence.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410"/>
        </w:rPr>
        <w:t xml:space="preserve">UX Flow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1. Land on /rebate-calculator. Hero: </w:t>
      </w:r>
      <w:r>
        <w:rPr>
          <w:rFonts w:ascii="Arial" w:cs="Arial" w:eastAsia="Arial" w:hAnsi="Arial"/>
          <w:b/>
          <w:bCs/>
          <w:i/>
          <w:iCs/>
          <w:color w:val="1A1410"/>
          <w:sz w:val="20"/>
          <w:szCs w:val="20"/>
        </w:rPr>
        <w:t xml:space="preserve">"How much of your SA film budget will you actually have to find?"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 CTA: </w:t>
      </w: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"Get your number in 90 seconds."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2. Five Tier 1 inputs on one screen. Live math as the user types — Net Exposure updates on every keystroke.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3. Result Card renders below the inputs. Waterfall chart (Budget → − Rebate → − NFVF → − Provincial → = Net Exposure). Eligibility checklist with green / amber / red pills.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4. Three CTAs under the card: </w:t>
      </w:r>
      <w:r>
        <w:rPr>
          <w:rFonts w:ascii="Arial" w:cs="Arial" w:eastAsia="Arial" w:hAnsi="Arial"/>
          <w:b/>
          <w:bCs/>
          <w:color w:val="B84A2E"/>
          <w:sz w:val="20"/>
          <w:szCs w:val="20"/>
        </w:rPr>
        <w:t xml:space="preserve">"Download my Net Exposure sheet"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 (email gate · PDF), </w:t>
      </w: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"Share a read-only link"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 (generates /r/{slug}), </w:t>
      </w:r>
      <w:r>
        <w:rPr>
          <w:rFonts w:ascii="Arial" w:cs="Arial" w:eastAsia="Arial" w:hAnsi="Arial"/>
          <w:b/>
          <w:bCs/>
          <w:color w:val="5E8845"/>
          <w:sz w:val="20"/>
          <w:szCs w:val="20"/>
        </w:rPr>
        <w:t xml:space="preserve">"Save to my project"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 (account gate).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5. Post-email: PDF delivered in-browser and by email. A 48-hour follow-up offers the Finance-Ready checklist (the AFX handoff).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410"/>
        </w:rPr>
        <w:t xml:space="preserve">Edge Cases &amp; Disclaimers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Commercial productions are ineligible for SAFPRI — the calculator hard-rejects with an explainer, not a 0 number.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Minimum QSAPE threshold not met → show "Below SAFPRI floor" warning and a recommendation to bundle multiple productions or restructure.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&lt; 14 SA shoot days → SAFPRI ineligible; still show NFVF and provincial math.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Co-productions (official SA treaty partners: Canada, UK, Germany, Italy, France, Ireland, NZ, Australia, Kenya, others) — flag as a route, defer full treaty math to v1.1.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FX volatility — rate is stamped into every PDF and Result Card with date. Rerun required after 14 days.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Every output carries the disclaimer: </w:t>
      </w:r>
      <w:r>
        <w:rPr>
          <w:rFonts w:ascii="Arial" w:cs="Arial" w:eastAsia="Arial" w:hAnsi="Arial"/>
          <w:i/>
          <w:iCs/>
          <w:color w:val="1A1410"/>
          <w:sz w:val="20"/>
          <w:szCs w:val="20"/>
        </w:rPr>
        <w:t xml:space="preserve">"Indicative only. Not tax or legal advice. Rebate payouts are subject to DTIC approval and audit."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410"/>
        </w:rPr>
        <w:t xml:space="preserve">Phasing</w:t>
      </w:r>
    </w:p>
    <w:p>
      <w:pPr>
        <w:spacing w:after="40" w:before="100" w:line="280"/>
      </w:pPr>
      <w:r>
        <w:rPr>
          <w:rFonts w:ascii="Arial" w:cs="Arial" w:eastAsia="Arial" w:hAnsi="Arial"/>
          <w:b/>
          <w:bCs/>
          <w:color w:val="B47E2A"/>
          <w:sz w:val="20"/>
          <w:szCs w:val="20"/>
        </w:rPr>
        <w:t xml:space="preserve">v1 · Ship in 14 days · </w:t>
      </w: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Ship on FRA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Single-page Next.js route at /rebate-calculator. Server-rendered for SEO.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DTIC SAFPRI + NFVF + one provincial (Western Cape — largest &amp; clearest ruleset). Result Card only.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Email-gated PDF (Resend · React Email template). No login required.</w:t>
      </w:r>
    </w:p>
    <w:p>
      <w:pPr>
        <w:spacing w:after="40" w:before="140" w:line="280"/>
      </w:pPr>
      <w:r>
        <w:rPr>
          <w:rFonts w:ascii="Arial" w:cs="Arial" w:eastAsia="Arial" w:hAnsi="Arial"/>
          <w:b/>
          <w:bCs/>
          <w:color w:val="B47E2A"/>
          <w:sz w:val="20"/>
          <w:szCs w:val="20"/>
        </w:rPr>
        <w:t xml:space="preserve">v1.1 · Next 30 days · </w:t>
      </w: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Full SA stack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Add KZN and Gauteng provincial modules. Shareable link /r/{slug}.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Save to Project Workspace (Supabase auth — piggyback on existing FRA accounts).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Versioned incentive_rules table — admin UI to update rates without a deploy.</w:t>
      </w:r>
    </w:p>
    <w:p>
      <w:pPr>
        <w:spacing w:after="40" w:before="140" w:line="280"/>
      </w:pPr>
      <w:r>
        <w:rPr>
          <w:rFonts w:ascii="Arial" w:cs="Arial" w:eastAsia="Arial" w:hAnsi="Arial"/>
          <w:b/>
          <w:bCs/>
          <w:color w:val="B47E2A"/>
          <w:sz w:val="20"/>
          <w:szCs w:val="20"/>
        </w:rPr>
        <w:t xml:space="preserve">v1.2 · Next 60 days · </w:t>
      </w: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Multi-country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Nigeria rebate module (once AMVCA / NFCB incentive framework stabilizes). Kenya KFC module.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Co-production treaty math — SA × Canada / UK / Germany / Italy / France / Ireland / Australia / NZ / Kenya.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Embeddable widget — partner sites (producer guilds, festivals) can drop a "Calculate your rebate" box and send leads back to FRA with attribution.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410"/>
        </w:rPr>
        <w:t xml:space="preserve">Open Items — Needs Verification Before Ship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Confirm current DTIC SAFPRI rate structure post-2024 restructuring (base rate, B-BBEE bonus, thresholds, eligible QSAPE categories). </w:t>
      </w:r>
      <w:r>
        <w:rPr>
          <w:rFonts w:ascii="Arial" w:cs="Arial" w:eastAsia="Arial" w:hAnsi="Arial"/>
          <w:b/>
          <w:bCs/>
          <w:color w:val="B84A2E"/>
          <w:sz w:val="20"/>
          <w:szCs w:val="20"/>
        </w:rPr>
        <w:t xml:space="preserve">Blocker for v1.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Confirm NFVF Tier 1/2/3 budget bands and maximum grant sizes for FY2026. Pull from latest call-for-submissions documents.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Pull current rulesets for Western Cape (Wesgro), KZN Film Commission, and Gauteng Film Commission. Each has its own form, caps, windows.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Decide on QSAPE default % (70% is industry heuristic — validate with one working line producer).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FX source — SARB mid-rate vs. a commercial rate (e.g., XE). Pick one, stamp every output.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Legal review of the disclaimer wording.</w:t>
      </w:r>
    </w:p>
    <w:p>
      <w:pPr>
        <w:pBdr>
          <w:bottom w:val="single" w:color="B47E2A" w:sz="6" w:space="1"/>
        </w:pBdr>
        <w:spacing w:after="120" w:before="120"/>
      </w:pPr>
      <w:r>
        <w:rPr>
          <w:sz w:val="2"/>
          <w:szCs w:val="2"/>
        </w:rPr>
        <w:t xml:space="preserve"/>
      </w:r>
    </w:p>
    <w:p>
      <w:pPr>
        <w:spacing w:after="0" w:before="40" w:line="280"/>
        <w:jc w:val="center"/>
      </w:pPr>
      <w:r>
        <w:rPr>
          <w:rFonts w:ascii="Arial" w:cs="Arial" w:eastAsia="Arial" w:hAnsi="Arial"/>
          <w:b/>
          <w:bCs/>
          <w:color w:val="B47E2A"/>
          <w:sz w:val="16"/>
          <w:szCs w:val="16"/>
        </w:rPr>
        <w:t xml:space="preserve">Rebate &amp; Net Exposure Calculator · </w:t>
      </w:r>
      <w:r>
        <w:rPr>
          <w:rFonts w:ascii="Arial" w:cs="Arial" w:eastAsia="Arial" w:hAnsi="Arial"/>
          <w:color w:val="5A5248"/>
          <w:sz w:val="16"/>
          <w:szCs w:val="16"/>
        </w:rPr>
        <w:t xml:space="preserve">Part of the FRA × AFX roadmap · Authored with Gerhard · 20 April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41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A141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A141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Rebate &amp; Net Exposure Calculator — Product Spec</dc:title>
  <dc:creator>Film Resource Africa</dc:creator>
  <cp:lastModifiedBy>Un-named</cp:lastModifiedBy>
  <cp:revision>1</cp:revision>
  <dcterms:created xsi:type="dcterms:W3CDTF">2026-04-20T18:02:32.228Z</dcterms:created>
  <dcterms:modified xsi:type="dcterms:W3CDTF">2026-04-20T18:02:32.257Z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