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4E78"/>
          <w:sz w:val="40"/>
          <w:szCs w:val="40"/>
        </w:rPr>
        <w:t xml:space="preserve">Clinic Management Data Analytics Project</w:t>
      </w:r>
    </w:p>
    <w:p>
      <w:pPr>
        <w:spacing w:after="300"/>
      </w:pPr>
      <w:r>
        <w:rPr>
          <w:color w:val="555555"/>
          <w:sz w:val="24"/>
          <w:szCs w:val="24"/>
        </w:rPr>
        <w:t xml:space="preserve">Graduation Project Documentation — Database, SQL, Python, Excel &amp; Power BI</w:t>
      </w:r>
    </w:p>
    <w:p>
      <w:pPr>
        <w:pStyle w:val="Heading1"/>
        <w:spacing w:after="120" w:before="280"/>
      </w:pPr>
      <w:r>
        <w:t xml:space="preserve">1. Problem Statement &amp; Project Overview</w:t>
      </w:r>
    </w:p>
    <w:p>
      <w:pPr>
        <w:spacing w:after="120"/>
      </w:pPr>
      <w:r>
        <w:t xml:space="preserve">Outpatient clinics generate large volumes of data across scheduling, clinical care, and billing, but this data is usually scattered across separate systems or spreadsheets that don't talk to each other. That makes it hard to answer basic operational questions: Which departments generate the most revenue? Which diagnoses come up most often? Which patients or payments need follow-up?</w:t>
      </w:r>
    </w:p>
    <w:p>
      <w:pPr>
        <w:spacing w:after="120"/>
      </w:pPr>
      <w:r>
        <w:t xml:space="preserve">This project addresses that gap by designing a single, normalized relational database that follows a clear patient journey — from department and doctor, through insurance and patient registration, to diagnosis, billing, and any lab tests requested — populating it with a large, realistic synthetic dataset, and analyzing it end-to-end using SQL, Python, Excel, and Power BI to produce insights that would support real clinic decision-making.</w:t>
      </w:r>
    </w:p>
    <w:p>
      <w:pPr>
        <w:pStyle w:val="Heading1"/>
        <w:spacing w:after="120" w:before="280"/>
      </w:pPr>
      <w:r>
        <w:t xml:space="preserve">2. Database Design</w:t>
      </w:r>
    </w:p>
    <w:p>
      <w:pPr>
        <w:spacing w:after="120"/>
      </w:pPr>
      <w:r>
        <w:t xml:space="preserve">The database consists of 7 related tables forming one linear chain: a doctor belongs to a department and has a specialty; a patient is covered by an insurance provider; a diagnosis links a patient to the doctor who treated them; each diagnosis generates one billing record and can lead to one or more requested lab tests. All relationships are enforced with primary and foreign keys.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3300"/>
      </w:tblGrid>
      <w:tr>
        <w:tc>
          <w:tcPr>
            <w:tcW w:type="dxa" w:w="1800"/>
            <w:shd w:fill="1F4E78" w:val="clear"/>
            <w:tcMar>
              <w:top w:type="dxa" w:w="80"/>
              <w:left w:type="dxa" w:w="100"/>
              <w:bottom w:type="dxa" w:w="80"/>
              <w:right w:type="dxa" w:w="100"/>
            </w:tcMar>
          </w:tcPr>
          <w:p>
            <w:r>
              <w:rPr>
                <w:b/>
                <w:bCs/>
                <w:color w:val="FFFFFF"/>
                <w:sz w:val="20"/>
                <w:szCs w:val="20"/>
              </w:rPr>
              <w:t xml:space="preserve">Table</w:t>
            </w:r>
          </w:p>
        </w:tc>
        <w:tc>
          <w:tcPr>
            <w:tcW w:type="dxa" w:w="5200"/>
            <w:shd w:fill="1F4E78" w:val="clear"/>
            <w:tcMar>
              <w:top w:type="dxa" w:w="80"/>
              <w:left w:type="dxa" w:w="100"/>
              <w:bottom w:type="dxa" w:w="80"/>
              <w:right w:type="dxa" w:w="100"/>
            </w:tcMar>
          </w:tcPr>
          <w:p>
            <w:r>
              <w:rPr>
                <w:b/>
                <w:bCs/>
                <w:color w:val="FFFFFF"/>
                <w:sz w:val="20"/>
                <w:szCs w:val="20"/>
              </w:rPr>
              <w:t xml:space="preserve">Purpose</w:t>
            </w:r>
          </w:p>
        </w:tc>
        <w:tc>
          <w:tcPr>
            <w:tcW w:type="dxa" w:w="3300"/>
            <w:shd w:fill="1F4E78" w:val="clear"/>
            <w:tcMar>
              <w:top w:type="dxa" w:w="80"/>
              <w:left w:type="dxa" w:w="100"/>
              <w:bottom w:type="dxa" w:w="80"/>
              <w:right w:type="dxa" w:w="100"/>
            </w:tcMar>
          </w:tcPr>
          <w:p>
            <w:r>
              <w:rPr>
                <w:b/>
                <w:bCs/>
                <w:color w:val="FFFFFF"/>
                <w:sz w:val="20"/>
                <w:szCs w:val="20"/>
              </w:rPr>
              <w:t xml:space="preserve">Key relationship</w:t>
            </w:r>
          </w:p>
        </w:tc>
      </w:tr>
      <w:tr>
        <w:tc>
          <w:tcPr>
            <w:tcW w:type="dxa" w:w="1800"/>
            <w:tcMar>
              <w:top w:type="dxa" w:w="80"/>
              <w:left w:type="dxa" w:w="100"/>
              <w:bottom w:type="dxa" w:w="80"/>
              <w:right w:type="dxa" w:w="100"/>
            </w:tcMar>
          </w:tcPr>
          <w:p>
            <w:r>
              <w:rPr>
                <w:b w:val="false"/>
                <w:bCs w:val="false"/>
                <w:sz w:val="20"/>
                <w:szCs w:val="20"/>
              </w:rPr>
              <w:t xml:space="preserve">departments</w:t>
            </w:r>
          </w:p>
        </w:tc>
        <w:tc>
          <w:tcPr>
            <w:tcW w:type="dxa" w:w="5200"/>
            <w:tcMar>
              <w:top w:type="dxa" w:w="80"/>
              <w:left w:type="dxa" w:w="100"/>
              <w:bottom w:type="dxa" w:w="80"/>
              <w:right w:type="dxa" w:w="100"/>
            </w:tcMar>
          </w:tcPr>
          <w:p>
            <w:r>
              <w:rPr>
                <w:b w:val="false"/>
                <w:bCs w:val="false"/>
                <w:sz w:val="20"/>
                <w:szCs w:val="20"/>
              </w:rPr>
              <w:t xml:space="preserve">Clinic departments (Cardiology, Pediatrics, etc.)</w:t>
            </w:r>
          </w:p>
        </w:tc>
        <w:tc>
          <w:tcPr>
            <w:tcW w:type="dxa" w:w="3300"/>
            <w:tcMar>
              <w:top w:type="dxa" w:w="80"/>
              <w:left w:type="dxa" w:w="100"/>
              <w:bottom w:type="dxa" w:w="80"/>
              <w:right w:type="dxa" w:w="100"/>
            </w:tcMar>
          </w:tcPr>
          <w:p>
            <w:r>
              <w:rPr>
                <w:b w:val="false"/>
                <w:bCs w:val="false"/>
                <w:sz w:val="20"/>
                <w:szCs w:val="20"/>
              </w:rPr>
              <w:t xml:space="preserve">1 → many doctors</w:t>
            </w:r>
          </w:p>
        </w:tc>
      </w:tr>
      <w:tr>
        <w:tc>
          <w:tcPr>
            <w:tcW w:type="dxa" w:w="1800"/>
            <w:tcMar>
              <w:top w:type="dxa" w:w="80"/>
              <w:left w:type="dxa" w:w="100"/>
              <w:bottom w:type="dxa" w:w="80"/>
              <w:right w:type="dxa" w:w="100"/>
            </w:tcMar>
          </w:tcPr>
          <w:p>
            <w:r>
              <w:rPr>
                <w:b w:val="false"/>
                <w:bCs w:val="false"/>
                <w:sz w:val="20"/>
                <w:szCs w:val="20"/>
              </w:rPr>
              <w:t xml:space="preserve">doctors</w:t>
            </w:r>
          </w:p>
        </w:tc>
        <w:tc>
          <w:tcPr>
            <w:tcW w:type="dxa" w:w="5200"/>
            <w:tcMar>
              <w:top w:type="dxa" w:w="80"/>
              <w:left w:type="dxa" w:w="100"/>
              <w:bottom w:type="dxa" w:w="80"/>
              <w:right w:type="dxa" w:w="100"/>
            </w:tcMar>
          </w:tcPr>
          <w:p>
            <w:r>
              <w:rPr>
                <w:b w:val="false"/>
                <w:bCs w:val="false"/>
                <w:sz w:val="20"/>
                <w:szCs w:val="20"/>
              </w:rPr>
              <w:t xml:space="preserve">Staff records with department &amp; specialty</w:t>
            </w:r>
          </w:p>
        </w:tc>
        <w:tc>
          <w:tcPr>
            <w:tcW w:type="dxa" w:w="3300"/>
            <w:tcMar>
              <w:top w:type="dxa" w:w="80"/>
              <w:left w:type="dxa" w:w="100"/>
              <w:bottom w:type="dxa" w:w="80"/>
              <w:right w:type="dxa" w:w="100"/>
            </w:tcMar>
          </w:tcPr>
          <w:p>
            <w:r>
              <w:rPr>
                <w:b w:val="false"/>
                <w:bCs w:val="false"/>
                <w:sz w:val="20"/>
                <w:szCs w:val="20"/>
              </w:rPr>
              <w:t xml:space="preserve">many → 1 department, 1 → many diagnoses</w:t>
            </w:r>
          </w:p>
        </w:tc>
      </w:tr>
      <w:tr>
        <w:tc>
          <w:tcPr>
            <w:tcW w:type="dxa" w:w="1800"/>
            <w:tcMar>
              <w:top w:type="dxa" w:w="80"/>
              <w:left w:type="dxa" w:w="100"/>
              <w:bottom w:type="dxa" w:w="80"/>
              <w:right w:type="dxa" w:w="100"/>
            </w:tcMar>
          </w:tcPr>
          <w:p>
            <w:r>
              <w:rPr>
                <w:b w:val="false"/>
                <w:bCs w:val="false"/>
                <w:sz w:val="20"/>
                <w:szCs w:val="20"/>
              </w:rPr>
              <w:t xml:space="preserve">insurance_providers</w:t>
            </w:r>
          </w:p>
        </w:tc>
        <w:tc>
          <w:tcPr>
            <w:tcW w:type="dxa" w:w="5200"/>
            <w:tcMar>
              <w:top w:type="dxa" w:w="80"/>
              <w:left w:type="dxa" w:w="100"/>
              <w:bottom w:type="dxa" w:w="80"/>
              <w:right w:type="dxa" w:w="100"/>
            </w:tcMar>
          </w:tcPr>
          <w:p>
            <w:r>
              <w:rPr>
                <w:b w:val="false"/>
                <w:bCs w:val="false"/>
                <w:sz w:val="20"/>
                <w:szCs w:val="20"/>
              </w:rPr>
              <w:t xml:space="preserve">Insurance companies and coverage tiers</w:t>
            </w:r>
          </w:p>
        </w:tc>
        <w:tc>
          <w:tcPr>
            <w:tcW w:type="dxa" w:w="3300"/>
            <w:tcMar>
              <w:top w:type="dxa" w:w="80"/>
              <w:left w:type="dxa" w:w="100"/>
              <w:bottom w:type="dxa" w:w="80"/>
              <w:right w:type="dxa" w:w="100"/>
            </w:tcMar>
          </w:tcPr>
          <w:p>
            <w:r>
              <w:rPr>
                <w:b w:val="false"/>
                <w:bCs w:val="false"/>
                <w:sz w:val="20"/>
                <w:szCs w:val="20"/>
              </w:rPr>
              <w:t xml:space="preserve">1 → many patients</w:t>
            </w:r>
          </w:p>
        </w:tc>
      </w:tr>
      <w:tr>
        <w:tc>
          <w:tcPr>
            <w:tcW w:type="dxa" w:w="1800"/>
            <w:tcMar>
              <w:top w:type="dxa" w:w="80"/>
              <w:left w:type="dxa" w:w="100"/>
              <w:bottom w:type="dxa" w:w="80"/>
              <w:right w:type="dxa" w:w="100"/>
            </w:tcMar>
          </w:tcPr>
          <w:p>
            <w:r>
              <w:rPr>
                <w:b w:val="false"/>
                <w:bCs w:val="false"/>
                <w:sz w:val="20"/>
                <w:szCs w:val="20"/>
              </w:rPr>
              <w:t xml:space="preserve">patients</w:t>
            </w:r>
          </w:p>
        </w:tc>
        <w:tc>
          <w:tcPr>
            <w:tcW w:type="dxa" w:w="5200"/>
            <w:tcMar>
              <w:top w:type="dxa" w:w="80"/>
              <w:left w:type="dxa" w:w="100"/>
              <w:bottom w:type="dxa" w:w="80"/>
              <w:right w:type="dxa" w:w="100"/>
            </w:tcMar>
          </w:tcPr>
          <w:p>
            <w:r>
              <w:rPr>
                <w:b w:val="false"/>
                <w:bCs w:val="false"/>
                <w:sz w:val="20"/>
                <w:szCs w:val="20"/>
              </w:rPr>
              <w:t xml:space="preserve">Patient demographics &amp; registration</w:t>
            </w:r>
          </w:p>
        </w:tc>
        <w:tc>
          <w:tcPr>
            <w:tcW w:type="dxa" w:w="3300"/>
            <w:tcMar>
              <w:top w:type="dxa" w:w="80"/>
              <w:left w:type="dxa" w:w="100"/>
              <w:bottom w:type="dxa" w:w="80"/>
              <w:right w:type="dxa" w:w="100"/>
            </w:tcMar>
          </w:tcPr>
          <w:p>
            <w:r>
              <w:rPr>
                <w:b w:val="false"/>
                <w:bCs w:val="false"/>
                <w:sz w:val="20"/>
                <w:szCs w:val="20"/>
              </w:rPr>
              <w:t xml:space="preserve">many → 1 insurance provider, 1 → many diagnoses</w:t>
            </w:r>
          </w:p>
        </w:tc>
      </w:tr>
      <w:tr>
        <w:tc>
          <w:tcPr>
            <w:tcW w:type="dxa" w:w="1800"/>
            <w:tcMar>
              <w:top w:type="dxa" w:w="80"/>
              <w:left w:type="dxa" w:w="100"/>
              <w:bottom w:type="dxa" w:w="80"/>
              <w:right w:type="dxa" w:w="100"/>
            </w:tcMar>
          </w:tcPr>
          <w:p>
            <w:r>
              <w:rPr>
                <w:b w:val="false"/>
                <w:bCs w:val="false"/>
                <w:sz w:val="20"/>
                <w:szCs w:val="20"/>
              </w:rPr>
              <w:t xml:space="preserve">diagnoses</w:t>
            </w:r>
          </w:p>
        </w:tc>
        <w:tc>
          <w:tcPr>
            <w:tcW w:type="dxa" w:w="5200"/>
            <w:tcMar>
              <w:top w:type="dxa" w:w="80"/>
              <w:left w:type="dxa" w:w="100"/>
              <w:bottom w:type="dxa" w:w="80"/>
              <w:right w:type="dxa" w:w="100"/>
            </w:tcMar>
          </w:tcPr>
          <w:p>
            <w:r>
              <w:rPr>
                <w:b w:val="false"/>
                <w:bCs w:val="false"/>
                <w:sz w:val="20"/>
                <w:szCs w:val="20"/>
              </w:rPr>
              <w:t xml:space="preserve">The patient-doctor encounter: code, description, severity</w:t>
            </w:r>
          </w:p>
        </w:tc>
        <w:tc>
          <w:tcPr>
            <w:tcW w:type="dxa" w:w="3300"/>
            <w:tcMar>
              <w:top w:type="dxa" w:w="80"/>
              <w:left w:type="dxa" w:w="100"/>
              <w:bottom w:type="dxa" w:w="80"/>
              <w:right w:type="dxa" w:w="100"/>
            </w:tcMar>
          </w:tcPr>
          <w:p>
            <w:r>
              <w:rPr>
                <w:b w:val="false"/>
                <w:bCs w:val="false"/>
                <w:sz w:val="20"/>
                <w:szCs w:val="20"/>
              </w:rPr>
              <w:t xml:space="preserve">1 → 1 billing, 1 → many lab tests</w:t>
            </w:r>
          </w:p>
        </w:tc>
      </w:tr>
      <w:tr>
        <w:tc>
          <w:tcPr>
            <w:tcW w:type="dxa" w:w="1800"/>
            <w:tcMar>
              <w:top w:type="dxa" w:w="80"/>
              <w:left w:type="dxa" w:w="100"/>
              <w:bottom w:type="dxa" w:w="80"/>
              <w:right w:type="dxa" w:w="100"/>
            </w:tcMar>
          </w:tcPr>
          <w:p>
            <w:r>
              <w:rPr>
                <w:b w:val="false"/>
                <w:bCs w:val="false"/>
                <w:sz w:val="20"/>
                <w:szCs w:val="20"/>
              </w:rPr>
              <w:t xml:space="preserve">billing</w:t>
            </w:r>
          </w:p>
        </w:tc>
        <w:tc>
          <w:tcPr>
            <w:tcW w:type="dxa" w:w="5200"/>
            <w:tcMar>
              <w:top w:type="dxa" w:w="80"/>
              <w:left w:type="dxa" w:w="100"/>
              <w:bottom w:type="dxa" w:w="80"/>
              <w:right w:type="dxa" w:w="100"/>
            </w:tcMar>
          </w:tcPr>
          <w:p>
            <w:r>
              <w:rPr>
                <w:b w:val="false"/>
                <w:bCs w:val="false"/>
                <w:sz w:val="20"/>
                <w:szCs w:val="20"/>
              </w:rPr>
              <w:t xml:space="preserve">One invoice per diagnosis</w:t>
            </w:r>
          </w:p>
        </w:tc>
        <w:tc>
          <w:tcPr>
            <w:tcW w:type="dxa" w:w="3300"/>
            <w:tcMar>
              <w:top w:type="dxa" w:w="80"/>
              <w:left w:type="dxa" w:w="100"/>
              <w:bottom w:type="dxa" w:w="80"/>
              <w:right w:type="dxa" w:w="100"/>
            </w:tcMar>
          </w:tcPr>
          <w:p>
            <w:r>
              <w:rPr>
                <w:b w:val="false"/>
                <w:bCs w:val="false"/>
                <w:sz w:val="20"/>
                <w:szCs w:val="20"/>
              </w:rPr>
              <w:t xml:space="preserve">1:1 with diagnosis</w:t>
            </w:r>
          </w:p>
        </w:tc>
      </w:tr>
      <w:tr>
        <w:tc>
          <w:tcPr>
            <w:tcW w:type="dxa" w:w="1800"/>
            <w:tcMar>
              <w:top w:type="dxa" w:w="80"/>
              <w:left w:type="dxa" w:w="100"/>
              <w:bottom w:type="dxa" w:w="80"/>
              <w:right w:type="dxa" w:w="100"/>
            </w:tcMar>
          </w:tcPr>
          <w:p>
            <w:r>
              <w:rPr>
                <w:b w:val="false"/>
                <w:bCs w:val="false"/>
                <w:sz w:val="20"/>
                <w:szCs w:val="20"/>
              </w:rPr>
              <w:t xml:space="preserve">lab_tests</w:t>
            </w:r>
          </w:p>
        </w:tc>
        <w:tc>
          <w:tcPr>
            <w:tcW w:type="dxa" w:w="5200"/>
            <w:tcMar>
              <w:top w:type="dxa" w:w="80"/>
              <w:left w:type="dxa" w:w="100"/>
              <w:bottom w:type="dxa" w:w="80"/>
              <w:right w:type="dxa" w:w="100"/>
            </w:tcMar>
          </w:tcPr>
          <w:p>
            <w:r>
              <w:rPr>
                <w:b w:val="false"/>
                <w:bCs w:val="false"/>
                <w:sz w:val="20"/>
                <w:szCs w:val="20"/>
              </w:rPr>
              <w:t xml:space="preserve">Requested services per diagnosis</w:t>
            </w:r>
          </w:p>
        </w:tc>
        <w:tc>
          <w:tcPr>
            <w:tcW w:type="dxa" w:w="3300"/>
            <w:tcMar>
              <w:top w:type="dxa" w:w="80"/>
              <w:left w:type="dxa" w:w="100"/>
              <w:bottom w:type="dxa" w:w="80"/>
              <w:right w:type="dxa" w:w="100"/>
            </w:tcMar>
          </w:tcPr>
          <w:p>
            <w:r>
              <w:rPr>
                <w:b w:val="false"/>
                <w:bCs w:val="false"/>
                <w:sz w:val="20"/>
                <w:szCs w:val="20"/>
              </w:rPr>
              <w:t xml:space="preserve">many → 1 diagnosis</w:t>
            </w:r>
          </w:p>
        </w:tc>
      </w:tr>
    </w:tbl>
    <w:p>
      <w:pPr>
        <w:spacing w:after="150"/>
      </w:pPr>
    </w:p>
    <w:p>
      <w:pPr>
        <w:spacing w:after="120"/>
      </w:pPr>
      <w:r>
        <w:t xml:space="preserve">The full ER diagram (clinic_erd.mermaid) and DDL script (schema.sql) are included as separate deliverables. This is a deliberately simplified redesign from an earlier draft that also modeled appointments, nurses, rooms, treatments, and prescriptions — narrowed down to keep the chain of relationships direct and easy to follow end to end.</w:t>
      </w:r>
    </w:p>
    <w:p>
      <w:pPr>
        <w:pStyle w:val="Heading1"/>
        <w:spacing w:after="120" w:before="280"/>
      </w:pPr>
      <w:r>
        <w:t xml:space="preserve">3. Data Creation</w:t>
      </w:r>
    </w:p>
    <w:p>
      <w:pPr>
        <w:spacing w:after="120"/>
      </w:pPr>
      <w:r>
        <w:t xml:space="preserve">The dataset was generated programmatically in Python using the Faker library (generate_data.py), seeded for reproducibility. Generation was weighted to mimic realistic clinic patterns:</w:t>
      </w:r>
    </w:p>
    <w:p>
      <w:pPr>
        <w:pStyle w:val="ListParagraph"/>
        <w:numPr>
          <w:ilvl w:val="0"/>
          <w:numId w:val="2"/>
        </w:numPr>
        <w:spacing w:after="60"/>
      </w:pPr>
      <w:r>
        <w:t xml:space="preserve">~70% of patients carry insurance coverage</w:t>
      </w:r>
    </w:p>
    <w:p>
      <w:pPr>
        <w:pStyle w:val="ListParagraph"/>
        <w:numPr>
          <w:ilvl w:val="0"/>
          <w:numId w:val="2"/>
        </w:numPr>
        <w:spacing w:after="60"/>
      </w:pPr>
      <w:r>
        <w:t xml:space="preserve">Each diagnosis has a ~90% chance of generating a billing record (some are still awaiting billing) and a ~40% chance of 1-2 requested lab tests</w:t>
      </w:r>
    </w:p>
    <w:p>
      <w:pPr>
        <w:pStyle w:val="ListParagraph"/>
        <w:numPr>
          <w:ilvl w:val="0"/>
          <w:numId w:val="2"/>
        </w:numPr>
        <w:spacing w:after="60"/>
      </w:pPr>
      <w:r>
        <w:t xml:space="preserve">Payment status follows a realistic split (mostly Paid, with smaller Pending and Overdue shares)</w:t>
      </w:r>
    </w:p>
    <w:p>
      <w:pPr>
        <w:spacing w:after="120"/>
      </w:pPr>
      <w:r>
        <w:t xml:space="preserve">Final scale: 5,000 patients, 80 doctors, and 20,000 diagnoses, producing roughly 55,000 total rows across all 7 tables — large enough to produce meaningful trends and department-level comparisons rather than noise.</w:t>
      </w:r>
    </w:p>
    <w:p>
      <w:pPr>
        <w:pStyle w:val="Heading1"/>
        <w:spacing w:after="120" w:before="280"/>
      </w:pPr>
      <w:r>
        <w:t xml:space="preserve">4. Analysis Approach</w:t>
      </w:r>
    </w:p>
    <w:p>
      <w:pPr>
        <w:pStyle w:val="Heading2"/>
        <w:spacing w:after="100" w:before="200"/>
      </w:pPr>
      <w:r>
        <w:t xml:space="preserve">SQL</w:t>
      </w:r>
    </w:p>
    <w:p>
      <w:pPr>
        <w:spacing w:after="120"/>
      </w:pPr>
      <w:r>
        <w:t xml:space="preserve">13 business-question queries (queries.sql) covering revenue by payment status and department, doctor workload, top diagnoses, severity breakdown, patient age segmentation, monthly trends, insurance coverage breakdown, abnormal lab-result rates, top-spending patients, an overdue-payments follow-up list, and diagnoses that never received a requested lab test.</w:t>
      </w:r>
    </w:p>
    <w:p>
      <w:pPr>
        <w:pStyle w:val="Heading2"/>
        <w:spacing w:after="100" w:before="200"/>
      </w:pPr>
      <w:r>
        <w:t xml:space="preserve">Python</w:t>
      </w:r>
    </w:p>
    <w:p>
      <w:pPr>
        <w:spacing w:after="120"/>
      </w:pPr>
      <w:r>
        <w:t xml:space="preserve">Using pandas connected to the SQLite database (analysis.py): data cleaning (deduplication, text standardization, missing-insurance handling), trend analysis (monthly diagnosis volume and revenue), segmentation (by age group, city, and department), and a logistic regression model predicting overdue payments from patient age, gender, insurance status, diagnosis severity, and bill amount.</w:t>
      </w:r>
    </w:p>
    <w:p>
      <w:pPr>
        <w:pStyle w:val="Heading2"/>
        <w:spacing w:after="100" w:before="200"/>
      </w:pPr>
      <w:r>
        <w:t xml:space="preserve">Excel</w:t>
      </w:r>
    </w:p>
    <w:p>
      <w:pPr>
        <w:spacing w:after="120"/>
      </w:pPr>
      <w:r>
        <w:t xml:space="preserve">A 5-sheet workbook (clinic_report.xlsx) with a Key Findings summary, monthly trend line charts, a department revenue bar chart, patient segmentation pie/bar charts, and a stacked bar chart of diagnosis severity by department.</w:t>
      </w:r>
    </w:p>
    <w:p>
      <w:pPr>
        <w:pStyle w:val="Heading2"/>
        <w:spacing w:after="100" w:before="200"/>
      </w:pPr>
      <w:r>
        <w:t xml:space="preserve">Power BI</w:t>
      </w:r>
    </w:p>
    <w:p>
      <w:pPr>
        <w:spacing w:after="120"/>
      </w:pPr>
      <w:r>
        <w:t xml:space="preserve">An interactive dashboard connecting to the SQLite database or the exported CSVs, with KPI cards, department and severity filters, and drill-down charts mirroring the SQL and Python analysis.</w:t>
      </w:r>
    </w:p>
    <w:p>
      <w:pPr>
        <w:pStyle w:val="Heading2"/>
        <w:spacing w:after="100" w:before="200"/>
      </w:pPr>
      <w:r>
        <w:t xml:space="preserve">Interface</w:t>
      </w:r>
    </w:p>
    <w:p>
      <w:pPr>
        <w:spacing w:after="120"/>
      </w:pPr>
      <w:r>
        <w:t xml:space="preserve">A Streamlit web application (app.py) ties the whole system together: a dashboard with KPI cards and charts, browsable Diagnoses/Patients/Doctors/Payments/Lab Tests pages with search and filters, forms to add new records, and a SQL playground for free-form queries — all reading from and writing to the same clinic.db.</w:t>
      </w:r>
    </w:p>
    <w:p>
      <w:pPr>
        <w:pStyle w:val="Heading1"/>
        <w:spacing w:after="120" w:before="280"/>
      </w:pPr>
      <w:r>
        <w:t xml:space="preserve">5. Key Insights</w:t>
      </w:r>
    </w:p>
    <w:p>
      <w:pPr>
        <w:pStyle w:val="ListParagraph"/>
        <w:numPr>
          <w:ilvl w:val="0"/>
          <w:numId w:val="2"/>
        </w:numPr>
        <w:spacing w:after="60"/>
      </w:pPr>
      <w:r>
        <w:rPr>
          <w:b/>
          <w:bCs/>
        </w:rPr>
        <w:t xml:space="preserve">Revenue: </w:t>
      </w:r>
      <w:r>
        <w:t xml:space="preserve">Total billed revenue across the dataset is EGP 8,827,501.41 from 18,043 invoices.</w:t>
      </w:r>
    </w:p>
    <w:p>
      <w:pPr>
        <w:pStyle w:val="ListParagraph"/>
        <w:numPr>
          <w:ilvl w:val="0"/>
          <w:numId w:val="2"/>
        </w:numPr>
        <w:spacing w:after="60"/>
      </w:pPr>
      <w:r>
        <w:rPr>
          <w:b/>
          <w:bCs/>
        </w:rPr>
        <w:t xml:space="preserve">Payment status: </w:t>
      </w:r>
      <w:r>
        <w:t xml:space="preserve">Of that, EGP 6,609,461.52 (13,475 bills) is paid, EGP 1,322,694.31 (2,711 bills) is pending, and EGP 895,345.58 (1,857 bills) is overdue and needs collections follow-up.</w:t>
      </w:r>
    </w:p>
    <w:p>
      <w:pPr>
        <w:pStyle w:val="ListParagraph"/>
        <w:numPr>
          <w:ilvl w:val="0"/>
          <w:numId w:val="2"/>
        </w:numPr>
        <w:spacing w:after="60"/>
      </w:pPr>
      <w:r>
        <w:rPr>
          <w:b/>
          <w:bCs/>
        </w:rPr>
        <w:t xml:space="preserve">Departments: </w:t>
      </w:r>
      <w:r>
        <w:t xml:space="preserve">General Medicine is the highest-revenue department (EGP 1,791,000.20), followed by Pediatrics (EGP 1,438,119.76) and Dermatology (EGP 1,434,831.92).</w:t>
      </w:r>
    </w:p>
    <w:p>
      <w:pPr>
        <w:pStyle w:val="ListParagraph"/>
        <w:numPr>
          <w:ilvl w:val="0"/>
          <w:numId w:val="2"/>
        </w:numPr>
        <w:spacing w:after="60"/>
      </w:pPr>
      <w:r>
        <w:rPr>
          <w:b/>
          <w:bCs/>
        </w:rPr>
        <w:t xml:space="preserve">Patient segmentation: </w:t>
      </w:r>
      <w:r>
        <w:t xml:space="preserve">60+ is the largest patient segment (1,688 patients), ahead of 18-39 (1,251), 40-59 (1,116), and under-18 (945) — suggesting the clinic should plan capacity around an older patient base.</w:t>
      </w:r>
    </w:p>
    <w:p>
      <w:pPr>
        <w:pStyle w:val="ListParagraph"/>
        <w:numPr>
          <w:ilvl w:val="0"/>
          <w:numId w:val="2"/>
        </w:numPr>
        <w:spacing w:after="60"/>
      </w:pPr>
      <w:r>
        <w:rPr>
          <w:b/>
          <w:bCs/>
        </w:rPr>
        <w:t xml:space="preserve">Insurance: </w:t>
      </w:r>
      <w:r>
        <w:t xml:space="preserve">69.7% of patients carry insurance; the remaining ~30% are self-pay, relevant for billing and collections strategy.</w:t>
      </w:r>
    </w:p>
    <w:p>
      <w:pPr>
        <w:pStyle w:val="ListParagraph"/>
        <w:numPr>
          <w:ilvl w:val="0"/>
          <w:numId w:val="2"/>
        </w:numPr>
        <w:spacing w:after="60"/>
      </w:pPr>
      <w:r>
        <w:rPr>
          <w:b/>
          <w:bCs/>
        </w:rPr>
        <w:t xml:space="preserve">Clinical: </w:t>
      </w:r>
      <w:r>
        <w:t xml:space="preserve">Atopic dermatitis, asthma, and upper respiratory infection are the three most common diagnoses, each occurring in roughly 1,690-1,700 encounters. Severity skews mild overall: 11,719 mild, 6,650 moderate, and 1,631 severe cases.</w:t>
      </w:r>
    </w:p>
    <w:p>
      <w:pPr>
        <w:pStyle w:val="ListParagraph"/>
        <w:numPr>
          <w:ilvl w:val="0"/>
          <w:numId w:val="2"/>
        </w:numPr>
        <w:spacing w:after="60"/>
      </w:pPr>
      <w:r>
        <w:rPr>
          <w:b/>
          <w:bCs/>
        </w:rPr>
        <w:t xml:space="preserve">Lab test coverage: </w:t>
      </w:r>
      <w:r>
        <w:t xml:space="preserve">12,018 of the 20,000 diagnoses (60%) never had a lab test requested — worth checking whether that reflects appropriate clinical judgment or a documentation gap.</w:t>
      </w:r>
    </w:p>
    <w:p>
      <w:pPr>
        <w:pStyle w:val="ListParagraph"/>
        <w:numPr>
          <w:ilvl w:val="0"/>
          <w:numId w:val="2"/>
        </w:numPr>
        <w:spacing w:after="60"/>
      </w:pPr>
      <w:r>
        <w:rPr>
          <w:b/>
          <w:bCs/>
        </w:rPr>
        <w:t xml:space="preserve">Lab tests: </w:t>
      </w:r>
      <w:r>
        <w:t xml:space="preserve">MRI, ECG, and X-Ray show the highest abnormal-result rates (24.5-25.5%), which may warrant closer monitoring of those testing pathways.</w:t>
      </w:r>
    </w:p>
    <w:p>
      <w:pPr>
        <w:pStyle w:val="ListParagraph"/>
        <w:numPr>
          <w:ilvl w:val="0"/>
          <w:numId w:val="2"/>
        </w:numPr>
        <w:spacing w:after="60"/>
      </w:pPr>
      <w:r>
        <w:rPr>
          <w:b/>
          <w:bCs/>
        </w:rPr>
        <w:t xml:space="preserve">Prediction model: </w:t>
      </w:r>
      <w:r>
        <w:t xml:space="preserve">A logistic regression model predicting overdue payments from age, gender, insurance status, severity, and bill amount reached only 51.1% accuracy against a 10.3% baseline overdue rate — barely better than chance. This indicates these attributes alone are not sufficient predictors; a stronger model would need behavioral features such as a patient's own payment history.</w:t>
      </w:r>
    </w:p>
    <w:p>
      <w:pPr>
        <w:pStyle w:val="Heading1"/>
        <w:spacing w:after="120" w:before="280"/>
      </w:pPr>
      <w:r>
        <w:t xml:space="preserve">6. Recommendations</w:t>
      </w:r>
    </w:p>
    <w:p>
      <w:pPr>
        <w:pStyle w:val="ListParagraph"/>
        <w:numPr>
          <w:ilvl w:val="0"/>
          <w:numId w:val="2"/>
        </w:numPr>
        <w:spacing w:after="60"/>
      </w:pPr>
      <w:r>
        <w:t xml:space="preserve">Prioritize collections outreach on the EGP 895K in overdue balances, starting with the oldest invoices.</w:t>
      </w:r>
    </w:p>
    <w:p>
      <w:pPr>
        <w:pStyle w:val="ListParagraph"/>
        <w:numPr>
          <w:ilvl w:val="0"/>
          <w:numId w:val="2"/>
        </w:numPr>
        <w:spacing w:after="60"/>
      </w:pPr>
      <w:r>
        <w:t xml:space="preserve">Review the 12,018 diagnoses with no requested lab test to confirm whether that gap is clinically appropriate.</w:t>
      </w:r>
    </w:p>
    <w:p>
      <w:pPr>
        <w:pStyle w:val="ListParagraph"/>
        <w:numPr>
          <w:ilvl w:val="0"/>
          <w:numId w:val="2"/>
        </w:numPr>
        <w:spacing w:after="60"/>
      </w:pPr>
      <w:r>
        <w:t xml:space="preserve">Use the age-60+ skew to inform staffing and appointment-length planning, since older patients often need longer consultations.</w:t>
      </w:r>
    </w:p>
    <w:p>
      <w:pPr>
        <w:pStyle w:val="ListParagraph"/>
        <w:numPr>
          <w:ilvl w:val="0"/>
          <w:numId w:val="2"/>
        </w:numPr>
        <w:spacing w:after="60"/>
      </w:pPr>
      <w:r>
        <w:t xml:space="preserve">Extend the overdue-payment model with richer behavioral features (a patient's own payment history) before relying on it for collections decisions.</w:t>
      </w:r>
    </w:p>
    <w:p>
      <w:pPr>
        <w:pStyle w:val="Heading1"/>
        <w:spacing w:after="120" w:before="280"/>
      </w:pPr>
      <w:r>
        <w:t xml:space="preserve">7. Deliverables</w:t>
      </w:r>
    </w:p>
    <w:p>
      <w:pPr>
        <w:pStyle w:val="ListParagraph"/>
        <w:numPr>
          <w:ilvl w:val="0"/>
          <w:numId w:val="2"/>
        </w:numPr>
        <w:spacing w:after="60"/>
      </w:pPr>
      <w:r>
        <w:t xml:space="preserve">Database schema (clinic_erd.mermaid + schema.sql)</w:t>
      </w:r>
    </w:p>
    <w:p>
      <w:pPr>
        <w:pStyle w:val="ListParagraph"/>
        <w:numPr>
          <w:ilvl w:val="0"/>
          <w:numId w:val="2"/>
        </w:numPr>
        <w:spacing w:after="60"/>
      </w:pPr>
      <w:r>
        <w:t xml:space="preserve">Dataset files (CSV per table + clinic_full_dump.sql + clinic.db)</w:t>
      </w:r>
    </w:p>
    <w:p>
      <w:pPr>
        <w:pStyle w:val="ListParagraph"/>
        <w:numPr>
          <w:ilvl w:val="0"/>
          <w:numId w:val="2"/>
        </w:numPr>
        <w:spacing w:after="60"/>
      </w:pPr>
      <w:r>
        <w:t xml:space="preserve">Python scripts: generate_data.py, analysis.py, export_excel.py</w:t>
      </w:r>
    </w:p>
    <w:p>
      <w:pPr>
        <w:pStyle w:val="ListParagraph"/>
        <w:numPr>
          <w:ilvl w:val="0"/>
          <w:numId w:val="2"/>
        </w:numPr>
        <w:spacing w:after="60"/>
      </w:pPr>
      <w:r>
        <w:t xml:space="preserve">Excel report: clinic_report.xlsx</w:t>
      </w:r>
    </w:p>
    <w:p>
      <w:pPr>
        <w:pStyle w:val="ListParagraph"/>
        <w:numPr>
          <w:ilvl w:val="0"/>
          <w:numId w:val="2"/>
        </w:numPr>
        <w:spacing w:after="60"/>
      </w:pPr>
      <w:r>
        <w:t xml:space="preserve">Streamlit interface: app.py</w:t>
      </w:r>
    </w:p>
    <w:p>
      <w:pPr>
        <w:pStyle w:val="ListParagraph"/>
        <w:numPr>
          <w:ilvl w:val="0"/>
          <w:numId w:val="2"/>
        </w:numPr>
        <w:spacing w:after="60"/>
      </w:pPr>
      <w:r>
        <w:t xml:space="preserve">Power BI dashboard (.pbix) — built by connecting to clinic.db / the CSVs</w:t>
      </w:r>
    </w:p>
    <w:p>
      <w:pPr>
        <w:pStyle w:val="ListParagraph"/>
        <w:numPr>
          <w:ilvl w:val="0"/>
          <w:numId w:val="2"/>
        </w:numPr>
        <w:spacing w:after="60"/>
      </w:pPr>
      <w:r>
        <w:t xml:space="preserve">This documentation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2026-09-14T21:29:33.886Z</dcterms:created>
  <dcterms:modified xsi:type="dcterms:W3CDTF">2026-09-14T21:29:33.893Z</dcterms:modified>
</cp:coreProperties>
</file>

<file path=docProps/custom.xml><?xml version="1.0" encoding="utf-8"?>
<Properties xmlns="http://schemas.openxmlformats.org/officeDocument/2006/custom-properties" xmlns:vt="http://schemas.openxmlformats.org/officeDocument/2006/docPropsVTypes"/>
</file>