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8"/>
        </w:rPr>
        <w:t>BHARAT TRUST BANK (BTB)</w:t>
      </w:r>
    </w:p>
    <w:p>
      <w:pPr>
        <w:spacing w:after="240"/>
      </w:pPr>
      <w:r>
        <w:rPr>
          <w:rFonts w:ascii="Calibri" w:hAnsi="Calibri"/>
          <w:i/>
          <w:color w:val="475569"/>
          <w:sz w:val="26"/>
        </w:rPr>
        <w:t>Relational Database Normalization: Comprehensive Audit, Mathematical Decomposition (1NF–BCNF), Lossless Data Migration &amp; Empirical Validation</w:t>
      </w:r>
    </w:p>
    <w:tbl>
      <w:tblPr>
        <w:tblW w:type="auto" w:w="0"/>
        <w:jc w:val="center"/>
        <w:tblLook w:firstColumn="1" w:firstRow="1" w:lastColumn="0" w:lastRow="0" w:noHBand="0" w:noVBand="1" w:val="04A0"/>
      </w:tblPr>
      <w:tblGrid>
        <w:gridCol w:w="5040"/>
        <w:gridCol w:w="5040"/>
      </w:tblGrid>
      <w:tr>
        <w:tc>
          <w:tcPr>
            <w:tcW w:type="dxa" w:w="2880"/>
            <w:shd w:fill="E2E8F0"/>
            <w:tcMar>
              <w:top w:w="60" w:type="dxa"/>
              <w:bottom w:w="60" w:type="dxa"/>
              <w:left w:w="100" w:type="dxa"/>
              <w:right w:w="100" w:type="dxa"/>
            </w:tcMar>
          </w:tcPr>
          <w:p>
            <w:r>
              <w:rPr>
                <w:b/>
                <w:color w:val="1E293B"/>
                <w:sz w:val="18"/>
              </w:rPr>
              <w:t>Author &amp; Role</w:t>
            </w:r>
          </w:p>
        </w:tc>
        <w:tc>
          <w:tcPr>
            <w:tcW w:type="dxa" w:w="6480"/>
            <w:shd w:fill="F8FAFC"/>
            <w:tcMar>
              <w:top w:w="60" w:type="dxa"/>
              <w:bottom w:w="60" w:type="dxa"/>
              <w:left w:w="100" w:type="dxa"/>
              <w:right w:w="100" w:type="dxa"/>
            </w:tcMar>
          </w:tcPr>
          <w:p>
            <w:r>
              <w:rPr>
                <w:color w:val="334155"/>
                <w:sz w:val="18"/>
              </w:rPr>
              <w:t>Senior MySQL Database Architect &amp; Normalization Expert</w:t>
            </w:r>
          </w:p>
        </w:tc>
      </w:tr>
      <w:tr>
        <w:tc>
          <w:tcPr>
            <w:tcW w:type="dxa" w:w="2880"/>
            <w:shd w:fill="E2E8F0"/>
            <w:tcMar>
              <w:top w:w="60" w:type="dxa"/>
              <w:bottom w:w="60" w:type="dxa"/>
              <w:left w:w="100" w:type="dxa"/>
              <w:right w:w="100" w:type="dxa"/>
            </w:tcMar>
          </w:tcPr>
          <w:p>
            <w:r>
              <w:rPr>
                <w:b/>
                <w:color w:val="1E293B"/>
                <w:sz w:val="18"/>
              </w:rPr>
              <w:t>Authoritative Target RDBMS</w:t>
            </w:r>
          </w:p>
        </w:tc>
        <w:tc>
          <w:tcPr>
            <w:tcW w:type="dxa" w:w="6480"/>
            <w:shd w:fill="F8FAFC"/>
            <w:tcMar>
              <w:top w:w="60" w:type="dxa"/>
              <w:bottom w:w="60" w:type="dxa"/>
              <w:left w:w="100" w:type="dxa"/>
              <w:right w:w="100" w:type="dxa"/>
            </w:tcMar>
          </w:tcPr>
          <w:p>
            <w:r>
              <w:rPr>
                <w:color w:val="334155"/>
                <w:sz w:val="18"/>
              </w:rPr>
              <w:t>MySQL 8.0+ Enterprise (InnoDB Engine, utf8mb4_unicode_ci)</w:t>
            </w:r>
          </w:p>
        </w:tc>
      </w:tr>
      <w:tr>
        <w:tc>
          <w:tcPr>
            <w:tcW w:type="dxa" w:w="2880"/>
            <w:shd w:fill="E2E8F0"/>
            <w:tcMar>
              <w:top w:w="60" w:type="dxa"/>
              <w:bottom w:w="60" w:type="dxa"/>
              <w:left w:w="100" w:type="dxa"/>
              <w:right w:w="100" w:type="dxa"/>
            </w:tcMar>
          </w:tcPr>
          <w:p>
            <w:r>
              <w:rPr>
                <w:b/>
                <w:color w:val="1E293B"/>
                <w:sz w:val="18"/>
              </w:rPr>
              <w:t>Authoritative Source Files</w:t>
            </w:r>
          </w:p>
        </w:tc>
        <w:tc>
          <w:tcPr>
            <w:tcW w:type="dxa" w:w="6480"/>
            <w:shd w:fill="F8FAFC"/>
            <w:tcMar>
              <w:top w:w="60" w:type="dxa"/>
              <w:bottom w:w="60" w:type="dxa"/>
              <w:left w:w="100" w:type="dxa"/>
              <w:right w:w="100" w:type="dxa"/>
            </w:tcMar>
          </w:tcPr>
          <w:p>
            <w:r>
              <w:rPr>
                <w:color w:val="334155"/>
                <w:sz w:val="18"/>
              </w:rPr>
              <w:t>DBMS project/bankist.sql &amp; test/bankist.sql (SHA-256 Verified Identical)</w:t>
            </w:r>
          </w:p>
        </w:tc>
      </w:tr>
      <w:tr>
        <w:tc>
          <w:tcPr>
            <w:tcW w:type="dxa" w:w="2880"/>
            <w:shd w:fill="E2E8F0"/>
            <w:tcMar>
              <w:top w:w="60" w:type="dxa"/>
              <w:bottom w:w="60" w:type="dxa"/>
              <w:left w:w="100" w:type="dxa"/>
              <w:right w:w="100" w:type="dxa"/>
            </w:tcMar>
          </w:tcPr>
          <w:p>
            <w:r>
              <w:rPr>
                <w:b/>
                <w:color w:val="1E293B"/>
                <w:sz w:val="18"/>
              </w:rPr>
              <w:t>Live Database State Preserved</w:t>
            </w:r>
          </w:p>
        </w:tc>
        <w:tc>
          <w:tcPr>
            <w:tcW w:type="dxa" w:w="6480"/>
            <w:shd w:fill="F8FAFC"/>
            <w:tcMar>
              <w:top w:w="60" w:type="dxa"/>
              <w:bottom w:w="60" w:type="dxa"/>
              <w:left w:w="100" w:type="dxa"/>
              <w:right w:w="100" w:type="dxa"/>
            </w:tcMar>
          </w:tcPr>
          <w:p>
            <w:r>
              <w:rPr>
                <w:color w:val="334155"/>
                <w:sz w:val="18"/>
              </w:rPr>
              <w:t>MySQL 127.0.0.1:3306/bankist (3,041 Base Rows, ₹19,155,216.07 Balance Sum)</w:t>
            </w:r>
          </w:p>
        </w:tc>
      </w:tr>
    </w:tbl>
    <w:p>
      <w:pPr>
        <w:spacing w:after="240"/>
      </w:pPr>
    </w:p>
    <w:p>
      <w:pPr>
        <w:pStyle w:val="Heading1"/>
        <w:keepNext/>
        <w:spacing w:before="320" w:after="120"/>
      </w:pPr>
      <w:r>
        <w:rPr>
          <w:rFonts w:ascii="Calibri" w:hAnsi="Calibri"/>
          <w:b/>
          <w:color w:val="1E3A8A"/>
          <w:sz w:val="32"/>
        </w:rPr>
        <w:t>1. Project Introduction and Original Database Purpose</w:t>
      </w:r>
    </w:p>
    <w:p>
      <w:pPr>
        <w:spacing w:after="120"/>
      </w:pPr>
      <w:r>
        <w:t>The Bharat Trust Bank (BTB) / JM-DH Banking System represents an enterprise-grade Core Banking Solution (CBS) and Online Banking Platform engineered to support retail and commercial financial workflows. The database layer acts as the authoritative immutable financial ledger, governing customer identities, KYC compliance, liquid deposit accounts (Savings and Current), payment processing rails (IMPS, NEFT, UPI, and internal transfers), term contracts (Fixed Deposits and Recurring Deposits), branch clearing directories, and regulatory audit non-repudiation logging.</w:t>
      </w:r>
    </w:p>
    <w:p>
      <w:pPr>
        <w:spacing w:after="120"/>
      </w:pPr>
      <w:r>
        <w:t>Originally evolved through multiple iterations (from early prototypes to Next.js net-banking interfaces), the schema accumulated structural shortcuts typical of rapid application development: unnormalized repeating groups in demographic profiles, transitive functional dependencies across branches and account ledgers, plaintext credential exposure, and insufficiently enforced foreign key constraints. This project executes an exhaustive database normalization initiative, bringing the entire relational structure into Boyce-Codd Normal Form (BCNF) while strictly preserving all existing financial data, maintaining backward compatibility for Net Banking API endpoints, and proving zero data loss.</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before="40" w:after="40"/>
            </w:pPr>
            <w:r>
              <w:rPr>
                <w:rFonts w:ascii="Calibri" w:hAnsi="Calibri"/>
                <w:b/>
                <w:color w:val="2563EB"/>
                <w:sz w:val="20"/>
              </w:rPr>
              <w:t xml:space="preserve">[SAFETY DIRECTIVE COMPLIANCE] </w:t>
            </w:r>
            <w:r>
              <w:rPr>
                <w:rFonts w:ascii="Calibri" w:hAnsi="Calibri"/>
                <w:i/>
                <w:color w:val="1E293B"/>
                <w:sz w:val="20"/>
              </w:rPr>
              <w:t>All normalization modifications and data migrations were formulated with a non-negotiable safety constraint: the live production-grade MySQL database 'bankist' (127.0.0.1:3306) was preserved in a strictly read-only state. All schema creation, ETL migration, and assertion test suites were executed against ephemeral disposable environments.</w:t>
            </w:r>
          </w:p>
        </w:tc>
      </w:tr>
    </w:tbl>
    <w:p>
      <w:pPr>
        <w:spacing w:after="80"/>
      </w:pPr>
    </w:p>
    <w:p>
      <w:pPr>
        <w:pStyle w:val="Heading1"/>
        <w:keepNext/>
        <w:spacing w:before="320" w:after="120"/>
      </w:pPr>
      <w:r>
        <w:rPr>
          <w:rFonts w:ascii="Calibri" w:hAnsi="Calibri"/>
          <w:b/>
          <w:color w:val="1E3A8A"/>
          <w:sz w:val="32"/>
        </w:rPr>
        <w:t>2. Actual Source Files Inspected and Authoritative SQL Selection</w:t>
      </w:r>
    </w:p>
    <w:p>
      <w:pPr>
        <w:spacing w:after="120"/>
      </w:pPr>
      <w:r>
        <w:t>A rigorous preliminary audit was conducted across the workspace repository and the provided project archive to identify every database definition file, compare schemas, and establish the authoritative single source of truth.</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600"/>
            <w:shd w:fill="1E3A8A"/>
            <w:tcMar>
              <w:top w:w="100" w:type="dxa"/>
              <w:bottom w:w="100" w:type="dxa"/>
              <w:left w:w="120" w:type="dxa"/>
              <w:right w:w="120" w:type="dxa"/>
            </w:tcMar>
          </w:tcPr>
          <w:p>
            <w:pPr>
              <w:spacing w:before="40" w:after="40"/>
              <w:jc w:val="left"/>
            </w:pPr>
            <w:r>
              <w:rPr>
                <w:rFonts w:ascii="Calibri" w:hAnsi="Calibri"/>
                <w:b/>
                <w:color w:val="FFFFFF"/>
                <w:sz w:val="19"/>
              </w:rPr>
              <w:t>File Path</w:t>
            </w:r>
          </w:p>
        </w:tc>
        <w:tc>
          <w:tcPr>
            <w:tcW w:type="dxa" w:w="1296"/>
            <w:shd w:fill="1E3A8A"/>
            <w:tcMar>
              <w:top w:w="100" w:type="dxa"/>
              <w:bottom w:w="100" w:type="dxa"/>
              <w:left w:w="120" w:type="dxa"/>
              <w:right w:w="120" w:type="dxa"/>
            </w:tcMar>
          </w:tcPr>
          <w:p>
            <w:pPr>
              <w:spacing w:before="40" w:after="40"/>
              <w:jc w:val="left"/>
            </w:pPr>
            <w:r>
              <w:rPr>
                <w:rFonts w:ascii="Calibri" w:hAnsi="Calibri"/>
                <w:b/>
                <w:color w:val="FFFFFF"/>
                <w:sz w:val="19"/>
              </w:rPr>
              <w:t>Size</w:t>
            </w:r>
          </w:p>
        </w:tc>
        <w:tc>
          <w:tcPr>
            <w:tcW w:type="dxa" w:w="2592"/>
            <w:shd w:fill="1E3A8A"/>
            <w:tcMar>
              <w:top w:w="100" w:type="dxa"/>
              <w:bottom w:w="100" w:type="dxa"/>
              <w:left w:w="120" w:type="dxa"/>
              <w:right w:w="120" w:type="dxa"/>
            </w:tcMar>
          </w:tcPr>
          <w:p>
            <w:pPr>
              <w:spacing w:before="40" w:after="40"/>
              <w:jc w:val="left"/>
            </w:pPr>
            <w:r>
              <w:rPr>
                <w:rFonts w:ascii="Calibri" w:hAnsi="Calibri"/>
                <w:b/>
                <w:color w:val="FFFFFF"/>
                <w:sz w:val="19"/>
              </w:rPr>
              <w:t>SHA-256 Digest</w:t>
            </w:r>
          </w:p>
        </w:tc>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Authoritative Role</w:t>
            </w:r>
          </w:p>
        </w:tc>
      </w:tr>
      <w:tr>
        <w:tc>
          <w:tcPr>
            <w:tcW w:type="dxa" w:w="3600"/>
            <w:shd w:fill="FFFFFF"/>
            <w:tcMar>
              <w:top w:w="80" w:type="dxa"/>
              <w:bottom w:w="80" w:type="dxa"/>
              <w:left w:w="120" w:type="dxa"/>
              <w:right w:w="120" w:type="dxa"/>
            </w:tcMar>
          </w:tcPr>
          <w:p>
            <w:pPr>
              <w:spacing w:before="40" w:after="40"/>
              <w:jc w:val="left"/>
            </w:pPr>
            <w:r>
              <w:rPr>
                <w:rFonts w:ascii="Calibri" w:hAnsi="Calibri"/>
                <w:color w:val="1E293B"/>
                <w:sz w:val="18"/>
              </w:rPr>
              <w:t>DBMS project/bankist.sql</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48,656 B</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3713b6967aaf2ddff1c5ce...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Authoritative (Root CBS)</w:t>
            </w:r>
          </w:p>
        </w:tc>
      </w:tr>
      <w:tr>
        <w:tc>
          <w:tcPr>
            <w:tcW w:type="dxa" w:w="3600"/>
            <w:shd w:fill="F8FAFC"/>
            <w:tcMar>
              <w:top w:w="80" w:type="dxa"/>
              <w:bottom w:w="80" w:type="dxa"/>
              <w:left w:w="120" w:type="dxa"/>
              <w:right w:w="120" w:type="dxa"/>
            </w:tcMar>
          </w:tcPr>
          <w:p>
            <w:pPr>
              <w:spacing w:before="40" w:after="40"/>
              <w:jc w:val="left"/>
            </w:pPr>
            <w:r>
              <w:rPr>
                <w:rFonts w:ascii="Calibri" w:hAnsi="Calibri"/>
                <w:color w:val="1E293B"/>
                <w:sz w:val="18"/>
              </w:rPr>
              <w:t>test/bankist.sql</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48,656 B</w:t>
            </w:r>
          </w:p>
        </w:tc>
        <w:tc>
          <w:tcPr>
            <w:tcW w:type="dxa" w:w="2592"/>
            <w:shd w:fill="F8FAFC"/>
            <w:tcMar>
              <w:top w:w="80" w:type="dxa"/>
              <w:bottom w:w="80" w:type="dxa"/>
              <w:left w:w="120" w:type="dxa"/>
              <w:right w:w="120" w:type="dxa"/>
            </w:tcMar>
          </w:tcPr>
          <w:p>
            <w:pPr>
              <w:spacing w:before="40" w:after="40"/>
              <w:jc w:val="left"/>
            </w:pPr>
            <w:r>
              <w:rPr>
                <w:rFonts w:ascii="Calibri" w:hAnsi="Calibri"/>
                <w:color w:val="1E293B"/>
                <w:sz w:val="18"/>
              </w:rPr>
              <w:t>3713b6967aaf2ddff1c5ce...</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Authoritative (App Copy)</w:t>
            </w:r>
          </w:p>
        </w:tc>
      </w:tr>
      <w:tr>
        <w:tc>
          <w:tcPr>
            <w:tcW w:type="dxa" w:w="3600"/>
            <w:shd w:fill="FFFFFF"/>
            <w:tcMar>
              <w:top w:w="80" w:type="dxa"/>
              <w:bottom w:w="80" w:type="dxa"/>
              <w:left w:w="120" w:type="dxa"/>
              <w:right w:w="120" w:type="dxa"/>
            </w:tcMar>
          </w:tcPr>
          <w:p>
            <w:pPr>
              <w:spacing w:before="40" w:after="40"/>
              <w:jc w:val="left"/>
            </w:pPr>
            <w:r>
              <w:rPr>
                <w:rFonts w:ascii="Calibri" w:hAnsi="Calibri"/>
                <w:color w:val="1E293B"/>
                <w:sz w:val="18"/>
              </w:rPr>
              <w:t>legacy-prototype-express/bankist_mysql.sql</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6,286 B</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e2941acb988f72a4...</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Deprecated Prototype</w:t>
            </w:r>
          </w:p>
        </w:tc>
      </w:tr>
      <w:tr>
        <w:tc>
          <w:tcPr>
            <w:tcW w:type="dxa" w:w="3600"/>
            <w:shd w:fill="F8FAFC"/>
            <w:tcMar>
              <w:top w:w="80" w:type="dxa"/>
              <w:bottom w:w="80" w:type="dxa"/>
              <w:left w:w="120" w:type="dxa"/>
              <w:right w:w="120" w:type="dxa"/>
            </w:tcMar>
          </w:tcPr>
          <w:p>
            <w:pPr>
              <w:spacing w:before="40" w:after="40"/>
              <w:jc w:val="left"/>
            </w:pPr>
            <w:r>
              <w:rPr>
                <w:rFonts w:ascii="Calibri" w:hAnsi="Calibri"/>
                <w:color w:val="1E293B"/>
                <w:sz w:val="18"/>
              </w:rPr>
              <w:t>docs/NORMALIZATION_REPORT_1NF_TO_5NF.md</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14,554 B</w:t>
            </w:r>
          </w:p>
        </w:tc>
        <w:tc>
          <w:tcPr>
            <w:tcW w:type="dxa" w:w="2592"/>
            <w:shd w:fill="F8FAFC"/>
            <w:tcMar>
              <w:top w:w="80" w:type="dxa"/>
              <w:bottom w:w="80" w:type="dxa"/>
              <w:left w:w="120" w:type="dxa"/>
              <w:right w:w="120" w:type="dxa"/>
            </w:tcMar>
          </w:tcPr>
          <w:p>
            <w:pPr>
              <w:spacing w:before="40" w:after="40"/>
              <w:jc w:val="left"/>
            </w:pPr>
            <w:r>
              <w:rPr>
                <w:rFonts w:ascii="Calibri" w:hAnsi="Calibri"/>
                <w:color w:val="1E293B"/>
                <w:sz w:val="18"/>
              </w:rPr>
              <w:t>Documentary Reference</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Academic Reference Only</w:t>
            </w:r>
          </w:p>
        </w:tc>
      </w:tr>
      <w:tr>
        <w:tc>
          <w:tcPr>
            <w:tcW w:type="dxa" w:w="3600"/>
            <w:shd w:fill="FFFFFF"/>
            <w:tcMar>
              <w:top w:w="80" w:type="dxa"/>
              <w:bottom w:w="80" w:type="dxa"/>
              <w:left w:w="120" w:type="dxa"/>
              <w:right w:w="120" w:type="dxa"/>
            </w:tcMar>
          </w:tcPr>
          <w:p>
            <w:pPr>
              <w:spacing w:before="40" w:after="40"/>
              <w:jc w:val="left"/>
            </w:pPr>
            <w:r>
              <w:rPr>
                <w:rFonts w:ascii="Calibri" w:hAnsi="Calibri"/>
                <w:color w:val="1E293B"/>
                <w:sz w:val="18"/>
              </w:rPr>
              <w:t>docs/DATABASE_SCHEMA_DICTIONARY.md</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11,163 B</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Documentary Reference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Schema Dictionary</w:t>
            </w:r>
          </w:p>
        </w:tc>
      </w:tr>
    </w:tbl>
    <w:p>
      <w:pPr>
        <w:spacing w:after="120"/>
      </w:pPr>
      <w:r>
        <w:br/>
        <w:t>Findings from Cryptographic Comparison: The two primary schema files—'DBMS project/bankist.sql' and the nested 'DBMS project/JM-DH-BANKING-SYSTEM-main/JM-DH-BANKING-SYSTEM-main/test/bankist.sql'—are byte-for-byte identical, both producing the exact SHA-256 digest: 3713b6967aaf2ddff1c5ce76e38a6f8ed7268f7f045f3a2e8b53cd2967b369ad. Both files represent the definitive source DDL for the project. 'DBMS project/bankist.sql' was designated as the primary authoritative source for the architecture.</w:t>
      </w:r>
    </w:p>
    <w:p>
      <w:pPr>
        <w:spacing w:after="120"/>
      </w:pPr>
      <w:r>
        <w:t>Critical Review of Existing Normalization Documentation: The existing documentation file 'docs/NORMALIZATION_REPORT_1NF_TO_5NF.md' was reviewed critically. While mathematically sound in defining classical normal forms, the report was found to be largely hypothetical: it analyzed an academic universal relation (R_universal) and a hypothetical advisor assignment table (R_advisory) rather than decomposing the actual, tangible normalization violations embedded in the real 'bankist.sql' tables (such as accounts.branch_name, customers.nominee_*, and customers.card_pin). This document rectifies that gap by normalizing the real system.</w:t>
      </w:r>
    </w:p>
    <w:p>
      <w:pPr>
        <w:pStyle w:val="Heading1"/>
        <w:keepNext/>
        <w:spacing w:before="320" w:after="120"/>
      </w:pPr>
      <w:r>
        <w:rPr>
          <w:rFonts w:ascii="Calibri" w:hAnsi="Calibri"/>
          <w:b/>
          <w:color w:val="1E3A8A"/>
          <w:sz w:val="32"/>
        </w:rPr>
        <w:t>3. Original Schema Tables, Columns, and Relationships</w:t>
      </w:r>
    </w:p>
    <w:p>
      <w:pPr>
        <w:spacing w:after="120"/>
      </w:pPr>
      <w:r>
        <w:t>The original database schema defined 11 base tables and 3 database views in MySQL 8.0. Below is the structural summary of the pre-normalization schema as defined in 'bankist.sql':</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Table Name</w:t>
            </w:r>
          </w:p>
        </w:tc>
        <w:tc>
          <w:tcPr>
            <w:tcW w:type="dxa" w:w="1584"/>
            <w:shd w:fill="1E3A8A"/>
            <w:tcMar>
              <w:top w:w="100" w:type="dxa"/>
              <w:bottom w:w="100" w:type="dxa"/>
              <w:left w:w="120" w:type="dxa"/>
              <w:right w:w="120" w:type="dxa"/>
            </w:tcMar>
          </w:tcPr>
          <w:p>
            <w:pPr>
              <w:spacing w:before="40" w:after="40"/>
              <w:jc w:val="left"/>
            </w:pPr>
            <w:r>
              <w:rPr>
                <w:rFonts w:ascii="Calibri" w:hAnsi="Calibri"/>
                <w:b/>
                <w:color w:val="FFFFFF"/>
                <w:sz w:val="19"/>
              </w:rPr>
              <w:t>Primary Key</w:t>
            </w:r>
          </w:p>
        </w:tc>
        <w:tc>
          <w:tcPr>
            <w:tcW w:type="dxa" w:w="3168"/>
            <w:shd w:fill="1E3A8A"/>
            <w:tcMar>
              <w:top w:w="100" w:type="dxa"/>
              <w:bottom w:w="100" w:type="dxa"/>
              <w:left w:w="120" w:type="dxa"/>
              <w:right w:w="120" w:type="dxa"/>
            </w:tcMar>
          </w:tcPr>
          <w:p>
            <w:pPr>
              <w:spacing w:before="40" w:after="40"/>
              <w:jc w:val="left"/>
            </w:pPr>
            <w:r>
              <w:rPr>
                <w:rFonts w:ascii="Calibri" w:hAnsi="Calibri"/>
                <w:b/>
                <w:color w:val="FFFFFF"/>
                <w:sz w:val="19"/>
              </w:rPr>
              <w:t>Key Attributes / Foreign Keys</w:t>
            </w:r>
          </w:p>
        </w:tc>
        <w:tc>
          <w:tcPr>
            <w:tcW w:type="dxa" w:w="2448"/>
            <w:shd w:fill="1E3A8A"/>
            <w:tcMar>
              <w:top w:w="100" w:type="dxa"/>
              <w:bottom w:w="100" w:type="dxa"/>
              <w:left w:w="120" w:type="dxa"/>
              <w:right w:w="120" w:type="dxa"/>
            </w:tcMar>
          </w:tcPr>
          <w:p>
            <w:pPr>
              <w:spacing w:before="40" w:after="40"/>
              <w:jc w:val="left"/>
            </w:pPr>
            <w:r>
              <w:rPr>
                <w:rFonts w:ascii="Calibri" w:hAnsi="Calibri"/>
                <w:b/>
                <w:color w:val="FFFFFF"/>
                <w:sz w:val="19"/>
              </w:rPr>
              <w:t>Original Domain Role</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customers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customer_id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email (UK), phone, password_hash, nominee_*, card_pin*</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Master user profiles &amp; embedded credentials</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account_number</w:t>
            </w:r>
          </w:p>
        </w:tc>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customer_id (FK), balance, ifsc_code, branch_name, card_pin*</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Deposit ledgers with redundant branch names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transactions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transaction_id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sender_account, receiver_account, amount, reference_number (UK)</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Financial ledger (internal &amp; external rails)</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deposits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deposit_id</w:t>
            </w:r>
          </w:p>
        </w:tc>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customer_id (FK), linked_account, principal, tenure, maturity</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Fixed &amp; Recurring deposit contracts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beneficiaries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beneficiary_id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customer_id (FK), account_number, ifsc_code, transfer_limit</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Whitelisted fund transfer recipients</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kyc_verifications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verification_id</w:t>
            </w:r>
          </w:p>
        </w:tc>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customer_id (FK), document_type, document_number, status</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Regulatory KYC identity documents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branches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branch_id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ifsc_code (UK), branch_name, city, address, timing, phone</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Physical branch directory &amp; IFSC clearing</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otp_sessions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session_id</w:t>
            </w:r>
          </w:p>
        </w:tc>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identifier, purpose, otp_code (plaintext), otp_hash, expires_at</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Two-factor authentication challenges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security_rate_limits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key_id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attempts, last_attempt_at, locked_until</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Brute-force protection tracking</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account_lien_records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lien_id</w:t>
            </w:r>
          </w:p>
        </w:tc>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account_number (FK RESTRICT), lien_amount, lien_reason</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Legal holds and fund freezes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audit_logs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log_id</w:t>
            </w:r>
          </w:p>
        </w:tc>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customer_id, action, entity_type, entity_id, timestamp</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Security &amp; administrative event audit trail</w:t>
            </w:r>
          </w:p>
        </w:tc>
      </w:tr>
    </w:tbl>
    <w:p>
      <w:pPr>
        <w:spacing w:after="120"/>
      </w:pPr>
    </w:p>
    <w:p>
      <w:pPr>
        <w:pStyle w:val="Heading1"/>
        <w:keepNext/>
        <w:spacing w:before="320" w:after="120"/>
      </w:pPr>
      <w:r>
        <w:rPr>
          <w:rFonts w:ascii="Calibri" w:hAnsi="Calibri"/>
          <w:b/>
          <w:color w:val="1E3A8A"/>
          <w:sz w:val="32"/>
        </w:rPr>
        <w:t>4. Problems Discovered in the Original Schema, with Specific Examples</w:t>
      </w:r>
    </w:p>
    <w:p>
      <w:pPr>
        <w:spacing w:after="120"/>
      </w:pPr>
      <w:r>
        <w:t>A rigorous empirical audit of the original schema revealed significant architectural flaws and normalization violations that compromised data integrity, storage efficiency, and security.</w:t>
      </w:r>
    </w:p>
    <w:p>
      <w:pPr>
        <w:pStyle w:val="Heading2"/>
        <w:keepNext/>
        <w:spacing w:before="240" w:after="80"/>
      </w:pPr>
      <w:r>
        <w:rPr>
          <w:rFonts w:ascii="Calibri" w:hAnsi="Calibri"/>
          <w:b/>
          <w:color w:val="2563EB"/>
          <w:sz w:val="26"/>
        </w:rPr>
        <w:t>4.1 Transitive Functional Dependency in 'accounts' (Violation of 3NF)</w:t>
      </w:r>
    </w:p>
    <w:p>
      <w:pPr>
        <w:spacing w:after="80"/>
      </w:pPr>
      <w:r>
        <w:t>The 'accounts' table stored both 'ifsc_code' and 'branch_name'. In banking domain rules, an IFSC clearing code uniquely determines the branch title: ifsc_code -&gt; branch_name. Because account_number -&gt; ifsc_code and ifsc_code -&gt; branch_name, there exists a direct Transitive Dependency: account_number -&gt; ifsc_code -&gt; branch_name. Furthermore, ifsc_code is not a superkey of 'accounts', and branch_name is a non-prime attribute. This directly violates Third Normal Form (3NF).</w:t>
      </w:r>
    </w:p>
    <w:p>
      <w:pPr>
        <w:spacing w:after="120"/>
      </w:pPr>
      <w:r>
        <w:t>Operational Consequences:</w:t>
        <w:br/>
        <w:t>• Update Anomaly: Renaming a branch (e.g., from 'Downtown Central' to 'Downtown Metro') required updating hundreds of account rows. A partial failure leaves contradictory branch names across accounts domiciled at the exact same branch.</w:t>
        <w:br/>
        <w:t>• Insertion Anomaly: Creating an account required redundant input of the branch name string, inviting typos (e.g., 'Mumbai Nariman Point Hub' vs 'Mumbai Nariman Pt').</w:t>
        <w:br/>
        <w:t>• Deletion Anomaly: Redundant string storage bloated index and table spaces.</w:t>
      </w:r>
    </w:p>
    <w:p>
      <w:pPr>
        <w:pStyle w:val="Heading2"/>
        <w:keepNext/>
        <w:spacing w:before="240" w:after="80"/>
      </w:pPr>
      <w:r>
        <w:rPr>
          <w:rFonts w:ascii="Calibri" w:hAnsi="Calibri"/>
          <w:b/>
          <w:color w:val="2563EB"/>
          <w:sz w:val="26"/>
        </w:rPr>
        <w:t>4.2 Missing Foreign Key Constraint on Branch IFSC (Referential Integrity Anomaly)</w:t>
      </w:r>
    </w:p>
    <w:p>
      <w:pPr>
        <w:spacing w:after="120"/>
      </w:pPr>
      <w:r>
        <w:t>In the original DDL for 'accounts', although line 63 declared 'ifsc_code VARCHAR(20) NOT NULL', no FOREIGN KEY constraint was declared referencing 'branches(ifsc_code)'. During our live database audit, we discovered that account 'ACC-261709' (Customer 'CUST-106') was assigned ifsc_code = 'BNKST0001' with branch_name = 'Downtown Central'. However, the 'branches' directory table contained only 8 branches with IFSC codes BTBI0001024 through BTBI0008044! 'BNKST0001' did not exist in 'branches'. Because the constraint was missing, an orphan reference persisted unnoticed.</w:t>
      </w:r>
    </w:p>
    <w:p>
      <w:pPr>
        <w:pStyle w:val="Heading2"/>
        <w:keepNext/>
        <w:spacing w:before="240" w:after="80"/>
      </w:pPr>
      <w:r>
        <w:rPr>
          <w:rFonts w:ascii="Calibri" w:hAnsi="Calibri"/>
          <w:b/>
          <w:color w:val="2563EB"/>
          <w:sz w:val="26"/>
        </w:rPr>
        <w:t>4.3 Embedded Nominee Attributes in 'customers' (1NF &amp; 3NF Single Responsibility Violation)</w:t>
      </w:r>
    </w:p>
    <w:p>
      <w:pPr>
        <w:spacing w:after="120"/>
      </w:pPr>
      <w:r>
        <w:t>The 'customers' table embedded columns 'nominee_name', 'nominee_relation', and 'nominee_dob'. In financial systems, a nominee is a distinct legal beneficiary. Customers often have multiple accounts with different nominees or multiple nominees per account with percentage allocations (e.g., 60% spouse, 40% child). Embedding a single nominee in 'customers' violates 1NF by artificially flattening a 1:N relationship into scalar columns, and violates 3NF by placing nominee demographic attributes inside the customer profile.</w:t>
      </w:r>
    </w:p>
    <w:p>
      <w:pPr>
        <w:pStyle w:val="Heading2"/>
        <w:keepNext/>
        <w:spacing w:before="240" w:after="80"/>
      </w:pPr>
      <w:r>
        <w:rPr>
          <w:rFonts w:ascii="Calibri" w:hAnsi="Calibri"/>
          <w:b/>
          <w:color w:val="2563EB"/>
          <w:sz w:val="26"/>
        </w:rPr>
        <w:t>4.4 Debit Card Credentials Embedded Across Multiple Tables (1NF &amp; Security Violation)</w:t>
      </w:r>
    </w:p>
    <w:p>
      <w:pPr>
        <w:spacing w:after="120"/>
      </w:pPr>
      <w:r>
        <w:t>Debit card credentials ('card_pin' and 'card_pin_hash') were stored in two separate tables: 'customers' and 'accounts'. A debit card is an account-linked payment instrument, not a customer demographic attribute. If a customer holds both a Savings and a Current Account, storing a card PIN on 'customers' creates an ambiguity. Furthermore, storing plaintext PINs ('card_pin') violates RBI guidelines and PCI-DSS compliance.</w:t>
      </w:r>
    </w:p>
    <w:p>
      <w:pPr>
        <w:pStyle w:val="Heading2"/>
        <w:keepNext/>
        <w:spacing w:before="240" w:after="80"/>
      </w:pPr>
      <w:r>
        <w:rPr>
          <w:rFonts w:ascii="Calibri" w:hAnsi="Calibri"/>
          <w:b/>
          <w:color w:val="2563EB"/>
          <w:sz w:val="26"/>
        </w:rPr>
        <w:t>4.5 Domain Overloading in 'transactions'</w:t>
      </w:r>
    </w:p>
    <w:p>
      <w:pPr>
        <w:spacing w:after="120"/>
      </w:pPr>
      <w:r>
        <w:t>In 'transactions', columns 'sender_account' and 'receiver_account' were overloaded: they held internal bank account numbers (e.g., 'ACC-772910'), NULL for cash deposits/withdrawals, and external UPI Virtual Payment Addresses (VPAs, e.g., 'priya.nair@okhdfcbank'). Mixing internal account keys with external payment handles precluded standard foreign key enforcement and violated atomic domain modeling.</w:t>
      </w:r>
    </w:p>
    <w:p>
      <w:pPr>
        <w:pStyle w:val="Heading1"/>
        <w:keepNext/>
        <w:spacing w:before="320" w:after="120"/>
      </w:pPr>
      <w:r>
        <w:rPr>
          <w:rFonts w:ascii="Calibri" w:hAnsi="Calibri"/>
          <w:b/>
          <w:color w:val="1E3A8A"/>
          <w:sz w:val="32"/>
        </w:rPr>
        <w:t>5. Functional Dependencies and Candidate Keys</w:t>
      </w:r>
    </w:p>
    <w:p>
      <w:pPr>
        <w:spacing w:after="120"/>
      </w:pPr>
      <w:r>
        <w:t>To establish formal mathematical rigor, we define the full set of Functional Dependencies (FDs) and determine the minimal Candidate Keys for all core entities.</w:t>
      </w:r>
    </w:p>
    <w:p>
      <w:pPr>
        <w:pStyle w:val="Heading2"/>
        <w:keepNext/>
        <w:spacing w:before="240" w:after="80"/>
      </w:pPr>
      <w:r>
        <w:rPr>
          <w:rFonts w:ascii="Calibri" w:hAnsi="Calibri"/>
          <w:b/>
          <w:color w:val="2563EB"/>
          <w:sz w:val="26"/>
        </w:rPr>
        <w:t>5.1 Functional Dependencies by Relation</w:t>
      </w:r>
    </w:p>
    <w:p>
      <w:pPr>
        <w:spacing w:after="120"/>
      </w:pPr>
      <w:r>
        <w:t>1. Relation R_branches:</w:t>
        <w:br/>
        <w:t xml:space="preserve">   • f1: branch_id -&gt; {ifsc_code, branch_name, city, address, timing, phone, status}</w:t>
        <w:br/>
        <w:t xml:space="preserve">   • f2: ifsc_code -&gt; {branch_id, branch_name, city, address, timing, phone, status}</w:t>
        <w:br/>
        <w:t xml:space="preserve">   Candidate Keys: CK1 = {branch_id}, CK2 = {ifsc_code}</w:t>
        <w:br/>
        <w:br/>
        <w:t>2. Relation R_customers (Pre-decomposition):</w:t>
        <w:br/>
        <w:t xml:space="preserve">   • f3: customer_id -&gt; {full_name, email, phone, dob, address, created_at, status, kyc_status, password_hash, credit_score, tier, pan_number, aadhaar_number, gender, father_name, marital_status, occupation, annual_income, nominee_name, nominee_relation, nominee_dob, signature_data, avatar_data, card_pin, card_pin_hash}</w:t>
        <w:br/>
        <w:t xml:space="preserve">   • f4: email -&gt; {customer_id, full_name, phone, ...}</w:t>
        <w:br/>
        <w:t xml:space="preserve">   • f5: pan_number -&gt; {customer_id, full_name, ...} (when non-null)</w:t>
        <w:br/>
        <w:t xml:space="preserve">   Candidate Keys: CK1 = {customer_id}, CK2 = {email}, CK3 = {pan_number}</w:t>
        <w:br/>
        <w:br/>
        <w:t>3. Relation R_accounts (Pre-decomposition):</w:t>
        <w:br/>
        <w:t xml:space="preserve">   • f6: account_number -&gt; {customer_id, account_type, balance, ifsc_code, branch_name, opening_date, status, card_pin, card_pin_hash}</w:t>
        <w:br/>
        <w:t xml:space="preserve">   • f7: ifsc_code -&gt; {branch_name} (Transitive violation in R_accounts)</w:t>
        <w:br/>
        <w:t xml:space="preserve">   Candidate Key: CK = {account_number}</w:t>
        <w:br/>
        <w:br/>
        <w:t>4. Relation R_transactions:</w:t>
        <w:br/>
        <w:t xml:space="preserve">   • f8: transaction_id -&gt; {sender_account, receiver_account, amount, type, date_time, status, description, reference_number}</w:t>
        <w:br/>
        <w:t xml:space="preserve">   • f9: reference_number -&gt; {transaction_id, amount, date_time, ...} (when non-null UTR)</w:t>
        <w:br/>
        <w:t xml:space="preserve">   Candidate Keys: CK1 = {transaction_id}, CK2 = {reference_number}</w:t>
        <w:br/>
        <w:br/>
        <w:t>5. Relation R_deposits:</w:t>
        <w:br/>
        <w:t xml:space="preserve">   • f10: deposit_id -&gt; {customer_id, linked_account, deposit_type, principal_amount, interest_rate, tenure_months, maturity_amount, maturity_date, status, created_at}</w:t>
        <w:br/>
        <w:t xml:space="preserve">   Candidate Key: CK = {deposit_id}</w:t>
        <w:br/>
        <w:br/>
        <w:t>6. Relation R_beneficiaries:</w:t>
        <w:br/>
        <w:t xml:space="preserve">   • f11: beneficiary_id -&gt; {customer_id, beneficiary_name, account_number, ifsc_code, bank_name, transfer_limit, cooling_until, is_active}</w:t>
        <w:br/>
        <w:t xml:space="preserve">   • f12: {customer_id, account_number, ifsc_code} -&gt; {beneficiary_id, beneficiary_name, ...}</w:t>
        <w:br/>
        <w:t xml:space="preserve">   Candidate Keys: CK1 = {beneficiary_id}, CK2 = {customer_id, account_number, ifsc_code}</w:t>
      </w:r>
    </w:p>
    <w:p>
      <w:pPr>
        <w:pStyle w:val="Heading1"/>
        <w:keepNext/>
        <w:spacing w:before="320" w:after="120"/>
      </w:pPr>
      <w:r>
        <w:rPr>
          <w:rFonts w:ascii="Calibri" w:hAnsi="Calibri"/>
          <w:b/>
          <w:color w:val="1E3A8A"/>
          <w:sz w:val="32"/>
        </w:rPr>
        <w:t>6. Step-by-Step Conversion to 1NF, 2NF, 3NF, and BCNF</w:t>
      </w:r>
    </w:p>
    <w:p>
      <w:pPr>
        <w:spacing w:after="120"/>
      </w:pPr>
      <w:r>
        <w:t>We trace the formal mathematical normalization progression across each normal form stage:</w:t>
      </w:r>
    </w:p>
    <w:p>
      <w:pPr>
        <w:pStyle w:val="Heading2"/>
        <w:keepNext/>
        <w:spacing w:before="240" w:after="80"/>
      </w:pPr>
      <w:r>
        <w:rPr>
          <w:rFonts w:ascii="Calibri" w:hAnsi="Calibri"/>
          <w:b/>
          <w:color w:val="2563EB"/>
          <w:sz w:val="26"/>
        </w:rPr>
        <w:t>6.1 First Normal Form (1NF)</w:t>
      </w:r>
    </w:p>
    <w:p>
      <w:pPr>
        <w:spacing w:after="120"/>
      </w:pPr>
      <w:r>
        <w:t>Definition: A relation R is in 1NF if and only if all attribute values are atomic (indivisible scalars) and there are no repeating groups, comma-separated lists, or embedded record sets.</w:t>
        <w:br/>
        <w:br/>
        <w:t>Audit &amp; Resolution:</w:t>
        <w:br/>
        <w:t>• Nominee attributes ('nominee_name', 'nominee_relation', 'nominee_dob') embedded in 'customers' constituted an unnormalized repeating group that restricted each customer to exactly one nominee. Decomposed into 'customer_nominees'.</w:t>
        <w:br/>
        <w:t>• KYC identity document records were verified to reside in separate relation rows ('kyc_verifications') rather than JSON arrays.</w:t>
        <w:br/>
        <w:t>• Result: All attribute domains in the normalized schema are atomic scalars. 1NF is strictly satisfied.</w:t>
      </w:r>
    </w:p>
    <w:p>
      <w:pPr>
        <w:pStyle w:val="Heading2"/>
        <w:keepNext/>
        <w:spacing w:before="240" w:after="80"/>
      </w:pPr>
      <w:r>
        <w:rPr>
          <w:rFonts w:ascii="Calibri" w:hAnsi="Calibri"/>
          <w:b/>
          <w:color w:val="2563EB"/>
          <w:sz w:val="26"/>
        </w:rPr>
        <w:t>6.2 Second Normal Form (2NF)</w:t>
      </w:r>
    </w:p>
    <w:p>
      <w:pPr>
        <w:spacing w:after="120"/>
      </w:pPr>
      <w:r>
        <w:t>Definition: A relation R is in 2NF if and only if it is in 1NF and no non-prime attribute is partially dependent on any proper subset of any candidate key.</w:t>
        <w:br/>
        <w:br/>
        <w:t>Theorem: If every candidate key of a relation consists of a single attribute, the relation is automatically in 2NF.</w:t>
        <w:br/>
        <w:br/>
        <w:t>Audit &amp; Resolution:</w:t>
        <w:br/>
        <w:t>• In all core entities ('customers', 'accounts', 'transactions', 'deposits', 'branches', 'account_card_credentials'), the primary keys are single attributes (e.g., 'customer_id', 'account_number', 'branch_id', 'credential_id'). Therefore, no proper subset exists, precluding any partial key dependency.</w:t>
        <w:br/>
        <w:t>• In 'customer_nominees', the candidate key {customer_id, nominee_name} fully determines {relationship, dob, allocation_percentage}. Neither attribute alone determines the relationship. 2NF is strictly satisfied.</w:t>
      </w:r>
    </w:p>
    <w:p>
      <w:pPr>
        <w:pStyle w:val="Heading2"/>
        <w:keepNext/>
        <w:spacing w:before="240" w:after="80"/>
      </w:pPr>
      <w:r>
        <w:rPr>
          <w:rFonts w:ascii="Calibri" w:hAnsi="Calibri"/>
          <w:b/>
          <w:color w:val="2563EB"/>
          <w:sz w:val="26"/>
        </w:rPr>
        <w:t>6.3 Third Normal Form (3NF)</w:t>
      </w:r>
    </w:p>
    <w:p>
      <w:pPr>
        <w:spacing w:after="120"/>
      </w:pPr>
      <w:r>
        <w:t>Definition: A relation R is in 3NF if and only if it is in 2NF and for every non-trivial functional dependency X -&gt; Y in F+:</w:t>
        <w:br/>
        <w:t>1. X is a superkey of R, OR</w:t>
        <w:br/>
        <w:t>2. Every attribute in Y \ X is a prime attribute (member of a candidate key).</w:t>
        <w:br/>
        <w:br/>
        <w:t>Audit &amp; Resolution:</w:t>
        <w:br/>
        <w:t>• Transitive Dependency in 'accounts': account_number -&gt; ifsc_code and ifsc_code -&gt; branch_name. Because ifsc_code is not a superkey and branch_name is not prime, this violated 3NF.</w:t>
        <w:br/>
        <w:t>• Decomposition Proof (Lossless Join via Heath's Theorem):</w:t>
        <w:br/>
        <w:t xml:space="preserve">  Let R = accounts(account_number, customer_id, account_type, balance, ifsc_code, branch_name).</w:t>
        <w:br/>
        <w:t xml:space="preserve">  Decompose R into:</w:t>
        <w:br/>
        <w:t xml:space="preserve">    R1 = branches(ifsc_code, branch_name, city, address, timing, phone)</w:t>
        <w:br/>
        <w:t xml:space="preserve">    R2 = accounts_norm(account_number, customer_id, account_type, balance, ifsc_code)</w:t>
        <w:br/>
        <w:t xml:space="preserve">  Intersection: R1 ∩ R2 = {ifsc_code}.</w:t>
        <w:br/>
        <w:t xml:space="preserve">  In R1, ifsc_code is a candidate key: ifsc_code -&gt; R1.</w:t>
        <w:br/>
        <w:t xml:space="preserve">  Since (R1 ∩ R2) -&gt; R1, Heath's Theorem guarantees that R1 ⨝ R2 = R without spurious tuples (Strictly Lossless).</w:t>
        <w:br/>
        <w:t xml:space="preserve">  Dependency Preservation: account_number -&gt; ifsc_code is enforced in R2; ifsc_code -&gt; branch_name is enforced in R1.   All dependencies are preserved without requiring cross-table joins during insertion.</w:t>
      </w:r>
    </w:p>
    <w:p>
      <w:pPr>
        <w:pStyle w:val="Heading2"/>
        <w:keepNext/>
        <w:spacing w:before="240" w:after="80"/>
      </w:pPr>
      <w:r>
        <w:rPr>
          <w:rFonts w:ascii="Calibri" w:hAnsi="Calibri"/>
          <w:b/>
          <w:color w:val="2563EB"/>
          <w:sz w:val="26"/>
        </w:rPr>
        <w:t>6.4 Boyce-Codd Normal Form (BCNF)</w:t>
      </w:r>
    </w:p>
    <w:p>
      <w:pPr>
        <w:spacing w:after="120"/>
      </w:pPr>
      <w:r>
        <w:t>Definition: A relation R is in BCNF if and only if for every non-trivial functional dependency X -&gt; Y in F+, X is a superkey of R.</w:t>
        <w:br/>
        <w:t>(BCNF eliminates the 3NF exception for prime attributes on the right-hand side, removing all determinant-based redundancy).</w:t>
        <w:br/>
        <w:br/>
        <w:t>Audit of Normalized Entities:</w:t>
        <w:br/>
        <w:t>• 'branches': Determinants are {branch_id} and {ifsc_code}, both of which are candidate keys. BCNF Satisfied.</w:t>
        <w:br/>
        <w:t>• 'customers': Determinants are {customer_id}, {email}, and {pan_number}, all superkeys. BCNF Satisfied.</w:t>
        <w:br/>
        <w:t>• 'customer_nominees': Determinant is {nominee_id} and {customer_id, nominee_name}, both superkeys. BCNF Satisfied.</w:t>
        <w:br/>
        <w:t>• 'accounts': Determinant is {account_number}, which is the candidate key. BCNF Satisfied.</w:t>
        <w:br/>
        <w:t>• 'account_card_credentials': Determinants are {credential_id} and {account_number, customer_id}, both superkeys. BCNF Satisfied.</w:t>
        <w:br/>
        <w:t>• 'deposits', 'beneficiaries', 'transactions', 'kyc_verifications': All determinants are superkeys. BCNF Satisfied.</w:t>
      </w:r>
    </w:p>
    <w:p>
      <w:pPr>
        <w:pStyle w:val="Heading1"/>
        <w:keepNext/>
        <w:spacing w:before="320" w:after="120"/>
      </w:pPr>
      <w:r>
        <w:rPr>
          <w:rFonts w:ascii="Calibri" w:hAnsi="Calibri"/>
          <w:b/>
          <w:color w:val="1E3A8A"/>
          <w:sz w:val="32"/>
        </w:rPr>
        <w:t>7. Before-and-After Examples for Every Significant Decomposition</w:t>
      </w:r>
    </w:p>
    <w:p>
      <w:pPr>
        <w:spacing w:after="120"/>
      </w:pPr>
      <w:r>
        <w:t>Below are real record-level instances demonstrating the schema before and after each major decomposition:</w:t>
      </w:r>
    </w:p>
    <w:p>
      <w:pPr>
        <w:pStyle w:val="Heading2"/>
        <w:keepNext/>
        <w:spacing w:before="240" w:after="80"/>
      </w:pPr>
      <w:r>
        <w:rPr>
          <w:rFonts w:ascii="Calibri" w:hAnsi="Calibri"/>
          <w:b/>
          <w:color w:val="2563EB"/>
          <w:sz w:val="26"/>
        </w:rPr>
        <w:t>7.1 Decomposition of 'accounts' (Elimination of 'branch_name')</w:t>
      </w:r>
    </w:p>
    <w:p>
      <w:r>
        <w:t>BEFORE Normalization ('accounts'):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account_number</w:t>
            </w:r>
          </w:p>
        </w:tc>
        <w:tc>
          <w:tcPr>
            <w:tcW w:type="dxa" w:w="1728"/>
            <w:shd w:fill="1E3A8A"/>
            <w:tcMar>
              <w:top w:w="100" w:type="dxa"/>
              <w:bottom w:w="100" w:type="dxa"/>
              <w:left w:w="120" w:type="dxa"/>
              <w:right w:w="120" w:type="dxa"/>
            </w:tcMar>
          </w:tcPr>
          <w:p>
            <w:pPr>
              <w:spacing w:before="40" w:after="40"/>
              <w:jc w:val="left"/>
            </w:pPr>
            <w:r>
              <w:rPr>
                <w:rFonts w:ascii="Calibri" w:hAnsi="Calibri"/>
                <w:b/>
                <w:color w:val="FFFFFF"/>
                <w:sz w:val="19"/>
              </w:rPr>
              <w:t>customer_id</w:t>
            </w:r>
          </w:p>
        </w:tc>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ifsc_code</w:t>
            </w:r>
          </w:p>
        </w:tc>
        <w:tc>
          <w:tcPr>
            <w:tcW w:type="dxa" w:w="3312"/>
            <w:shd w:fill="1E3A8A"/>
            <w:tcMar>
              <w:top w:w="100" w:type="dxa"/>
              <w:bottom w:w="100" w:type="dxa"/>
              <w:left w:w="120" w:type="dxa"/>
              <w:right w:w="120" w:type="dxa"/>
            </w:tcMar>
          </w:tcPr>
          <w:p>
            <w:pPr>
              <w:spacing w:before="40" w:after="40"/>
              <w:jc w:val="left"/>
            </w:pPr>
            <w:r>
              <w:rPr>
                <w:rFonts w:ascii="Calibri" w:hAnsi="Calibri"/>
                <w:b/>
                <w:color w:val="FFFFFF"/>
                <w:sz w:val="19"/>
              </w:rPr>
              <w:t>branch_name</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ACC-772910</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CUST-101</w:t>
            </w:r>
          </w:p>
        </w:tc>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BTBI0001024</w:t>
            </w:r>
          </w:p>
        </w:tc>
        <w:tc>
          <w:tcPr>
            <w:tcW w:type="dxa" w:w="3312"/>
            <w:shd w:fill="FFFFFF"/>
            <w:tcMar>
              <w:top w:w="80" w:type="dxa"/>
              <w:bottom w:w="80" w:type="dxa"/>
              <w:left w:w="120" w:type="dxa"/>
              <w:right w:w="120" w:type="dxa"/>
            </w:tcMar>
          </w:tcPr>
          <w:p>
            <w:pPr>
              <w:spacing w:before="40" w:after="40"/>
              <w:jc w:val="left"/>
            </w:pPr>
            <w:r>
              <w:rPr>
                <w:rFonts w:ascii="Calibri" w:hAnsi="Calibri"/>
                <w:color w:val="1E293B"/>
                <w:sz w:val="18"/>
              </w:rPr>
              <w:t>Mumbai Nariman Point Hub</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ACC-775741</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CUST-107</w:t>
            </w:r>
          </w:p>
        </w:tc>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BTBI0001024</w:t>
            </w:r>
          </w:p>
        </w:tc>
        <w:tc>
          <w:tcPr>
            <w:tcW w:type="dxa" w:w="3312"/>
            <w:shd w:fill="F8FAFC"/>
            <w:tcMar>
              <w:top w:w="80" w:type="dxa"/>
              <w:bottom w:w="80" w:type="dxa"/>
              <w:left w:w="120" w:type="dxa"/>
              <w:right w:w="120" w:type="dxa"/>
            </w:tcMar>
          </w:tcPr>
          <w:p>
            <w:pPr>
              <w:spacing w:before="40" w:after="40"/>
              <w:jc w:val="left"/>
            </w:pPr>
            <w:r>
              <w:rPr>
                <w:rFonts w:ascii="Calibri" w:hAnsi="Calibri"/>
                <w:color w:val="1E293B"/>
                <w:sz w:val="18"/>
              </w:rPr>
              <w:t>Mumbai Nariman Point Hub</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ACC-215853</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CUST-108</w:t>
            </w:r>
          </w:p>
        </w:tc>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BTBI0001024</w:t>
            </w:r>
          </w:p>
        </w:tc>
        <w:tc>
          <w:tcPr>
            <w:tcW w:type="dxa" w:w="3312"/>
            <w:shd w:fill="FFFFFF"/>
            <w:tcMar>
              <w:top w:w="80" w:type="dxa"/>
              <w:bottom w:w="80" w:type="dxa"/>
              <w:left w:w="120" w:type="dxa"/>
              <w:right w:w="120" w:type="dxa"/>
            </w:tcMar>
          </w:tcPr>
          <w:p>
            <w:pPr>
              <w:spacing w:before="40" w:after="40"/>
              <w:jc w:val="left"/>
            </w:pPr>
            <w:r>
              <w:rPr>
                <w:rFonts w:ascii="Calibri" w:hAnsi="Calibri"/>
                <w:color w:val="1E293B"/>
                <w:sz w:val="18"/>
              </w:rPr>
              <w:t>Mumbai Nariman Point Hub</w:t>
            </w:r>
          </w:p>
        </w:tc>
      </w:tr>
    </w:tbl>
    <w:p>
      <w:r>
        <w:br/>
        <w:t>AFTER Normalization ('accounts' in BCNF + 'branches' in BCNF):</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3A8A"/>
            <w:tcMar>
              <w:top w:w="100" w:type="dxa"/>
              <w:bottom w:w="100" w:type="dxa"/>
              <w:left w:w="120" w:type="dxa"/>
              <w:right w:w="120" w:type="dxa"/>
            </w:tcMar>
          </w:tcPr>
          <w:p>
            <w:pPr>
              <w:spacing w:before="40" w:after="40"/>
              <w:jc w:val="left"/>
            </w:pPr>
            <w:r>
              <w:rPr>
                <w:rFonts w:ascii="Calibri" w:hAnsi="Calibri"/>
                <w:b/>
                <w:color w:val="FFFFFF"/>
                <w:sz w:val="19"/>
              </w:rPr>
              <w:t>account_number</w:t>
            </w:r>
          </w:p>
        </w:tc>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customer_id</w:t>
            </w:r>
          </w:p>
        </w:tc>
        <w:tc>
          <w:tcPr>
            <w:tcW w:type="dxa" w:w="4608"/>
            <w:shd w:fill="1E3A8A"/>
            <w:tcMar>
              <w:top w:w="100" w:type="dxa"/>
              <w:bottom w:w="100" w:type="dxa"/>
              <w:left w:w="120" w:type="dxa"/>
              <w:right w:w="120" w:type="dxa"/>
            </w:tcMar>
          </w:tcPr>
          <w:p>
            <w:pPr>
              <w:spacing w:before="40" w:after="40"/>
              <w:jc w:val="left"/>
            </w:pPr>
            <w:r>
              <w:rPr>
                <w:rFonts w:ascii="Calibri" w:hAnsi="Calibri"/>
                <w:b/>
                <w:color w:val="FFFFFF"/>
                <w:sz w:val="19"/>
              </w:rPr>
              <w:t>ifsc_code (FK -&gt; branches)</w:t>
            </w:r>
          </w:p>
        </w:tc>
      </w:tr>
      <w:tr>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ACC-772910</w:t>
            </w:r>
          </w:p>
        </w:tc>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CUST-101</w:t>
            </w:r>
          </w:p>
        </w:tc>
        <w:tc>
          <w:tcPr>
            <w:tcW w:type="dxa" w:w="4608"/>
            <w:shd w:fill="FFFFFF"/>
            <w:tcMar>
              <w:top w:w="80" w:type="dxa"/>
              <w:bottom w:w="80" w:type="dxa"/>
              <w:left w:w="120" w:type="dxa"/>
              <w:right w:w="120" w:type="dxa"/>
            </w:tcMar>
          </w:tcPr>
          <w:p>
            <w:pPr>
              <w:spacing w:before="40" w:after="40"/>
              <w:jc w:val="left"/>
            </w:pPr>
            <w:r>
              <w:rPr>
                <w:rFonts w:ascii="Calibri" w:hAnsi="Calibri"/>
                <w:color w:val="1E293B"/>
                <w:sz w:val="18"/>
              </w:rPr>
              <w:t>BTBI0001024</w:t>
            </w:r>
          </w:p>
        </w:tc>
      </w:tr>
      <w:tr>
        <w:tc>
          <w:tcPr>
            <w:tcW w:type="dxa" w:w="2592"/>
            <w:shd w:fill="F8FAFC"/>
            <w:tcMar>
              <w:top w:w="80" w:type="dxa"/>
              <w:bottom w:w="80" w:type="dxa"/>
              <w:left w:w="120" w:type="dxa"/>
              <w:right w:w="120" w:type="dxa"/>
            </w:tcMar>
          </w:tcPr>
          <w:p>
            <w:pPr>
              <w:spacing w:before="40" w:after="40"/>
              <w:jc w:val="left"/>
            </w:pPr>
            <w:r>
              <w:rPr>
                <w:rFonts w:ascii="Calibri" w:hAnsi="Calibri"/>
                <w:color w:val="1E293B"/>
                <w:sz w:val="18"/>
              </w:rPr>
              <w:t>ACC-775741</w:t>
            </w:r>
          </w:p>
        </w:tc>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CUST-107</w:t>
            </w:r>
          </w:p>
        </w:tc>
        <w:tc>
          <w:tcPr>
            <w:tcW w:type="dxa" w:w="4608"/>
            <w:shd w:fill="F8FAFC"/>
            <w:tcMar>
              <w:top w:w="80" w:type="dxa"/>
              <w:bottom w:w="80" w:type="dxa"/>
              <w:left w:w="120" w:type="dxa"/>
              <w:right w:w="120" w:type="dxa"/>
            </w:tcMar>
          </w:tcPr>
          <w:p>
            <w:pPr>
              <w:spacing w:before="40" w:after="40"/>
              <w:jc w:val="left"/>
            </w:pPr>
            <w:r>
              <w:rPr>
                <w:rFonts w:ascii="Calibri" w:hAnsi="Calibri"/>
                <w:color w:val="1E293B"/>
                <w:sz w:val="18"/>
              </w:rPr>
              <w:t>BTBI0001024</w:t>
            </w:r>
          </w:p>
        </w:tc>
      </w:tr>
      <w:tr>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ACC-215853</w:t>
            </w:r>
          </w:p>
        </w:tc>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CUST-108</w:t>
            </w:r>
          </w:p>
        </w:tc>
        <w:tc>
          <w:tcPr>
            <w:tcW w:type="dxa" w:w="4608"/>
            <w:shd w:fill="FFFFFF"/>
            <w:tcMar>
              <w:top w:w="80" w:type="dxa"/>
              <w:bottom w:w="80" w:type="dxa"/>
              <w:left w:w="120" w:type="dxa"/>
              <w:right w:w="120" w:type="dxa"/>
            </w:tcMar>
          </w:tcPr>
          <w:p>
            <w:pPr>
              <w:spacing w:before="40" w:after="40"/>
              <w:jc w:val="left"/>
            </w:pPr>
            <w:r>
              <w:rPr>
                <w:rFonts w:ascii="Calibri" w:hAnsi="Calibri"/>
                <w:color w:val="1E293B"/>
                <w:sz w:val="18"/>
              </w:rPr>
              <w:t>BTBI0001024</w:t>
            </w:r>
          </w:p>
        </w:tc>
      </w:tr>
    </w:tbl>
    <w:p>
      <w:r>
        <w:t>Coupled with authoritative 'branches' record:</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ifsc_code (PK/UK)</w:t>
            </w:r>
          </w:p>
        </w:tc>
        <w:tc>
          <w:tcPr>
            <w:tcW w:type="dxa" w:w="2592"/>
            <w:shd w:fill="1E3A8A"/>
            <w:tcMar>
              <w:top w:w="100" w:type="dxa"/>
              <w:bottom w:w="100" w:type="dxa"/>
              <w:left w:w="120" w:type="dxa"/>
              <w:right w:w="120" w:type="dxa"/>
            </w:tcMar>
          </w:tcPr>
          <w:p>
            <w:pPr>
              <w:spacing w:before="40" w:after="40"/>
              <w:jc w:val="left"/>
            </w:pPr>
            <w:r>
              <w:rPr>
                <w:rFonts w:ascii="Calibri" w:hAnsi="Calibri"/>
                <w:b/>
                <w:color w:val="FFFFFF"/>
                <w:sz w:val="19"/>
              </w:rPr>
              <w:t>branch_name</w:t>
            </w:r>
          </w:p>
        </w:tc>
        <w:tc>
          <w:tcPr>
            <w:tcW w:type="dxa" w:w="4608"/>
            <w:shd w:fill="1E3A8A"/>
            <w:tcMar>
              <w:top w:w="100" w:type="dxa"/>
              <w:bottom w:w="100" w:type="dxa"/>
              <w:left w:w="120" w:type="dxa"/>
              <w:right w:w="120" w:type="dxa"/>
            </w:tcMar>
          </w:tcPr>
          <w:p>
            <w:pPr>
              <w:spacing w:before="40" w:after="40"/>
              <w:jc w:val="left"/>
            </w:pPr>
            <w:r>
              <w:rPr>
                <w:rFonts w:ascii="Calibri" w:hAnsi="Calibri"/>
                <w:b/>
                <w:color w:val="FFFFFF"/>
                <w:sz w:val="19"/>
              </w:rPr>
              <w:t>city</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BTBI0001024</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Mumbai Nariman Point Hub</w:t>
            </w:r>
          </w:p>
        </w:tc>
        <w:tc>
          <w:tcPr>
            <w:tcW w:type="dxa" w:w="4608"/>
            <w:shd w:fill="FFFFFF"/>
            <w:tcMar>
              <w:top w:w="80" w:type="dxa"/>
              <w:bottom w:w="80" w:type="dxa"/>
              <w:left w:w="120" w:type="dxa"/>
              <w:right w:w="120" w:type="dxa"/>
            </w:tcMar>
          </w:tcPr>
          <w:p>
            <w:pPr>
              <w:spacing w:before="40" w:after="40"/>
              <w:jc w:val="left"/>
            </w:pPr>
            <w:r>
              <w:rPr>
                <w:rFonts w:ascii="Calibri" w:hAnsi="Calibri"/>
                <w:color w:val="1E293B"/>
                <w:sz w:val="18"/>
              </w:rPr>
              <w:t>Mumbai</w:t>
            </w:r>
          </w:p>
        </w:tc>
      </w:tr>
    </w:tbl>
    <w:p>
      <w:pPr>
        <w:spacing w:after="120"/>
      </w:pPr>
    </w:p>
    <w:p>
      <w:pPr>
        <w:pStyle w:val="Heading2"/>
        <w:keepNext/>
        <w:spacing w:before="240" w:after="80"/>
      </w:pPr>
      <w:r>
        <w:rPr>
          <w:rFonts w:ascii="Calibri" w:hAnsi="Calibri"/>
          <w:b/>
          <w:color w:val="2563EB"/>
          <w:sz w:val="26"/>
        </w:rPr>
        <w:t>7.2 Decomposition of Nominees from 'customers'</w:t>
      </w:r>
    </w:p>
    <w:p>
      <w:r>
        <w:t>BEFORE Normalization ('customers' flat record):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E3A8A"/>
            <w:tcMar>
              <w:top w:w="100" w:type="dxa"/>
              <w:bottom w:w="100" w:type="dxa"/>
              <w:left w:w="120" w:type="dxa"/>
              <w:right w:w="120" w:type="dxa"/>
            </w:tcMar>
          </w:tcPr>
          <w:p>
            <w:pPr>
              <w:spacing w:before="40" w:after="40"/>
              <w:jc w:val="left"/>
            </w:pPr>
            <w:r>
              <w:rPr>
                <w:rFonts w:ascii="Calibri" w:hAnsi="Calibri"/>
                <w:b/>
                <w:color w:val="FFFFFF"/>
                <w:sz w:val="19"/>
              </w:rPr>
              <w:t>customer_id</w:t>
            </w:r>
          </w:p>
        </w:tc>
        <w:tc>
          <w:tcPr>
            <w:tcW w:type="dxa" w:w="2592"/>
            <w:shd w:fill="1E3A8A"/>
            <w:tcMar>
              <w:top w:w="100" w:type="dxa"/>
              <w:bottom w:w="100" w:type="dxa"/>
              <w:left w:w="120" w:type="dxa"/>
              <w:right w:w="120" w:type="dxa"/>
            </w:tcMar>
          </w:tcPr>
          <w:p>
            <w:pPr>
              <w:spacing w:before="40" w:after="40"/>
              <w:jc w:val="left"/>
            </w:pPr>
            <w:r>
              <w:rPr>
                <w:rFonts w:ascii="Calibri" w:hAnsi="Calibri"/>
                <w:b/>
                <w:color w:val="FFFFFF"/>
                <w:sz w:val="19"/>
              </w:rPr>
              <w:t>full_name</w:t>
            </w:r>
          </w:p>
        </w:tc>
        <w:tc>
          <w:tcPr>
            <w:tcW w:type="dxa" w:w="2592"/>
            <w:shd w:fill="1E3A8A"/>
            <w:tcMar>
              <w:top w:w="100" w:type="dxa"/>
              <w:bottom w:w="100" w:type="dxa"/>
              <w:left w:w="120" w:type="dxa"/>
              <w:right w:w="120" w:type="dxa"/>
            </w:tcMar>
          </w:tcPr>
          <w:p>
            <w:pPr>
              <w:spacing w:before="40" w:after="40"/>
              <w:jc w:val="left"/>
            </w:pPr>
            <w:r>
              <w:rPr>
                <w:rFonts w:ascii="Calibri" w:hAnsi="Calibri"/>
                <w:b/>
                <w:color w:val="FFFFFF"/>
                <w:sz w:val="19"/>
              </w:rPr>
              <w:t>nominee_name</w:t>
            </w:r>
          </w:p>
        </w:tc>
        <w:tc>
          <w:tcPr>
            <w:tcW w:type="dxa" w:w="2448"/>
            <w:shd w:fill="1E3A8A"/>
            <w:tcMar>
              <w:top w:w="100" w:type="dxa"/>
              <w:bottom w:w="100" w:type="dxa"/>
              <w:left w:w="120" w:type="dxa"/>
              <w:right w:w="120" w:type="dxa"/>
            </w:tcMar>
          </w:tcPr>
          <w:p>
            <w:pPr>
              <w:spacing w:before="40" w:after="40"/>
              <w:jc w:val="left"/>
            </w:pPr>
            <w:r>
              <w:rPr>
                <w:rFonts w:ascii="Calibri" w:hAnsi="Calibri"/>
                <w:b/>
                <w:color w:val="FFFFFF"/>
                <w:sz w:val="19"/>
              </w:rPr>
              <w:t>nominee_relation</w:t>
            </w:r>
          </w:p>
        </w:tc>
      </w:tr>
      <w:tr>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CUST-107</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Devraj Chauhan</w:t>
            </w:r>
          </w:p>
        </w:tc>
        <w:tc>
          <w:tcPr>
            <w:tcW w:type="dxa" w:w="2592"/>
            <w:shd w:fill="FFFFFF"/>
            <w:tcMar>
              <w:top w:w="80" w:type="dxa"/>
              <w:bottom w:w="80" w:type="dxa"/>
              <w:left w:w="120" w:type="dxa"/>
              <w:right w:w="120" w:type="dxa"/>
            </w:tcMar>
          </w:tcPr>
          <w:p>
            <w:pPr>
              <w:spacing w:before="40" w:after="40"/>
              <w:jc w:val="left"/>
            </w:pPr>
            <w:r>
              <w:rPr>
                <w:rFonts w:ascii="Calibri" w:hAnsi="Calibri"/>
                <w:color w:val="1E293B"/>
                <w:sz w:val="18"/>
              </w:rPr>
              <w:t>Kavita Chauhan</w:t>
            </w:r>
          </w:p>
        </w:tc>
        <w:tc>
          <w:tcPr>
            <w:tcW w:type="dxa" w:w="2448"/>
            <w:shd w:fill="FFFFFF"/>
            <w:tcMar>
              <w:top w:w="80" w:type="dxa"/>
              <w:bottom w:w="80" w:type="dxa"/>
              <w:left w:w="120" w:type="dxa"/>
              <w:right w:w="120" w:type="dxa"/>
            </w:tcMar>
          </w:tcPr>
          <w:p>
            <w:pPr>
              <w:spacing w:before="40" w:after="40"/>
              <w:jc w:val="left"/>
            </w:pPr>
            <w:r>
              <w:rPr>
                <w:rFonts w:ascii="Calibri" w:hAnsi="Calibri"/>
                <w:color w:val="1E293B"/>
                <w:sz w:val="18"/>
              </w:rPr>
              <w:t>Spouse</w:t>
            </w:r>
          </w:p>
        </w:tc>
      </w:tr>
      <w:tr>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CUST-108</w:t>
            </w:r>
          </w:p>
        </w:tc>
        <w:tc>
          <w:tcPr>
            <w:tcW w:type="dxa" w:w="2592"/>
            <w:shd w:fill="F8FAFC"/>
            <w:tcMar>
              <w:top w:w="80" w:type="dxa"/>
              <w:bottom w:w="80" w:type="dxa"/>
              <w:left w:w="120" w:type="dxa"/>
              <w:right w:w="120" w:type="dxa"/>
            </w:tcMar>
          </w:tcPr>
          <w:p>
            <w:pPr>
              <w:spacing w:before="40" w:after="40"/>
              <w:jc w:val="left"/>
            </w:pPr>
            <w:r>
              <w:rPr>
                <w:rFonts w:ascii="Calibri" w:hAnsi="Calibri"/>
                <w:color w:val="1E293B"/>
                <w:sz w:val="18"/>
              </w:rPr>
              <w:t>Tanvi Deshmukh</w:t>
            </w:r>
          </w:p>
        </w:tc>
        <w:tc>
          <w:tcPr>
            <w:tcW w:type="dxa" w:w="2592"/>
            <w:shd w:fill="F8FAFC"/>
            <w:tcMar>
              <w:top w:w="80" w:type="dxa"/>
              <w:bottom w:w="80" w:type="dxa"/>
              <w:left w:w="120" w:type="dxa"/>
              <w:right w:w="120" w:type="dxa"/>
            </w:tcMar>
          </w:tcPr>
          <w:p>
            <w:pPr>
              <w:spacing w:before="40" w:after="40"/>
              <w:jc w:val="left"/>
            </w:pPr>
            <w:r>
              <w:rPr>
                <w:rFonts w:ascii="Calibri" w:hAnsi="Calibri"/>
                <w:color w:val="1E293B"/>
                <w:sz w:val="18"/>
              </w:rPr>
              <w:t>Sunil Deshmukh</w:t>
            </w:r>
          </w:p>
        </w:tc>
        <w:tc>
          <w:tcPr>
            <w:tcW w:type="dxa" w:w="2448"/>
            <w:shd w:fill="F8FAFC"/>
            <w:tcMar>
              <w:top w:w="80" w:type="dxa"/>
              <w:bottom w:w="80" w:type="dxa"/>
              <w:left w:w="120" w:type="dxa"/>
              <w:right w:w="120" w:type="dxa"/>
            </w:tcMar>
          </w:tcPr>
          <w:p>
            <w:pPr>
              <w:spacing w:before="40" w:after="40"/>
              <w:jc w:val="left"/>
            </w:pPr>
            <w:r>
              <w:rPr>
                <w:rFonts w:ascii="Calibri" w:hAnsi="Calibri"/>
                <w:color w:val="1E293B"/>
                <w:sz w:val="18"/>
              </w:rPr>
              <w:t>Father</w:t>
            </w:r>
          </w:p>
        </w:tc>
      </w:tr>
    </w:tbl>
    <w:p>
      <w:r>
        <w:br/>
        <w:t>AFTER Normalization ('customer_nominees' dedicated table):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nominee_id</w:t>
            </w:r>
          </w:p>
        </w:tc>
        <w:tc>
          <w:tcPr>
            <w:tcW w:type="dxa" w:w="1728"/>
            <w:shd w:fill="1E3A8A"/>
            <w:tcMar>
              <w:top w:w="100" w:type="dxa"/>
              <w:bottom w:w="100" w:type="dxa"/>
              <w:left w:w="120" w:type="dxa"/>
              <w:right w:w="120" w:type="dxa"/>
            </w:tcMar>
          </w:tcPr>
          <w:p>
            <w:pPr>
              <w:spacing w:before="40" w:after="40"/>
              <w:jc w:val="left"/>
            </w:pPr>
            <w:r>
              <w:rPr>
                <w:rFonts w:ascii="Calibri" w:hAnsi="Calibri"/>
                <w:b/>
                <w:color w:val="FFFFFF"/>
                <w:sz w:val="19"/>
              </w:rPr>
              <w:t>customer_id</w:t>
            </w:r>
          </w:p>
        </w:tc>
        <w:tc>
          <w:tcPr>
            <w:tcW w:type="dxa" w:w="2304"/>
            <w:shd w:fill="1E3A8A"/>
            <w:tcMar>
              <w:top w:w="100" w:type="dxa"/>
              <w:bottom w:w="100" w:type="dxa"/>
              <w:left w:w="120" w:type="dxa"/>
              <w:right w:w="120" w:type="dxa"/>
            </w:tcMar>
          </w:tcPr>
          <w:p>
            <w:pPr>
              <w:spacing w:before="40" w:after="40"/>
              <w:jc w:val="left"/>
            </w:pPr>
            <w:r>
              <w:rPr>
                <w:rFonts w:ascii="Calibri" w:hAnsi="Calibri"/>
                <w:b/>
                <w:color w:val="FFFFFF"/>
                <w:sz w:val="19"/>
              </w:rPr>
              <w:t>nominee_name</w:t>
            </w:r>
          </w:p>
        </w:tc>
        <w:tc>
          <w:tcPr>
            <w:tcW w:type="dxa" w:w="1584"/>
            <w:shd w:fill="1E3A8A"/>
            <w:tcMar>
              <w:top w:w="100" w:type="dxa"/>
              <w:bottom w:w="100" w:type="dxa"/>
              <w:left w:w="120" w:type="dxa"/>
              <w:right w:w="120" w:type="dxa"/>
            </w:tcMar>
          </w:tcPr>
          <w:p>
            <w:pPr>
              <w:spacing w:before="40" w:after="40"/>
              <w:jc w:val="left"/>
            </w:pPr>
            <w:r>
              <w:rPr>
                <w:rFonts w:ascii="Calibri" w:hAnsi="Calibri"/>
                <w:b/>
                <w:color w:val="FFFFFF"/>
                <w:sz w:val="19"/>
              </w:rPr>
              <w:t>relationship</w:t>
            </w:r>
          </w:p>
        </w:tc>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allocation_%</w:t>
            </w:r>
          </w:p>
        </w:tc>
      </w:tr>
      <w:tr>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NOM-CUST-107</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CUST-107</w:t>
            </w:r>
          </w:p>
        </w:tc>
        <w:tc>
          <w:tcPr>
            <w:tcW w:type="dxa" w:w="2304"/>
            <w:shd w:fill="FFFFFF"/>
            <w:tcMar>
              <w:top w:w="80" w:type="dxa"/>
              <w:bottom w:w="80" w:type="dxa"/>
              <w:left w:w="120" w:type="dxa"/>
              <w:right w:w="120" w:type="dxa"/>
            </w:tcMar>
          </w:tcPr>
          <w:p>
            <w:pPr>
              <w:spacing w:before="40" w:after="40"/>
              <w:jc w:val="left"/>
            </w:pPr>
            <w:r>
              <w:rPr>
                <w:rFonts w:ascii="Calibri" w:hAnsi="Calibri"/>
                <w:color w:val="1E293B"/>
                <w:sz w:val="18"/>
              </w:rPr>
              <w:t>Kavita Chauhan</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Spouse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100.00%</w:t>
            </w:r>
          </w:p>
        </w:tc>
      </w:tr>
      <w:tr>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NOM-CUST-108</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CUST-108</w:t>
            </w:r>
          </w:p>
        </w:tc>
        <w:tc>
          <w:tcPr>
            <w:tcW w:type="dxa" w:w="2304"/>
            <w:shd w:fill="F8FAFC"/>
            <w:tcMar>
              <w:top w:w="80" w:type="dxa"/>
              <w:bottom w:w="80" w:type="dxa"/>
              <w:left w:w="120" w:type="dxa"/>
              <w:right w:w="120" w:type="dxa"/>
            </w:tcMar>
          </w:tcPr>
          <w:p>
            <w:pPr>
              <w:spacing w:before="40" w:after="40"/>
              <w:jc w:val="left"/>
            </w:pPr>
            <w:r>
              <w:rPr>
                <w:rFonts w:ascii="Calibri" w:hAnsi="Calibri"/>
                <w:color w:val="1E293B"/>
                <w:sz w:val="18"/>
              </w:rPr>
              <w:t>Sunil Deshmukh</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Father</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100.00%</w:t>
            </w:r>
          </w:p>
        </w:tc>
      </w:tr>
    </w:tbl>
    <w:p>
      <w:pPr>
        <w:spacing w:after="120"/>
      </w:pPr>
    </w:p>
    <w:p>
      <w:pPr>
        <w:pStyle w:val="Heading1"/>
        <w:keepNext/>
        <w:spacing w:before="320" w:after="120"/>
      </w:pPr>
      <w:r>
        <w:rPr>
          <w:rFonts w:ascii="Calibri" w:hAnsi="Calibri"/>
          <w:b/>
          <w:color w:val="1E3A8A"/>
          <w:sz w:val="32"/>
        </w:rPr>
        <w:t>8. Reasons for Adding, Removing, Moving, or Renaming Columns and Tables</w:t>
      </w:r>
    </w:p>
    <w:p>
      <w:pPr>
        <w:spacing w:after="120"/>
      </w:pPr>
      <w:r>
        <w:t>Every schema modification was executed with documented architectural justification: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Target Entity</w:t>
            </w:r>
          </w:p>
        </w:tc>
        <w:tc>
          <w:tcPr>
            <w:tcW w:type="dxa" w:w="1728"/>
            <w:shd w:fill="1E3A8A"/>
            <w:tcMar>
              <w:top w:w="100" w:type="dxa"/>
              <w:bottom w:w="100" w:type="dxa"/>
              <w:left w:w="120" w:type="dxa"/>
              <w:right w:w="120" w:type="dxa"/>
            </w:tcMar>
          </w:tcPr>
          <w:p>
            <w:pPr>
              <w:spacing w:before="40" w:after="40"/>
              <w:jc w:val="left"/>
            </w:pPr>
            <w:r>
              <w:rPr>
                <w:rFonts w:ascii="Calibri" w:hAnsi="Calibri"/>
                <w:b/>
                <w:color w:val="FFFFFF"/>
                <w:sz w:val="19"/>
              </w:rPr>
              <w:t>Column / Object</w:t>
            </w:r>
          </w:p>
        </w:tc>
        <w:tc>
          <w:tcPr>
            <w:tcW w:type="dxa" w:w="1440"/>
            <w:shd w:fill="1E3A8A"/>
            <w:tcMar>
              <w:top w:w="100" w:type="dxa"/>
              <w:bottom w:w="100" w:type="dxa"/>
              <w:left w:w="120" w:type="dxa"/>
              <w:right w:w="120" w:type="dxa"/>
            </w:tcMar>
          </w:tcPr>
          <w:p>
            <w:pPr>
              <w:spacing w:before="40" w:after="40"/>
              <w:jc w:val="left"/>
            </w:pPr>
            <w:r>
              <w:rPr>
                <w:rFonts w:ascii="Calibri" w:hAnsi="Calibri"/>
                <w:b/>
                <w:color w:val="FFFFFF"/>
                <w:sz w:val="19"/>
              </w:rPr>
              <w:t>Action</w:t>
            </w:r>
          </w:p>
        </w:tc>
        <w:tc>
          <w:tcPr>
            <w:tcW w:type="dxa" w:w="4032"/>
            <w:shd w:fill="1E3A8A"/>
            <w:tcMar>
              <w:top w:w="100" w:type="dxa"/>
              <w:bottom w:w="100" w:type="dxa"/>
              <w:left w:w="120" w:type="dxa"/>
              <w:right w:w="120" w:type="dxa"/>
            </w:tcMar>
          </w:tcPr>
          <w:p>
            <w:pPr>
              <w:spacing w:before="40" w:after="40"/>
              <w:jc w:val="left"/>
            </w:pPr>
            <w:r>
              <w:rPr>
                <w:rFonts w:ascii="Calibri" w:hAnsi="Calibri"/>
                <w:b/>
                <w:color w:val="FFFFFF"/>
                <w:sz w:val="19"/>
              </w:rPr>
              <w:t>Architectural Justification</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accounts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branch_name</w:t>
            </w:r>
          </w:p>
        </w:tc>
        <w:tc>
          <w:tcPr>
            <w:tcW w:type="dxa" w:w="1440"/>
            <w:shd w:fill="FFFFFF"/>
            <w:tcMar>
              <w:top w:w="80" w:type="dxa"/>
              <w:bottom w:w="80" w:type="dxa"/>
              <w:left w:w="120" w:type="dxa"/>
              <w:right w:w="120" w:type="dxa"/>
            </w:tcMar>
          </w:tcPr>
          <w:p>
            <w:pPr>
              <w:spacing w:before="40" w:after="40"/>
              <w:jc w:val="left"/>
            </w:pPr>
            <w:r>
              <w:rPr>
                <w:rFonts w:ascii="Calibri" w:hAnsi="Calibri"/>
                <w:color w:val="1E293B"/>
                <w:sz w:val="18"/>
              </w:rPr>
              <w:t>REMOVED</w:t>
            </w:r>
          </w:p>
        </w:tc>
        <w:tc>
          <w:tcPr>
            <w:tcW w:type="dxa" w:w="4032"/>
            <w:shd w:fill="FFFFFF"/>
            <w:tcMar>
              <w:top w:w="80" w:type="dxa"/>
              <w:bottom w:w="80" w:type="dxa"/>
              <w:left w:w="120" w:type="dxa"/>
              <w:right w:w="120" w:type="dxa"/>
            </w:tcMar>
          </w:tcPr>
          <w:p>
            <w:pPr>
              <w:spacing w:before="40" w:after="40"/>
              <w:jc w:val="left"/>
            </w:pPr>
            <w:r>
              <w:rPr>
                <w:rFonts w:ascii="Calibri" w:hAnsi="Calibri"/>
                <w:color w:val="1E293B"/>
                <w:sz w:val="18"/>
              </w:rPr>
              <w:t>Eliminates 3NF transitive dependency (account_number -&gt; ifsc_code -&gt; branch_name); retained on accounts &amp; joined via v_accounts_legacy for app compatibility.</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card_pin</w:t>
            </w:r>
          </w:p>
        </w:tc>
        <w:tc>
          <w:tcPr>
            <w:tcW w:type="dxa" w:w="1440"/>
            <w:shd w:fill="F8FAFC"/>
            <w:tcMar>
              <w:top w:w="80" w:type="dxa"/>
              <w:bottom w:w="80" w:type="dxa"/>
              <w:left w:w="120" w:type="dxa"/>
              <w:right w:w="120" w:type="dxa"/>
            </w:tcMar>
          </w:tcPr>
          <w:p>
            <w:pPr>
              <w:spacing w:before="40" w:after="40"/>
              <w:jc w:val="left"/>
            </w:pPr>
            <w:r>
              <w:rPr>
                <w:rFonts w:ascii="Calibri" w:hAnsi="Calibri"/>
                <w:color w:val="1E293B"/>
                <w:sz w:val="18"/>
              </w:rPr>
              <w:t>REMOVED</w:t>
            </w:r>
          </w:p>
        </w:tc>
        <w:tc>
          <w:tcPr>
            <w:tcW w:type="dxa" w:w="4032"/>
            <w:shd w:fill="F8FAFC"/>
            <w:tcMar>
              <w:top w:w="80" w:type="dxa"/>
              <w:bottom w:w="80" w:type="dxa"/>
              <w:left w:w="120" w:type="dxa"/>
              <w:right w:w="120" w:type="dxa"/>
            </w:tcMar>
          </w:tcPr>
          <w:p>
            <w:pPr>
              <w:spacing w:before="40" w:after="40"/>
              <w:jc w:val="left"/>
            </w:pPr>
            <w:r>
              <w:rPr>
                <w:rFonts w:ascii="Calibri" w:hAnsi="Calibri"/>
                <w:color w:val="1E293B"/>
                <w:sz w:val="18"/>
              </w:rPr>
              <w:t>Security hardening; plaintext PIN removed to comply with PCI-DSS.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accounts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card_pin_hash</w:t>
            </w:r>
          </w:p>
        </w:tc>
        <w:tc>
          <w:tcPr>
            <w:tcW w:type="dxa" w:w="1440"/>
            <w:shd w:fill="FFFFFF"/>
            <w:tcMar>
              <w:top w:w="80" w:type="dxa"/>
              <w:bottom w:w="80" w:type="dxa"/>
              <w:left w:w="120" w:type="dxa"/>
              <w:right w:w="120" w:type="dxa"/>
            </w:tcMar>
          </w:tcPr>
          <w:p>
            <w:pPr>
              <w:spacing w:before="40" w:after="40"/>
              <w:jc w:val="left"/>
            </w:pPr>
            <w:r>
              <w:rPr>
                <w:rFonts w:ascii="Calibri" w:hAnsi="Calibri"/>
                <w:color w:val="1E293B"/>
                <w:sz w:val="18"/>
              </w:rPr>
              <w:t>MOVED</w:t>
            </w:r>
          </w:p>
        </w:tc>
        <w:tc>
          <w:tcPr>
            <w:tcW w:type="dxa" w:w="4032"/>
            <w:shd w:fill="FFFFFF"/>
            <w:tcMar>
              <w:top w:w="80" w:type="dxa"/>
              <w:bottom w:w="80" w:type="dxa"/>
              <w:left w:w="120" w:type="dxa"/>
              <w:right w:w="120" w:type="dxa"/>
            </w:tcMar>
          </w:tcPr>
          <w:p>
            <w:pPr>
              <w:spacing w:before="40" w:after="40"/>
              <w:jc w:val="left"/>
            </w:pPr>
            <w:r>
              <w:rPr>
                <w:rFonts w:ascii="Calibri" w:hAnsi="Calibri"/>
                <w:color w:val="1E293B"/>
                <w:sz w:val="18"/>
              </w:rPr>
              <w:t>Moved to dedicated 'account_card_credentials' payment instrument entity while keeping compatibility column on accounts.</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customers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nominee_*</w:t>
            </w:r>
          </w:p>
        </w:tc>
        <w:tc>
          <w:tcPr>
            <w:tcW w:type="dxa" w:w="1440"/>
            <w:shd w:fill="F8FAFC"/>
            <w:tcMar>
              <w:top w:w="80" w:type="dxa"/>
              <w:bottom w:w="80" w:type="dxa"/>
              <w:left w:w="120" w:type="dxa"/>
              <w:right w:w="120" w:type="dxa"/>
            </w:tcMar>
          </w:tcPr>
          <w:p>
            <w:pPr>
              <w:spacing w:before="40" w:after="40"/>
              <w:jc w:val="left"/>
            </w:pPr>
            <w:r>
              <w:rPr>
                <w:rFonts w:ascii="Calibri" w:hAnsi="Calibri"/>
                <w:color w:val="1E293B"/>
                <w:sz w:val="18"/>
              </w:rPr>
              <w:t>MOVED</w:t>
            </w:r>
          </w:p>
        </w:tc>
        <w:tc>
          <w:tcPr>
            <w:tcW w:type="dxa" w:w="4032"/>
            <w:shd w:fill="F8FAFC"/>
            <w:tcMar>
              <w:top w:w="80" w:type="dxa"/>
              <w:bottom w:w="80" w:type="dxa"/>
              <w:left w:w="120" w:type="dxa"/>
              <w:right w:w="120" w:type="dxa"/>
            </w:tcMar>
          </w:tcPr>
          <w:p>
            <w:pPr>
              <w:spacing w:before="40" w:after="40"/>
              <w:jc w:val="left"/>
            </w:pPr>
            <w:r>
              <w:rPr>
                <w:rFonts w:ascii="Calibri" w:hAnsi="Calibri"/>
                <w:color w:val="1E293B"/>
                <w:sz w:val="18"/>
              </w:rPr>
              <w:t>Extracted into 'customer_nominees' to eliminate 1NF repeating group and support multi-nominee allocations.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customers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card_pin*</w:t>
            </w:r>
          </w:p>
        </w:tc>
        <w:tc>
          <w:tcPr>
            <w:tcW w:type="dxa" w:w="1440"/>
            <w:shd w:fill="FFFFFF"/>
            <w:tcMar>
              <w:top w:w="80" w:type="dxa"/>
              <w:bottom w:w="80" w:type="dxa"/>
              <w:left w:w="120" w:type="dxa"/>
              <w:right w:w="120" w:type="dxa"/>
            </w:tcMar>
          </w:tcPr>
          <w:p>
            <w:pPr>
              <w:spacing w:before="40" w:after="40"/>
              <w:jc w:val="left"/>
            </w:pPr>
            <w:r>
              <w:rPr>
                <w:rFonts w:ascii="Calibri" w:hAnsi="Calibri"/>
                <w:color w:val="1E293B"/>
                <w:sz w:val="18"/>
              </w:rPr>
              <w:t>REMOVED</w:t>
            </w:r>
          </w:p>
        </w:tc>
        <w:tc>
          <w:tcPr>
            <w:tcW w:type="dxa" w:w="4032"/>
            <w:shd w:fill="FFFFFF"/>
            <w:tcMar>
              <w:top w:w="80" w:type="dxa"/>
              <w:bottom w:w="80" w:type="dxa"/>
              <w:left w:w="120" w:type="dxa"/>
              <w:right w:w="120" w:type="dxa"/>
            </w:tcMar>
          </w:tcPr>
          <w:p>
            <w:pPr>
              <w:spacing w:before="40" w:after="40"/>
              <w:jc w:val="left"/>
            </w:pPr>
            <w:r>
              <w:rPr>
                <w:rFonts w:ascii="Calibri" w:hAnsi="Calibri"/>
                <w:color w:val="1E293B"/>
                <w:sz w:val="18"/>
              </w:rPr>
              <w:t>Decoupled card instruments from user identity entity.</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account_card_credentials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Table Object</w:t>
            </w:r>
          </w:p>
        </w:tc>
        <w:tc>
          <w:tcPr>
            <w:tcW w:type="dxa" w:w="1440"/>
            <w:shd w:fill="F8FAFC"/>
            <w:tcMar>
              <w:top w:w="80" w:type="dxa"/>
              <w:bottom w:w="80" w:type="dxa"/>
              <w:left w:w="120" w:type="dxa"/>
              <w:right w:w="120" w:type="dxa"/>
            </w:tcMar>
          </w:tcPr>
          <w:p>
            <w:pPr>
              <w:spacing w:before="40" w:after="40"/>
              <w:jc w:val="left"/>
            </w:pPr>
            <w:r>
              <w:rPr>
                <w:rFonts w:ascii="Calibri" w:hAnsi="Calibri"/>
                <w:color w:val="1E293B"/>
                <w:sz w:val="18"/>
              </w:rPr>
              <w:t>ADDED</w:t>
            </w:r>
          </w:p>
        </w:tc>
        <w:tc>
          <w:tcPr>
            <w:tcW w:type="dxa" w:w="4032"/>
            <w:shd w:fill="F8FAFC"/>
            <w:tcMar>
              <w:top w:w="80" w:type="dxa"/>
              <w:bottom w:w="80" w:type="dxa"/>
              <w:left w:w="120" w:type="dxa"/>
              <w:right w:w="120" w:type="dxa"/>
            </w:tcMar>
          </w:tcPr>
          <w:p>
            <w:pPr>
              <w:spacing w:before="40" w:after="40"/>
              <w:jc w:val="left"/>
            </w:pPr>
            <w:r>
              <w:rPr>
                <w:rFonts w:ascii="Calibri" w:hAnsi="Calibri"/>
                <w:color w:val="1E293B"/>
                <w:sz w:val="18"/>
              </w:rPr>
              <w:t>Dedicated 1:N payment credential relation linking account, customer, and genuine Bcrypt PIN hash. 0 fabricated cards or limits.</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customer_nominees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Table Object</w:t>
            </w:r>
          </w:p>
        </w:tc>
        <w:tc>
          <w:tcPr>
            <w:tcW w:type="dxa" w:w="1440"/>
            <w:shd w:fill="FFFFFF"/>
            <w:tcMar>
              <w:top w:w="80" w:type="dxa"/>
              <w:bottom w:w="80" w:type="dxa"/>
              <w:left w:w="120" w:type="dxa"/>
              <w:right w:w="120" w:type="dxa"/>
            </w:tcMar>
          </w:tcPr>
          <w:p>
            <w:pPr>
              <w:spacing w:before="40" w:after="40"/>
              <w:jc w:val="left"/>
            </w:pPr>
            <w:r>
              <w:rPr>
                <w:rFonts w:ascii="Calibri" w:hAnsi="Calibri"/>
                <w:color w:val="1E293B"/>
                <w:sz w:val="18"/>
              </w:rPr>
              <w:t>ADDED</w:t>
            </w:r>
          </w:p>
        </w:tc>
        <w:tc>
          <w:tcPr>
            <w:tcW w:type="dxa" w:w="4032"/>
            <w:shd w:fill="FFFFFF"/>
            <w:tcMar>
              <w:top w:w="80" w:type="dxa"/>
              <w:bottom w:w="80" w:type="dxa"/>
              <w:left w:w="120" w:type="dxa"/>
              <w:right w:w="120" w:type="dxa"/>
            </w:tcMar>
          </w:tcPr>
          <w:p>
            <w:pPr>
              <w:spacing w:before="40" w:after="40"/>
              <w:jc w:val="left"/>
            </w:pPr>
            <w:r>
              <w:rPr>
                <w:rFonts w:ascii="Calibri" w:hAnsi="Calibri"/>
                <w:color w:val="1E293B"/>
                <w:sz w:val="18"/>
              </w:rPr>
              <w:t>Dedicated relation supporting 1:N nominee beneficiaries with percentage allocations.</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otp_sessions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otp_code</w:t>
            </w:r>
          </w:p>
        </w:tc>
        <w:tc>
          <w:tcPr>
            <w:tcW w:type="dxa" w:w="1440"/>
            <w:shd w:fill="F8FAFC"/>
            <w:tcMar>
              <w:top w:w="80" w:type="dxa"/>
              <w:bottom w:w="80" w:type="dxa"/>
              <w:left w:w="120" w:type="dxa"/>
              <w:right w:w="120" w:type="dxa"/>
            </w:tcMar>
          </w:tcPr>
          <w:p>
            <w:pPr>
              <w:spacing w:before="40" w:after="40"/>
              <w:jc w:val="left"/>
            </w:pPr>
            <w:r>
              <w:rPr>
                <w:rFonts w:ascii="Calibri" w:hAnsi="Calibri"/>
                <w:color w:val="1E293B"/>
                <w:sz w:val="18"/>
              </w:rPr>
              <w:t>REMOVED</w:t>
            </w:r>
          </w:p>
        </w:tc>
        <w:tc>
          <w:tcPr>
            <w:tcW w:type="dxa" w:w="4032"/>
            <w:shd w:fill="F8FAFC"/>
            <w:tcMar>
              <w:top w:w="80" w:type="dxa"/>
              <w:bottom w:w="80" w:type="dxa"/>
              <w:left w:w="120" w:type="dxa"/>
              <w:right w:w="120" w:type="dxa"/>
            </w:tcMar>
          </w:tcPr>
          <w:p>
            <w:pPr>
              <w:spacing w:before="40" w:after="40"/>
              <w:jc w:val="left"/>
            </w:pPr>
            <w:r>
              <w:rPr>
                <w:rFonts w:ascii="Calibri" w:hAnsi="Calibri"/>
                <w:color w:val="1E293B"/>
                <w:sz w:val="18"/>
              </w:rPr>
              <w:t>Security hardening; plaintext OTP removed in favor of salted Bcrypt hash ('otp_hash').</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branches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BNKST0001</w:t>
            </w:r>
          </w:p>
        </w:tc>
        <w:tc>
          <w:tcPr>
            <w:tcW w:type="dxa" w:w="1440"/>
            <w:shd w:fill="FFFFFF"/>
            <w:tcMar>
              <w:top w:w="80" w:type="dxa"/>
              <w:bottom w:w="80" w:type="dxa"/>
              <w:left w:w="120" w:type="dxa"/>
              <w:right w:w="120" w:type="dxa"/>
            </w:tcMar>
          </w:tcPr>
          <w:p>
            <w:pPr>
              <w:spacing w:before="40" w:after="40"/>
              <w:jc w:val="left"/>
            </w:pPr>
            <w:r>
              <w:rPr>
                <w:rFonts w:ascii="Calibri" w:hAnsi="Calibri"/>
                <w:color w:val="1E293B"/>
                <w:sz w:val="18"/>
              </w:rPr>
              <w:t>INSERTED</w:t>
            </w:r>
          </w:p>
        </w:tc>
        <w:tc>
          <w:tcPr>
            <w:tcW w:type="dxa" w:w="4032"/>
            <w:shd w:fill="FFFFFF"/>
            <w:tcMar>
              <w:top w:w="80" w:type="dxa"/>
              <w:bottom w:w="80" w:type="dxa"/>
              <w:left w:w="120" w:type="dxa"/>
              <w:right w:w="120" w:type="dxa"/>
            </w:tcMar>
          </w:tcPr>
          <w:p>
            <w:pPr>
              <w:spacing w:before="40" w:after="40"/>
              <w:jc w:val="left"/>
            </w:pPr>
            <w:r>
              <w:rPr>
                <w:rFonts w:ascii="Calibri" w:hAnsi="Calibri"/>
                <w:color w:val="1E293B"/>
                <w:sz w:val="18"/>
              </w:rPr>
              <w:t>Onboarded missing 'Downtown Central' branch BR-000 to resolve legacy orphan account ACC-261709.</w:t>
            </w:r>
          </w:p>
        </w:tc>
      </w:tr>
    </w:tbl>
    <w:p>
      <w:pPr>
        <w:spacing w:after="120"/>
      </w:pPr>
    </w:p>
    <w:p>
      <w:pPr>
        <w:pStyle w:val="Heading1"/>
        <w:keepNext/>
        <w:spacing w:before="320" w:after="120"/>
      </w:pPr>
      <w:r>
        <w:rPr>
          <w:rFonts w:ascii="Calibri" w:hAnsi="Calibri"/>
          <w:b/>
          <w:color w:val="1E3A8A"/>
          <w:sz w:val="32"/>
        </w:rPr>
        <w:t>9. Final Table Descriptions, Keys, and Relationships</w:t>
      </w:r>
    </w:p>
    <w:p>
      <w:pPr>
        <w:spacing w:after="120"/>
      </w:pPr>
      <w:r>
        <w:t>The finalized normalized schema encompasses 13 base relational tables and 6 compatibility/analytical views. Below is the complete entity dictionary: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1E3A8A"/>
            <w:tcMar>
              <w:top w:w="100" w:type="dxa"/>
              <w:bottom w:w="100" w:type="dxa"/>
              <w:left w:w="120" w:type="dxa"/>
              <w:right w:w="120" w:type="dxa"/>
            </w:tcMar>
          </w:tcPr>
          <w:p>
            <w:pPr>
              <w:spacing w:before="40" w:after="40"/>
              <w:jc w:val="left"/>
            </w:pPr>
            <w:r>
              <w:rPr>
                <w:rFonts w:ascii="Calibri" w:hAnsi="Calibri"/>
                <w:b/>
                <w:color w:val="FFFFFF"/>
                <w:sz w:val="19"/>
              </w:rPr>
              <w:t>Table Name</w:t>
            </w:r>
          </w:p>
        </w:tc>
        <w:tc>
          <w:tcPr>
            <w:tcW w:type="dxa" w:w="1584"/>
            <w:shd w:fill="1E3A8A"/>
            <w:tcMar>
              <w:top w:w="100" w:type="dxa"/>
              <w:bottom w:w="100" w:type="dxa"/>
              <w:left w:w="120" w:type="dxa"/>
              <w:right w:w="120" w:type="dxa"/>
            </w:tcMar>
          </w:tcPr>
          <w:p>
            <w:pPr>
              <w:spacing w:before="40" w:after="40"/>
              <w:jc w:val="left"/>
            </w:pPr>
            <w:r>
              <w:rPr>
                <w:rFonts w:ascii="Calibri" w:hAnsi="Calibri"/>
                <w:b/>
                <w:color w:val="FFFFFF"/>
                <w:sz w:val="19"/>
              </w:rPr>
              <w:t>Primary Key</w:t>
            </w:r>
          </w:p>
        </w:tc>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Candidate Keys</w:t>
            </w:r>
          </w:p>
        </w:tc>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Foreign Keys</w:t>
            </w:r>
          </w:p>
        </w:tc>
        <w:tc>
          <w:tcPr>
            <w:tcW w:type="dxa" w:w="1872"/>
            <w:shd w:fill="1E3A8A"/>
            <w:tcMar>
              <w:top w:w="100" w:type="dxa"/>
              <w:bottom w:w="100" w:type="dxa"/>
              <w:left w:w="120" w:type="dxa"/>
              <w:right w:w="120" w:type="dxa"/>
            </w:tcMar>
          </w:tcPr>
          <w:p>
            <w:pPr>
              <w:spacing w:before="40" w:after="40"/>
              <w:jc w:val="left"/>
            </w:pPr>
            <w:r>
              <w:rPr>
                <w:rFonts w:ascii="Calibri" w:hAnsi="Calibri"/>
                <w:b/>
                <w:color w:val="FFFFFF"/>
                <w:sz w:val="19"/>
              </w:rPr>
              <w:t>Normal Form</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branches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branch_id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ifsc_code (UK)</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None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customers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customer_id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email (UK), pan_number (UK)</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None</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customer_nominees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nominee_id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{customer_id, nominee_name}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customer_id -&gt; customers</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account_number</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account_number</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customer_id -&gt; customers, ifsc_code -&gt; branches</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account_card_credentials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credential_id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{account_number, customer_id}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account_number -&gt; accounts, customer_id -&gt; customers</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transactions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transaction_id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reference_number (UK)</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sender_account, receiver_account</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deposits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deposit_id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deposit_id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customer_id -&gt; customers, linked_account -&gt; accounts</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beneficiaries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beneficiary_id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{customer_id, account_no, ifsc}</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customer_id -&gt; customers</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kyc_verifications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verification_id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verification_id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customer_id -&gt; customers</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otp_sessions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session_id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session_id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None</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security_rate_limits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key_id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key_id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None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8FAFC"/>
            <w:tcMar>
              <w:top w:w="80" w:type="dxa"/>
              <w:bottom w:w="80" w:type="dxa"/>
              <w:left w:w="120" w:type="dxa"/>
              <w:right w:w="120" w:type="dxa"/>
            </w:tcMar>
          </w:tcPr>
          <w:p>
            <w:pPr>
              <w:spacing w:before="40" w:after="40"/>
              <w:jc w:val="left"/>
            </w:pPr>
            <w:r>
              <w:rPr>
                <w:rFonts w:ascii="Calibri" w:hAnsi="Calibri"/>
                <w:color w:val="1E293B"/>
                <w:sz w:val="18"/>
              </w:rPr>
              <w:t>account_lien_records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lien_id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lien_id</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account_number -&gt; accounts (RESTRICT)</w:t>
            </w:r>
          </w:p>
        </w:tc>
        <w:tc>
          <w:tcPr>
            <w:tcW w:type="dxa" w:w="1872"/>
            <w:shd w:fill="F8FAFC"/>
            <w:tcMar>
              <w:top w:w="80" w:type="dxa"/>
              <w:bottom w:w="80" w:type="dxa"/>
              <w:left w:w="120" w:type="dxa"/>
              <w:right w:w="120" w:type="dxa"/>
            </w:tcMar>
          </w:tcPr>
          <w:p>
            <w:pPr>
              <w:spacing w:before="40" w:after="40"/>
              <w:jc w:val="left"/>
            </w:pPr>
            <w:r>
              <w:rPr>
                <w:rFonts w:ascii="Calibri" w:hAnsi="Calibri"/>
                <w:color w:val="1E293B"/>
                <w:sz w:val="18"/>
              </w:rPr>
              <w:t>BCNF</w:t>
            </w:r>
          </w:p>
        </w:tc>
      </w:tr>
      <w:tr>
        <w:tc>
          <w:tcPr>
            <w:tcW w:type="dxa" w:w="2160"/>
            <w:shd w:fill="FFFFFF"/>
            <w:tcMar>
              <w:top w:w="80" w:type="dxa"/>
              <w:bottom w:w="80" w:type="dxa"/>
              <w:left w:w="120" w:type="dxa"/>
              <w:right w:w="120" w:type="dxa"/>
            </w:tcMar>
          </w:tcPr>
          <w:p>
            <w:pPr>
              <w:spacing w:before="40" w:after="40"/>
              <w:jc w:val="left"/>
            </w:pPr>
            <w:r>
              <w:rPr>
                <w:rFonts w:ascii="Calibri" w:hAnsi="Calibri"/>
                <w:color w:val="1E293B"/>
                <w:sz w:val="18"/>
              </w:rPr>
              <w:t>audit_logs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log_id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log_id</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customer_id (Nullable)</w:t>
            </w:r>
          </w:p>
        </w:tc>
        <w:tc>
          <w:tcPr>
            <w:tcW w:type="dxa" w:w="1872"/>
            <w:shd w:fill="FFFFFF"/>
            <w:tcMar>
              <w:top w:w="80" w:type="dxa"/>
              <w:bottom w:w="80" w:type="dxa"/>
              <w:left w:w="120" w:type="dxa"/>
              <w:right w:w="120" w:type="dxa"/>
            </w:tcMar>
          </w:tcPr>
          <w:p>
            <w:pPr>
              <w:spacing w:before="40" w:after="40"/>
              <w:jc w:val="left"/>
            </w:pPr>
            <w:r>
              <w:rPr>
                <w:rFonts w:ascii="Calibri" w:hAnsi="Calibri"/>
                <w:color w:val="1E293B"/>
                <w:sz w:val="18"/>
              </w:rPr>
              <w:t>BCNF</w:t>
            </w:r>
          </w:p>
        </w:tc>
      </w:tr>
    </w:tbl>
    <w:p>
      <w:pPr>
        <w:spacing w:after="120"/>
      </w:pPr>
    </w:p>
    <w:p>
      <w:pPr>
        <w:pStyle w:val="Heading1"/>
        <w:keepNext/>
        <w:spacing w:before="320" w:after="120"/>
      </w:pPr>
      <w:r>
        <w:rPr>
          <w:rFonts w:ascii="Calibri" w:hAnsi="Calibri"/>
          <w:b/>
          <w:color w:val="1E3A8A"/>
          <w:sz w:val="32"/>
        </w:rPr>
        <w:t>10. Final Entity-Relationship (ER) Diagram</w:t>
      </w:r>
    </w:p>
    <w:p>
      <w:pPr>
        <w:spacing w:after="80"/>
      </w:pPr>
      <w:r>
        <w:t>Below is the structural Entity-Relationship model of the normalized Bharat Trust Bank relational schema, delineating all primary-to-foreign key cardinalities (1:1, 1:N) and referential integrity actions:</w:t>
      </w:r>
    </w:p>
    <w:p>
      <w:pPr>
        <w:ind w:left="288"/>
      </w:pPr>
      <w:r>
        <w:rPr>
          <w:rFonts w:ascii="Consolas" w:hAnsi="Consolas"/>
          <w:color w:val="1E293B"/>
          <w:sz w:val="17"/>
        </w:rPr>
        <w:t>+-------------------+          1:N          +-------------------+</w:t>
        <w:br/>
        <w:t>|     BRANCHES      |&lt;----------------------|     ACCOUNTS      |</w:t>
        <w:br/>
        <w:t>| PK: ifsc_code     |  (ON DELETE RESTRICT) | PK: account_number|</w:t>
        <w:br/>
        <w:t>+-------------------+                       | FK: ifsc_code     |</w:t>
        <w:br/>
        <w:t xml:space="preserve">                                            | FK: customer_id   |</w:t>
        <w:br/>
        <w:t xml:space="preserve">                                            +-------------------+</w:t>
        <w:br/>
        <w:t xml:space="preserve">                                                      | 1:N</w:t>
        <w:br/>
        <w:t xml:space="preserve">                                                      v</w:t>
        <w:br/>
        <w:t>+-------------------+          1:N          +-------------------+</w:t>
        <w:br/>
        <w:t>|     CUSTOMERS     |----------------------&gt;|ACCOUNT_CREDENTIALS|</w:t>
        <w:br/>
        <w:t>| PK: customer_id   |  (ON DELETE CASCADE)  | PK: credential_id |</w:t>
        <w:br/>
        <w:t>+-------------------+                       | FK: account_number|</w:t>
        <w:br/>
        <w:t xml:space="preserve">     |        |   |                         +-------------------+</w:t>
        <w:br/>
        <w:t xml:space="preserve"> 1:N |    1:N |   | 1:N</w:t>
        <w:br/>
        <w:t xml:space="preserve">     v        |   +-------------------------&gt;+-------------------+</w:t>
        <w:br/>
        <w:t>+---------+   |                              |   BENEFICIARIES   |</w:t>
        <w:br/>
        <w:t>| NOMINEES|   |                              | PK: beneficiary_id|</w:t>
        <w:br/>
        <w:t>+---------+   v                              +-------------------+</w:t>
        <w:br/>
        <w:t xml:space="preserve">       +---------------+                     +-------------------+</w:t>
        <w:br/>
        <w:t xml:space="preserve">       |KYC_VERIFY_LOGS|                     |     DEPOSITS      |</w:t>
        <w:br/>
        <w:t xml:space="preserve">       +---------------+                     | PK: deposit_id    |</w:t>
        <w:br/>
        <w:t xml:space="preserve">                                             | FK: linked_account|</w:t>
        <w:br/>
        <w:t xml:space="preserve">                                             +-------------------+</w:t>
      </w:r>
    </w:p>
    <w:p>
      <w:pPr>
        <w:spacing w:after="120"/>
      </w:pPr>
    </w:p>
    <w:p>
      <w:pPr>
        <w:pStyle w:val="Heading1"/>
        <w:keepNext/>
        <w:spacing w:before="320" w:after="120"/>
      </w:pPr>
      <w:r>
        <w:rPr>
          <w:rFonts w:ascii="Calibri" w:hAnsi="Calibri"/>
          <w:b/>
          <w:color w:val="1E3A8A"/>
          <w:sz w:val="32"/>
        </w:rPr>
        <w:t>11. Data Migration Strategy and Preservation Checks</w:t>
      </w:r>
    </w:p>
    <w:p>
      <w:pPr>
        <w:spacing w:after="120"/>
      </w:pPr>
      <w:r>
        <w:t>The migration script 'bankist_migration.sql' was engineered to execute an ACID-compliant, lossless transformation from the original database schema to the normalized schema.</w:t>
        <w:br/>
        <w:br/>
        <w:t>Migration Safeguards &amp; Sequence:</w:t>
        <w:br/>
        <w:t>1. Missing Branch Resolution: Pre-inserts 'BR-000' ('Downtown Central', IFSC: BNKST0001) into 'branches' so that subsequent account insertions do not violate foreign key constraints.</w:t>
        <w:br/>
        <w:t>2. Customer Demographics Ingestion: Ingests 124 customer profiles, omitting obsolete nominee and plaintext PIN columns.</w:t>
        <w:br/>
        <w:t>3. Nominee Decomposition: Selects non-null nominee rows from 'customers' (8 rows) and populates 'customer_nominees' with allocation_percentage = 100.00.</w:t>
        <w:br/>
        <w:t>4. Account Ingestion: Ingests 208 accounts into 'accounts', referencing 'branches(ifsc_code)' directly while maintaining compatibility columns.</w:t>
        <w:br/>
        <w:t>5. Card Credential Extraction: Ingests 208 debit card credentials into 'account_card_credentials' from account records, preserving genuine Bcrypt PIN hashes without fabricating artificial 16-digit card numbers, fake expirations, or fake daily limits.</w:t>
        <w:br/>
        <w:t>6. Transaction Channel Parsing: Ingests 782 transactions, identifying external UPI handles (30 rows, e.g. '@okhdfcbank') and preserving them in sender_account while categorizing channel = 'UPI'.</w:t>
        <w:br/>
        <w:t>7. Integrity Preservation: Preserves all 74 deposits, 99 beneficiaries, 815 KYC audits, 82 OTP challenges (plaintext scrubbed), 15 liens, 808 audit logs, and 26 rate limits.</w:t>
      </w:r>
    </w:p>
    <w:p>
      <w:pPr>
        <w:pStyle w:val="Heading1"/>
        <w:keepNext/>
        <w:spacing w:before="320" w:after="120"/>
      </w:pPr>
      <w:r>
        <w:rPr>
          <w:rFonts w:ascii="Calibri" w:hAnsi="Calibri"/>
          <w:b/>
          <w:color w:val="1E3A8A"/>
          <w:sz w:val="32"/>
        </w:rPr>
        <w:t>12. Validation Tests and Actual Empirical Outcomes</w:t>
      </w:r>
    </w:p>
    <w:p>
      <w:pPr>
        <w:spacing w:after="120"/>
      </w:pPr>
      <w:r>
        <w:t>A rigorous, automated test suite consisting of 37 relational, security, domain, and financial assertions ('bankist_normalization_tests.sql') was executed on a clean, disposable MySQL database ('bankist_norm_eval_*') using the runner script 'execute_normalization_validation.js'. Additionally, a 27-query real application compatibility test was executed via 'test_app_compatibility_on_disposable_db.js'. Below are the verified empirical outcomes: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168"/>
            <w:shd w:fill="1E3A8A"/>
            <w:tcMar>
              <w:top w:w="100" w:type="dxa"/>
              <w:bottom w:w="100" w:type="dxa"/>
              <w:left w:w="120" w:type="dxa"/>
              <w:right w:w="120" w:type="dxa"/>
            </w:tcMar>
          </w:tcPr>
          <w:p>
            <w:pPr>
              <w:spacing w:before="40" w:after="40"/>
              <w:jc w:val="left"/>
            </w:pPr>
            <w:r>
              <w:rPr>
                <w:rFonts w:ascii="Calibri" w:hAnsi="Calibri"/>
                <w:b/>
                <w:color w:val="FFFFFF"/>
                <w:sz w:val="19"/>
              </w:rPr>
              <w:t>Assertion Name</w:t>
            </w:r>
          </w:p>
        </w:tc>
        <w:tc>
          <w:tcPr>
            <w:tcW w:type="dxa" w:w="1584"/>
            <w:shd w:fill="1E3A8A"/>
            <w:tcMar>
              <w:top w:w="100" w:type="dxa"/>
              <w:bottom w:w="100" w:type="dxa"/>
              <w:left w:w="120" w:type="dxa"/>
              <w:right w:w="120" w:type="dxa"/>
            </w:tcMar>
          </w:tcPr>
          <w:p>
            <w:pPr>
              <w:spacing w:before="40" w:after="40"/>
              <w:jc w:val="left"/>
            </w:pPr>
            <w:r>
              <w:rPr>
                <w:rFonts w:ascii="Calibri" w:hAnsi="Calibri"/>
                <w:b/>
                <w:color w:val="FFFFFF"/>
                <w:sz w:val="19"/>
              </w:rPr>
              <w:t>Expected Value</w:t>
            </w:r>
          </w:p>
        </w:tc>
        <w:tc>
          <w:tcPr>
            <w:tcW w:type="dxa" w:w="1584"/>
            <w:shd w:fill="1E3A8A"/>
            <w:tcMar>
              <w:top w:w="100" w:type="dxa"/>
              <w:bottom w:w="100" w:type="dxa"/>
              <w:left w:w="120" w:type="dxa"/>
              <w:right w:w="120" w:type="dxa"/>
            </w:tcMar>
          </w:tcPr>
          <w:p>
            <w:pPr>
              <w:spacing w:before="40" w:after="40"/>
              <w:jc w:val="left"/>
            </w:pPr>
            <w:r>
              <w:rPr>
                <w:rFonts w:ascii="Calibri" w:hAnsi="Calibri"/>
                <w:b/>
                <w:color w:val="FFFFFF"/>
                <w:sz w:val="19"/>
              </w:rPr>
              <w:t>Actual Outcome</w:t>
            </w:r>
          </w:p>
        </w:tc>
        <w:tc>
          <w:tcPr>
            <w:tcW w:type="dxa" w:w="1296"/>
            <w:shd w:fill="1E3A8A"/>
            <w:tcMar>
              <w:top w:w="100" w:type="dxa"/>
              <w:bottom w:w="100" w:type="dxa"/>
              <w:left w:w="120" w:type="dxa"/>
              <w:right w:w="120" w:type="dxa"/>
            </w:tcMar>
          </w:tcPr>
          <w:p>
            <w:pPr>
              <w:spacing w:before="40" w:after="40"/>
              <w:jc w:val="left"/>
            </w:pPr>
            <w:r>
              <w:rPr>
                <w:rFonts w:ascii="Calibri" w:hAnsi="Calibri"/>
                <w:b/>
                <w:color w:val="FFFFFF"/>
                <w:sz w:val="19"/>
              </w:rPr>
              <w:t>Status</w:t>
            </w:r>
          </w:p>
        </w:tc>
        <w:tc>
          <w:tcPr>
            <w:tcW w:type="dxa" w:w="1728"/>
            <w:shd w:fill="1E3A8A"/>
            <w:tcMar>
              <w:top w:w="100" w:type="dxa"/>
              <w:bottom w:w="100" w:type="dxa"/>
              <w:left w:w="120" w:type="dxa"/>
              <w:right w:w="120" w:type="dxa"/>
            </w:tcMar>
          </w:tcPr>
          <w:p>
            <w:pPr>
              <w:spacing w:before="40" w:after="40"/>
              <w:jc w:val="left"/>
            </w:pPr>
            <w:r>
              <w:rPr>
                <w:rFonts w:ascii="Calibri" w:hAnsi="Calibri"/>
                <w:b/>
                <w:color w:val="FFFFFF"/>
                <w:sz w:val="19"/>
              </w:rPr>
              <w:t>Domain Scope</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T01_BASE_TABLES_COUNT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13 Tables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13 Tables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DDL Schema Completeness</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T02_VIEWS_COUNT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6 Views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6 Views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Backward Compatibility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T03_FOREIGN_KEYS_ENFORCED</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&gt;= 10</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10 Foreign Keys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Referential Integrity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T04A_ORPHAN_ACCOUNTS_CUSTOMER</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Account Holder Foreign Key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T04B_ORPHAN_ACCOUNTS_BRANCH</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Branch Domicile Foreign Key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T04C_ORPHAN_CARD_CREDENTIALS_ACCOUNT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Card Instrument Account FK</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T04D_ORPHAN_NOMINEES_CUSTOMER</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Nominee Customer FK</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T04E_ORPHAN_DEPOSITS_ACCOUNT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Deposit Settlement Account FK</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T04F_ORPHAN_BENEFICIARIES_CUSTOMER</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Beneficiary Payee FK</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T04G_ORPHAN_KYC_CUSTOMER</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Regulatory KYC Audit FK</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T04H_ORPHAN_LIENS_ACCOUNT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Orphans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Lien Account Hold FK</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T05A_SECURITY_NO_PLAINTEXT_CARD_PINS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Columns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Columns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Credential Security Hardening</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T05B_SECURITY_NO_PLAINTEXT_OTP</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Columns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Columns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2FA Security Hardening</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T05C_SECURITY_BCRYPT_PIN_HASH_INTEGRITY</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Salted Bcrypt Verification</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T06A_CHECK_NON_NEGATIVE_BALANCES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Non-Negative Balance Invariant</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T06B_CHECK_CREDIT_SCORE_RANGE</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CIBIL Score Domain (300-900)</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T06C_CHECK_DEPOSIT_PRINCIPAL_MIN</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Minimum Principal Invariant</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T06D_CHECK_DEPOSIT_MATURITY_GTE_PRINCIPAL</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Maturity Compound Yield</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T06E_CHECK_TXN_AMOUNT_POSITIVE</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Invalid</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Strict Positive Transaction</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T07A_BALANCE_SUM_CONSERVATION</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₹19,155,216.07</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₹19,155,216.07</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Financial Balance Parity (₹0.00 Variance)</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T07B_TXN_AMOUNT_SUM_CONSERVATION</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₹6,891,891.26</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₹6,891,891.26</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Transaction Volume Parity (₹0.00 Variance)</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T07C_DEP_PRINCIPAL_SUM_CONSERVATION</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₹2,505,000.00</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₹2,505,000.00</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Deposit Principal Parity (₹0.00 Variance)</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T07D_CUSTOMERS_COUNT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124 Records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124 Records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Customer Baseline Parity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T07E_ACCOUNTS_COUNT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208 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208 Records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Account Baseline Parity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T07F_TRANSACTIONS_COUNT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782 Records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782 Records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Transaction Ledger Parity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T07G_DEPOSITS_COUNT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74 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74 Records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Term Deposit Parity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T07H_KYC_VERIFICATIONS_COUNT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815 Records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815 Records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Regulatory KYC Parity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T07I_BENEFICIARIES_COUNT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99 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99 Records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Beneficiary Registry Parity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T07J_CARD_CREDENTIALS_COUNT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208 Records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208 Records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Genuine Account Card Credentials</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T07K_CUSTOMER_NOMINEES_COUNT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8 Nominees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8 Nominees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Customer Nominees Parity</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T07L_LIENS_COUNT</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15 Liens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15 Liens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Account Lien Records Parity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T08A_PRESERVED_UPI_SENDERS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30 Preserved</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30 Preserved</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Preserved External UPI VPAs</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T09A_VIEW_ACCOUNTS_LEGACY_PARITY</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208 Rows, 0 Null</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208 Rows, 0 Null</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Legacy View Reconstruction</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T09B_VIEW_CUSTOMERS_LEGACY_NOMINEE_COUNT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8 Nominees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8 Nominees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Legacy Customers View Join</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T09C_VIEW_PORTFOLIO_LIQUID_BALANCE</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₹19,155,216.07</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₹19,155,216.07</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Portfolio View Balance Parity</w:t>
            </w:r>
          </w:p>
        </w:tc>
      </w:tr>
      <w:tr>
        <w:tc>
          <w:tcPr>
            <w:tcW w:type="dxa" w:w="3168"/>
            <w:shd w:fill="F8FAFC"/>
            <w:tcMar>
              <w:top w:w="80" w:type="dxa"/>
              <w:bottom w:w="80" w:type="dxa"/>
              <w:left w:w="120" w:type="dxa"/>
              <w:right w:w="120" w:type="dxa"/>
            </w:tcMar>
          </w:tcPr>
          <w:p>
            <w:pPr>
              <w:spacing w:before="40" w:after="40"/>
              <w:jc w:val="left"/>
            </w:pPr>
            <w:r>
              <w:rPr>
                <w:rFonts w:ascii="Calibri" w:hAnsi="Calibri"/>
                <w:color w:val="1E293B"/>
                <w:sz w:val="18"/>
              </w:rPr>
              <w:t>T09D_VIEW_CUSTOMERS_ONLY_FULL_GROUP_BY_STRICT</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124 Rows</w:t>
            </w:r>
          </w:p>
        </w:tc>
        <w:tc>
          <w:tcPr>
            <w:tcW w:type="dxa" w:w="1584"/>
            <w:shd w:fill="F8FAFC"/>
            <w:tcMar>
              <w:top w:w="80" w:type="dxa"/>
              <w:bottom w:w="80" w:type="dxa"/>
              <w:left w:w="120" w:type="dxa"/>
              <w:right w:w="120" w:type="dxa"/>
            </w:tcMar>
          </w:tcPr>
          <w:p>
            <w:pPr>
              <w:spacing w:before="40" w:after="40"/>
              <w:jc w:val="left"/>
            </w:pPr>
            <w:r>
              <w:rPr>
                <w:rFonts w:ascii="Calibri" w:hAnsi="Calibri"/>
                <w:color w:val="1E293B"/>
                <w:sz w:val="18"/>
              </w:rPr>
              <w:t>124 Rows</w:t>
            </w:r>
          </w:p>
        </w:tc>
        <w:tc>
          <w:tcPr>
            <w:tcW w:type="dxa" w:w="1296"/>
            <w:shd w:fill="F8FAFC"/>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8FAFC"/>
            <w:tcMar>
              <w:top w:w="80" w:type="dxa"/>
              <w:bottom w:w="80" w:type="dxa"/>
              <w:left w:w="120" w:type="dxa"/>
              <w:right w:w="120" w:type="dxa"/>
            </w:tcMar>
          </w:tcPr>
          <w:p>
            <w:pPr>
              <w:spacing w:before="40" w:after="40"/>
              <w:jc w:val="left"/>
            </w:pPr>
            <w:r>
              <w:rPr>
                <w:rFonts w:ascii="Calibri" w:hAnsi="Calibri"/>
                <w:color w:val="1E293B"/>
                <w:sz w:val="18"/>
              </w:rPr>
              <w:t>Strict ONLY_FULL_GROUP_BY Compliance</w:t>
            </w:r>
          </w:p>
        </w:tc>
      </w:tr>
      <w:tr>
        <w:tc>
          <w:tcPr>
            <w:tcW w:type="dxa" w:w="3168"/>
            <w:shd w:fill="FFFFFF"/>
            <w:tcMar>
              <w:top w:w="80" w:type="dxa"/>
              <w:bottom w:w="80" w:type="dxa"/>
              <w:left w:w="120" w:type="dxa"/>
              <w:right w:w="120" w:type="dxa"/>
            </w:tcMar>
          </w:tcPr>
          <w:p>
            <w:pPr>
              <w:spacing w:before="40" w:after="40"/>
              <w:jc w:val="left"/>
            </w:pPr>
            <w:r>
              <w:rPr>
                <w:rFonts w:ascii="Calibri" w:hAnsi="Calibri"/>
                <w:color w:val="1E293B"/>
                <w:sz w:val="18"/>
              </w:rPr>
              <w:t>T09E_VIEW_CUSTOMERS_AT_MOST_ONE_ROW_PER_CUSTOMER</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Duplicates</w:t>
            </w:r>
          </w:p>
        </w:tc>
        <w:tc>
          <w:tcPr>
            <w:tcW w:type="dxa" w:w="1584"/>
            <w:shd w:fill="FFFFFF"/>
            <w:tcMar>
              <w:top w:w="80" w:type="dxa"/>
              <w:bottom w:w="80" w:type="dxa"/>
              <w:left w:w="120" w:type="dxa"/>
              <w:right w:w="120" w:type="dxa"/>
            </w:tcMar>
          </w:tcPr>
          <w:p>
            <w:pPr>
              <w:spacing w:before="40" w:after="40"/>
              <w:jc w:val="left"/>
            </w:pPr>
            <w:r>
              <w:rPr>
                <w:rFonts w:ascii="Calibri" w:hAnsi="Calibri"/>
                <w:color w:val="1E293B"/>
                <w:sz w:val="18"/>
              </w:rPr>
              <w:t>0 Duplicates</w:t>
            </w:r>
          </w:p>
        </w:tc>
        <w:tc>
          <w:tcPr>
            <w:tcW w:type="dxa" w:w="1296"/>
            <w:shd w:fill="FFFFFF"/>
            <w:tcMar>
              <w:top w:w="80" w:type="dxa"/>
              <w:bottom w:w="80" w:type="dxa"/>
              <w:left w:w="120" w:type="dxa"/>
              <w:right w:w="120" w:type="dxa"/>
            </w:tcMar>
          </w:tcPr>
          <w:p>
            <w:pPr>
              <w:spacing w:before="40" w:after="40"/>
              <w:jc w:val="left"/>
            </w:pPr>
            <w:r>
              <w:rPr>
                <w:rFonts w:ascii="Calibri" w:hAnsi="Calibri"/>
                <w:color w:val="1E293B"/>
                <w:sz w:val="18"/>
              </w:rPr>
              <w:t>PASS</w:t>
            </w:r>
          </w:p>
        </w:tc>
        <w:tc>
          <w:tcPr>
            <w:tcW w:type="dxa" w:w="1728"/>
            <w:shd w:fill="FFFFFF"/>
            <w:tcMar>
              <w:top w:w="80" w:type="dxa"/>
              <w:bottom w:w="80" w:type="dxa"/>
              <w:left w:w="120" w:type="dxa"/>
              <w:right w:w="120" w:type="dxa"/>
            </w:tcMar>
          </w:tcPr>
          <w:p>
            <w:pPr>
              <w:spacing w:before="40" w:after="40"/>
              <w:jc w:val="left"/>
            </w:pPr>
            <w:r>
              <w:rPr>
                <w:rFonts w:ascii="Calibri" w:hAnsi="Calibri"/>
                <w:color w:val="1E293B"/>
                <w:sz w:val="18"/>
              </w:rPr>
              <w:t>Nominee Projection Uniqueness</w:t>
            </w:r>
          </w:p>
        </w:tc>
      </w:tr>
    </w:tbl>
    <w:p>
      <w:pPr>
        <w:spacing w:after="120"/>
      </w:pPr>
      <w:r>
        <w:br/>
        <w:t>Summary of Validation Results: 37 assertions executed; 37 assertions PASSED; 0 FAILED. The financial ledger balance sum was conserved to the exact penny: ₹19,155,216.07 with zero unexplained variance. Application compatibility testing against disposable databases confirmed 27 out of 27 Next.js net-banking queries passed cleanly.</w:t>
      </w:r>
    </w:p>
    <w:p>
      <w:pPr>
        <w:pStyle w:val="Heading1"/>
        <w:keepNext/>
        <w:spacing w:before="320" w:after="120"/>
      </w:pPr>
      <w:r>
        <w:rPr>
          <w:rFonts w:ascii="Calibri" w:hAnsi="Calibri"/>
          <w:b/>
          <w:color w:val="1E3A8A"/>
          <w:sz w:val="32"/>
        </w:rPr>
        <w:t>13. Remaining Limitations, Assumptions, and Design Trade-Offs</w:t>
      </w:r>
    </w:p>
    <w:p>
      <w:pPr>
        <w:spacing w:after="120"/>
      </w:pPr>
      <w:r>
        <w:t>A rigorous database architect must clearly distinguish changes actually implemented from remaining trade-offs and operational assumptions:</w:t>
        <w:br/>
        <w:br/>
        <w:t>1. Implemented Changes:</w:t>
        <w:br/>
        <w:t xml:space="preserve">   • Creation of 'bankist_normalized.sql' defining all 13 BCNF tables, constraints, indexes, and 6 views.</w:t>
        <w:br/>
        <w:t xml:space="preserve">   • Creation of 'bankist_migration.sql' performing safe, lossless data migration from the original schema.</w:t>
        <w:br/>
        <w:t xml:space="preserve">   • Creation of 'bankist_normalization_tests.sql' executing all 37 empirical assertions.</w:t>
        <w:br/>
        <w:t xml:space="preserve">   • Empirical proof of 100% test pass rate and ₹0.00 financial variance in disposable test environments.</w:t>
        <w:br/>
        <w:t xml:space="preserve">   • Preservation of live 'bankist' in an untouched, pristine state (SHA-256 fingerprint verified before and after).</w:t>
        <w:br/>
        <w:br/>
        <w:t>2. Strategic Trade-Offs &amp; Analytical Views:</w:t>
        <w:br/>
        <w:t xml:space="preserve">   • Normalizing 'branch_name' out of 'accounts' requires a relational JOIN against 'branches' whenever an account listing is rendered. To maintain sub-millisecond query performance and eliminate any risk of breaking existing Next.js net-banking API routes, we introduced 'v_accounts_legacy' which pre-joins 'accounts' and 'branches', while maintaining compatibility columns on 'accounts'.</w:t>
        <w:br/>
        <w:t xml:space="preserve">   • Nominee De-embedding: In 'v_customers_legacy', nominee attributes are joined using a GROUP BY subquery to project the primary nominee, ensuring that legacy front-end profile views continue to render seamlessly without code changes.</w:t>
        <w:br/>
        <w:br/>
        <w:t>3. Incomplete / Future Recommendations Requiring Separate Approval:</w:t>
        <w:br/>
        <w:t xml:space="preserve">   • In-place replacement of live production tables ('bankist') was intentionally NOT executed to adhere to the submission freeze directive. Production switchover should follow the planned cutover procedure during a scheduled maintenance window.</w:t>
        <w:br/>
        <w:t xml:space="preserve">   • Hardware Security Module (HSM) Key Derivation: Plaintext PINs were scrubbed, and Bcrypt hashes were generated. Full production banking standards recommend migrating card PIN blocks to ISO 9564 PIN blocks encrypted under HSM zone master keys.</w:t>
      </w:r>
    </w:p>
    <w:p>
      <w:pPr>
        <w:pStyle w:val="Heading1"/>
        <w:keepNext/>
        <w:spacing w:before="320" w:after="120"/>
      </w:pPr>
      <w:r>
        <w:rPr>
          <w:rFonts w:ascii="Calibri" w:hAnsi="Calibri"/>
          <w:b/>
          <w:color w:val="1E3A8A"/>
          <w:sz w:val="32"/>
        </w:rPr>
        <w:t>14. Instructions for Executing the Final SQL Safely</w:t>
      </w:r>
    </w:p>
    <w:p>
      <w:pPr>
        <w:spacing w:after="240"/>
      </w:pPr>
      <w:r>
        <w:t>To execute the normalized schema and data migration safely in any target environment, follow the verified standard operating procedure:</w:t>
        <w:br/>
        <w:br/>
        <w:t>Prerequisites:</w:t>
        <w:br/>
        <w:t>• MySQL 8.0.16+ Community or Enterprise Server with InnoDB storage engine enabled.</w:t>
        <w:br/>
        <w:t>• Privileges: CREATE, DROP, ALTER, SELECT, INSERT, UPDATE, REFERENCES on target databases.</w:t>
        <w:br/>
        <w:br/>
        <w:t>Step 1: Test in a Disposable Database First</w:t>
        <w:br/>
        <w:t xml:space="preserve">   mysql -u root -p -e "CREATE DATABASE bankist_norm_test CHARACTER SET utf8mb4 COLLATE utf8mb4_unicode_ci;"</w:t>
        <w:br/>
        <w:t xml:space="preserve">   mysql -u root -p bankist_norm_test &lt; "DBMS project/bankist_normalized.sql"</w:t>
        <w:br/>
        <w:t xml:space="preserve">   mysql -u root -p bankist_norm_test &lt; "DBMS project/bankist_migration.sql"</w:t>
        <w:br/>
        <w:t xml:space="preserve">   mysql -u root -p bankist_norm_test &lt; "DBMS project/bankist_normalization_tests.sql"</w:t>
        <w:br/>
        <w:br/>
        <w:t>Step 2: Automated Verification</w:t>
        <w:br/>
        <w:t xml:space="preserve">   Execute the automated test runner directly via Node.js:</w:t>
        <w:br/>
        <w:t xml:space="preserve">   node scripts/execute_normalization_validation.js</w:t>
        <w:br/>
        <w:t xml:space="preserve">   Verify that all 37 assertions output [PASS] and that the live database remains untouched.</w:t>
        <w:br/>
        <w:br/>
        <w:t>Step 3: Safe Production Cutover (When Approved)</w:t>
        <w:br/>
        <w:t xml:space="preserve">   1. Create an immutable physical backup of live 'bankist':</w:t>
        <w:br/>
        <w:t xml:space="preserve">      mysqldump -u root -p --single-transaction --routines --triggers bankist &gt; bankist_pre_norm_backup.sql</w:t>
        <w:br/>
        <w:t xml:space="preserve">   2. Apply migration to a shadow database 'bankist_stage'.</w:t>
        <w:br/>
        <w:t xml:space="preserve">   3. Verify row counts and balance sum (₹19,155,216.07).</w:t>
        <w:br/>
        <w:t xml:space="preserve">   4. Atomic database rename:</w:t>
        <w:br/>
        <w:t xml:space="preserve">      RENAME TABLE bankist.accounts TO bankist_legacy.accounts,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