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2252B"/>
          <w:sz w:val="44"/>
        </w:rPr>
        <w:t>Synora — 5-Minute Presentation Script</w:t>
      </w:r>
    </w:p>
    <w:p>
      <w:pPr>
        <w:spacing w:after="40"/>
      </w:pPr>
      <w:r>
        <w:rPr>
          <w:b/>
          <w:color w:val="455A50"/>
          <w:sz w:val="24"/>
        </w:rPr>
        <w:t>Manan Kochhar   ·   Arshpreet Kaur   ·   Atharv Bains</w:t>
      </w:r>
    </w:p>
    <w:p>
      <w:pPr>
        <w:spacing w:after="160"/>
      </w:pPr>
      <w:r>
        <w:rPr>
          <w:i/>
          <w:color w:val="606772"/>
          <w:sz w:val="21"/>
        </w:rPr>
        <w:t>Target: 4:45–5:00   ·   Order: Manan → Atharv → Arshpreet → Manan → close</w:t>
      </w:r>
    </w:p>
    <w:p>
      <w:pPr>
        <w:spacing w:before="40" w:after="40"/>
      </w:pPr>
      <w:r>
        <w:rPr>
          <w:b/>
          <w:color w:val="8A7366"/>
          <w:sz w:val="19"/>
          <w:spacing w:val="36"/>
        </w:rPr>
        <w:t>TIMING AT A GLANCE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fill="22252B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1"/>
              </w:rPr>
              <w:t>Presenter</w:t>
            </w:r>
          </w:p>
        </w:tc>
        <w:tc>
          <w:tcPr>
            <w:tcW w:type="dxa" w:w="4896"/>
            <w:shd w:val="clear" w:fill="22252B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1"/>
              </w:rPr>
              <w:t>Section</w:t>
            </w:r>
          </w:p>
        </w:tc>
        <w:tc>
          <w:tcPr>
            <w:tcW w:type="dxa" w:w="1296"/>
            <w:shd w:val="clear" w:fill="22252B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1"/>
              </w:rPr>
              <w:t>Slides</w:t>
            </w:r>
          </w:p>
        </w:tc>
        <w:tc>
          <w:tcPr>
            <w:tcW w:type="dxa" w:w="1296"/>
            <w:shd w:val="clear" w:fill="22252B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1"/>
              </w:rPr>
              <w:t>Target</w:t>
            </w:r>
          </w:p>
        </w:tc>
      </w:tr>
      <w:tr>
        <w:tc>
          <w:tcPr>
            <w:tcW w:type="dxa" w:w="2016"/>
            <w:shd w:val="clear" w:fill="FFFFFF"/>
          </w:tcPr>
          <w:p>
            <w:pPr>
              <w:spacing w:after="40" w:before="40"/>
            </w:pPr>
            <w:r/>
            <w:r>
              <w:rPr>
                <w:b/>
                <w:color w:val="455A50"/>
                <w:sz w:val="21"/>
              </w:rPr>
              <w:t>Manan</w:t>
            </w:r>
          </w:p>
        </w:tc>
        <w:tc>
          <w:tcPr>
            <w:tcW w:type="dxa" w:w="4896"/>
            <w:shd w:val="clear" w:fill="FFFFFF"/>
          </w:tcPr>
          <w:p>
            <w:pPr>
              <w:spacing w:after="40" w:before="40"/>
            </w:pPr>
            <w:r/>
            <w:r>
              <w:rPr>
                <w:sz w:val="21"/>
              </w:rPr>
              <w:t>Opening + the product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</w:pPr>
            <w:r/>
            <w:r>
              <w:rPr>
                <w:sz w:val="21"/>
              </w:rPr>
              <w:t>1–7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</w:pPr>
            <w:r/>
            <w:r>
              <w:rPr>
                <w:b/>
                <w:color w:val="8A7366"/>
                <w:sz w:val="21"/>
              </w:rPr>
              <w:t>0:55</w:t>
            </w:r>
          </w:p>
        </w:tc>
      </w:tr>
      <w:tr>
        <w:tc>
          <w:tcPr>
            <w:tcW w:type="dxa" w:w="2016"/>
            <w:shd w:val="clear" w:fill="F6F7F8"/>
          </w:tcPr>
          <w:p>
            <w:pPr>
              <w:spacing w:after="40" w:before="40"/>
            </w:pPr>
            <w:r/>
            <w:r>
              <w:rPr>
                <w:b/>
                <w:color w:val="455A50"/>
                <w:sz w:val="21"/>
              </w:rPr>
              <w:t>Atharv</w:t>
            </w:r>
          </w:p>
        </w:tc>
        <w:tc>
          <w:tcPr>
            <w:tcW w:type="dxa" w:w="4896"/>
            <w:shd w:val="clear" w:fill="F6F7F8"/>
          </w:tcPr>
          <w:p>
            <w:pPr>
              <w:spacing w:after="40" w:before="40"/>
            </w:pPr>
            <w:r/>
            <w:r>
              <w:rPr>
                <w:sz w:val="21"/>
              </w:rPr>
              <w:t>HTML — structure</w:t>
            </w:r>
          </w:p>
        </w:tc>
        <w:tc>
          <w:tcPr>
            <w:tcW w:type="dxa" w:w="1296"/>
            <w:shd w:val="clear" w:fill="F6F7F8"/>
          </w:tcPr>
          <w:p>
            <w:pPr>
              <w:spacing w:after="40" w:before="40"/>
            </w:pPr>
            <w:r/>
            <w:r>
              <w:rPr>
                <w:sz w:val="21"/>
              </w:rPr>
              <w:t>8–16</w:t>
            </w:r>
          </w:p>
        </w:tc>
        <w:tc>
          <w:tcPr>
            <w:tcW w:type="dxa" w:w="1296"/>
            <w:shd w:val="clear" w:fill="F6F7F8"/>
          </w:tcPr>
          <w:p>
            <w:pPr>
              <w:spacing w:after="40" w:before="40"/>
            </w:pPr>
            <w:r/>
            <w:r>
              <w:rPr>
                <w:b/>
                <w:color w:val="8A7366"/>
                <w:sz w:val="21"/>
              </w:rPr>
              <w:t>0:55</w:t>
            </w:r>
          </w:p>
        </w:tc>
      </w:tr>
      <w:tr>
        <w:tc>
          <w:tcPr>
            <w:tcW w:type="dxa" w:w="2016"/>
            <w:shd w:val="clear" w:fill="FFFFFF"/>
          </w:tcPr>
          <w:p>
            <w:pPr>
              <w:spacing w:after="40" w:before="40"/>
            </w:pPr>
            <w:r/>
            <w:r>
              <w:rPr>
                <w:b/>
                <w:color w:val="455A50"/>
                <w:sz w:val="21"/>
              </w:rPr>
              <w:t>Arshpreet</w:t>
            </w:r>
          </w:p>
        </w:tc>
        <w:tc>
          <w:tcPr>
            <w:tcW w:type="dxa" w:w="4896"/>
            <w:shd w:val="clear" w:fill="FFFFFF"/>
          </w:tcPr>
          <w:p>
            <w:pPr>
              <w:spacing w:after="40" w:before="40"/>
            </w:pPr>
            <w:r/>
            <w:r>
              <w:rPr>
                <w:sz w:val="21"/>
              </w:rPr>
              <w:t>CSS — the visual system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</w:pPr>
            <w:r/>
            <w:r>
              <w:rPr>
                <w:sz w:val="21"/>
              </w:rPr>
              <w:t>17–24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</w:pPr>
            <w:r/>
            <w:r>
              <w:rPr>
                <w:b/>
                <w:color w:val="8A7366"/>
                <w:sz w:val="21"/>
              </w:rPr>
              <w:t>1:00</w:t>
            </w:r>
          </w:p>
        </w:tc>
      </w:tr>
      <w:tr>
        <w:tc>
          <w:tcPr>
            <w:tcW w:type="dxa" w:w="2016"/>
            <w:shd w:val="clear" w:fill="F6F7F8"/>
          </w:tcPr>
          <w:p>
            <w:pPr>
              <w:spacing w:after="40" w:before="40"/>
            </w:pPr>
            <w:r/>
            <w:r>
              <w:rPr>
                <w:b/>
                <w:color w:val="455A50"/>
                <w:sz w:val="21"/>
              </w:rPr>
              <w:t>Manan</w:t>
            </w:r>
          </w:p>
        </w:tc>
        <w:tc>
          <w:tcPr>
            <w:tcW w:type="dxa" w:w="4896"/>
            <w:shd w:val="clear" w:fill="F6F7F8"/>
          </w:tcPr>
          <w:p>
            <w:pPr>
              <w:spacing w:after="40" w:before="40"/>
            </w:pPr>
            <w:r/>
            <w:r>
              <w:rPr>
                <w:sz w:val="21"/>
              </w:rPr>
              <w:t>JavaScript + product engineering</w:t>
            </w:r>
          </w:p>
        </w:tc>
        <w:tc>
          <w:tcPr>
            <w:tcW w:type="dxa" w:w="1296"/>
            <w:shd w:val="clear" w:fill="F6F7F8"/>
          </w:tcPr>
          <w:p>
            <w:pPr>
              <w:spacing w:after="40" w:before="40"/>
            </w:pPr>
            <w:r/>
            <w:r>
              <w:rPr>
                <w:sz w:val="21"/>
              </w:rPr>
              <w:t>25–33</w:t>
            </w:r>
          </w:p>
        </w:tc>
        <w:tc>
          <w:tcPr>
            <w:tcW w:type="dxa" w:w="1296"/>
            <w:shd w:val="clear" w:fill="F6F7F8"/>
          </w:tcPr>
          <w:p>
            <w:pPr>
              <w:spacing w:after="40" w:before="40"/>
            </w:pPr>
            <w:r/>
            <w:r>
              <w:rPr>
                <w:b/>
                <w:color w:val="8A7366"/>
                <w:sz w:val="21"/>
              </w:rPr>
              <w:t>1:35</w:t>
            </w:r>
          </w:p>
        </w:tc>
      </w:tr>
      <w:tr>
        <w:tc>
          <w:tcPr>
            <w:tcW w:type="dxa" w:w="2016"/>
            <w:shd w:val="clear" w:fill="FFFFFF"/>
          </w:tcPr>
          <w:p>
            <w:pPr>
              <w:spacing w:after="40" w:before="40"/>
            </w:pPr>
            <w:r/>
            <w:r>
              <w:rPr>
                <w:b/>
                <w:color w:val="455A50"/>
                <w:sz w:val="21"/>
              </w:rPr>
              <w:t>Manan</w:t>
            </w:r>
          </w:p>
        </w:tc>
        <w:tc>
          <w:tcPr>
            <w:tcW w:type="dxa" w:w="4896"/>
            <w:shd w:val="clear" w:fill="FFFFFF"/>
          </w:tcPr>
          <w:p>
            <w:pPr>
              <w:spacing w:after="40" w:before="40"/>
            </w:pPr>
            <w:r/>
            <w:r>
              <w:rPr>
                <w:sz w:val="21"/>
              </w:rPr>
              <w:t>Closing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</w:pPr>
            <w:r/>
            <w:r>
              <w:rPr>
                <w:sz w:val="21"/>
              </w:rPr>
              <w:t>34–35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</w:pPr>
            <w:r/>
            <w:r>
              <w:rPr>
                <w:b/>
                <w:color w:val="8A7366"/>
                <w:sz w:val="21"/>
              </w:rPr>
              <w:t>0:25</w:t>
            </w:r>
          </w:p>
        </w:tc>
      </w:tr>
      <w:tr>
        <w:tc>
          <w:tcPr>
            <w:tcW w:type="dxa" w:w="2016"/>
            <w:shd w:val="clear" w:fill="F6F7F8"/>
          </w:tcPr>
          <w:p>
            <w:pPr>
              <w:spacing w:after="40" w:before="40"/>
            </w:pPr>
            <w:r/>
            <w:r>
              <w:rPr>
                <w:b/>
                <w:color w:val="455A50"/>
                <w:sz w:val="21"/>
              </w:rPr>
              <w:t>—</w:t>
            </w:r>
          </w:p>
        </w:tc>
        <w:tc>
          <w:tcPr>
            <w:tcW w:type="dxa" w:w="4896"/>
            <w:shd w:val="clear" w:fill="F6F7F8"/>
          </w:tcPr>
          <w:p>
            <w:pPr>
              <w:spacing w:after="40" w:before="40"/>
            </w:pPr>
            <w:r/>
            <w:r>
              <w:rPr>
                <w:sz w:val="21"/>
              </w:rPr>
              <w:t>Transitions / handoffs</w:t>
            </w:r>
          </w:p>
        </w:tc>
        <w:tc>
          <w:tcPr>
            <w:tcW w:type="dxa" w:w="1296"/>
            <w:shd w:val="clear" w:fill="F6F7F8"/>
          </w:tcPr>
          <w:p>
            <w:pPr>
              <w:spacing w:after="40" w:before="40"/>
            </w:pPr>
            <w:r/>
            <w:r>
              <w:rPr>
                <w:sz w:val="21"/>
              </w:rPr>
              <w:t>—</w:t>
            </w:r>
          </w:p>
        </w:tc>
        <w:tc>
          <w:tcPr>
            <w:tcW w:type="dxa" w:w="1296"/>
            <w:shd w:val="clear" w:fill="F6F7F8"/>
          </w:tcPr>
          <w:p>
            <w:pPr>
              <w:spacing w:after="40" w:before="40"/>
            </w:pPr>
            <w:r/>
            <w:r>
              <w:rPr>
                <w:b/>
                <w:color w:val="8A7366"/>
                <w:sz w:val="21"/>
              </w:rPr>
              <w:t>0:15</w:t>
            </w:r>
          </w:p>
        </w:tc>
      </w:tr>
      <w:tr>
        <w:tc>
          <w:tcPr>
            <w:tcW w:type="dxa" w:w="2016"/>
            <w:shd w:val="clear" w:fill="EBEDEF"/>
          </w:tcPr>
          <w:p>
            <w:pPr>
              <w:spacing w:after="40" w:before="40"/>
            </w:pPr>
            <w:r/>
            <w:r>
              <w:rPr>
                <w:b/>
                <w:color w:val="22252B"/>
                <w:sz w:val="21"/>
              </w:rPr>
            </w:r>
          </w:p>
        </w:tc>
        <w:tc>
          <w:tcPr>
            <w:tcW w:type="dxa" w:w="4896"/>
            <w:shd w:val="clear" w:fill="EBEDEF"/>
          </w:tcPr>
          <w:p>
            <w:pPr>
              <w:spacing w:after="40" w:before="40"/>
            </w:pPr>
            <w:r/>
            <w:r>
              <w:rPr>
                <w:b/>
                <w:color w:val="22252B"/>
                <w:sz w:val="21"/>
              </w:rPr>
              <w:t>TOTAL</w:t>
            </w:r>
          </w:p>
        </w:tc>
        <w:tc>
          <w:tcPr>
            <w:tcW w:type="dxa" w:w="1296"/>
            <w:shd w:val="clear" w:fill="EBEDEF"/>
          </w:tcPr>
          <w:p>
            <w:pPr>
              <w:spacing w:after="40" w:before="40"/>
            </w:pPr>
            <w:r/>
            <w:r>
              <w:rPr>
                <w:b/>
                <w:color w:val="22252B"/>
                <w:sz w:val="21"/>
              </w:rPr>
            </w:r>
          </w:p>
        </w:tc>
        <w:tc>
          <w:tcPr>
            <w:tcW w:type="dxa" w:w="1296"/>
            <w:shd w:val="clear" w:fill="EBEDEF"/>
          </w:tcPr>
          <w:p>
            <w:pPr>
              <w:spacing w:after="40" w:before="40"/>
            </w:pPr>
            <w:r/>
            <w:r>
              <w:rPr>
                <w:b/>
                <w:color w:val="22252B"/>
                <w:sz w:val="21"/>
              </w:rPr>
              <w:t>~4:55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455A50"/>
          <w:sz w:val="19"/>
          <w:spacing w:val="36"/>
        </w:rPr>
        <w:t>DELIVERY NOTES</w:t>
      </w:r>
    </w:p>
    <w:p>
      <w:pPr>
        <w:spacing w:after="80"/>
        <w:ind w:left="317"/>
      </w:pPr>
      <w:r>
        <w:t>Speak at a calm, natural pace (~140 words/min). The slides carry the detail — don't read them. Keep each handoff to one sentence and keep the deck moving.</w:t>
      </w:r>
    </w:p>
    <w:p>
      <w:pPr>
        <w:spacing w:before="120" w:after="120"/>
        <w:pBdr>
          <w:bottom w:val="single" w:sz="6" w:space="1" w:color="D9DDE0"/>
        </w:pBdr>
      </w:pPr>
    </w:p>
    <w:p>
      <w:pPr>
        <w:spacing w:before="40" w:after="40"/>
      </w:pPr>
      <w:r>
        <w:rPr>
          <w:b/>
          <w:color w:val="455A50"/>
          <w:sz w:val="19"/>
          <w:spacing w:val="36"/>
        </w:rPr>
        <w:t>MANAN SPEAKS</w:t>
      </w:r>
    </w:p>
    <w:p>
      <w:pPr>
        <w:spacing w:before="280" w:after="80"/>
      </w:pPr>
      <w:r>
        <w:rPr>
          <w:b/>
          <w:color w:val="22252B"/>
          <w:sz w:val="32"/>
        </w:rPr>
        <w:t>1 · MANAN — Opening &amp; the product</w:t>
      </w:r>
      <w:r>
        <w:t xml:space="preserve">    </w:t>
      </w:r>
      <w:r>
        <w:rPr>
          <w:i/>
          <w:color w:val="8A7366"/>
          <w:sz w:val="22"/>
        </w:rPr>
        <w:t>Slides 1–7 · ~55 sec</w:t>
      </w:r>
    </w:p>
    <w:p>
      <w:pPr>
        <w:spacing w:before="160" w:after="40"/>
      </w:pPr>
      <w:r>
        <w:rPr>
          <w:b/>
          <w:color w:val="455A50"/>
          <w:sz w:val="21"/>
        </w:rPr>
        <w:t>▸ Slide 1 — Title</w:t>
      </w:r>
    </w:p>
    <w:p>
      <w:pPr>
        <w:spacing w:after="80"/>
        <w:ind w:left="317"/>
      </w:pPr>
      <w:r>
        <w:t>Good morning, everyone. We're Manan, Atharv and Arshpreet — and this is Synora: one calm home for everything you're studying.</w:t>
      </w:r>
    </w:p>
    <w:p>
      <w:pPr>
        <w:spacing w:before="160" w:after="40"/>
      </w:pPr>
      <w:r>
        <w:rPr>
          <w:b/>
          <w:color w:val="455A50"/>
          <w:sz w:val="21"/>
        </w:rPr>
        <w:t>▸ Slide 2 — The problem</w:t>
      </w:r>
    </w:p>
    <w:p>
      <w:pPr>
        <w:spacing w:after="80"/>
        <w:ind w:left="317"/>
      </w:pPr>
      <w:r>
        <w:t>The problem is simple: a student's semester is scattered across half a dozen apps — a to-do list, the class chat, sheets for attendance and grades — and none of them talk to each other.</w:t>
      </w:r>
    </w:p>
    <w:p>
      <w:pPr>
        <w:spacing w:before="160" w:after="40"/>
      </w:pPr>
      <w:r>
        <w:rPr>
          <w:b/>
          <w:color w:val="455A50"/>
          <w:sz w:val="21"/>
        </w:rPr>
        <w:t>▸ Slides 3–4 — The solution / What is Synora</w:t>
      </w:r>
    </w:p>
    <w:p>
      <w:pPr>
        <w:spacing w:after="80"/>
        <w:ind w:left="317"/>
      </w:pPr>
      <w:r>
        <w:t>So we built Synora — one personalized workspace that brings tasks, calendar, notes, timetable, attendance and grades together.</w:t>
      </w:r>
    </w:p>
    <w:p>
      <w:pPr>
        <w:spacing w:before="160" w:after="40"/>
      </w:pPr>
      <w:r>
        <w:rPr>
          <w:b/>
          <w:color w:val="455A50"/>
          <w:sz w:val="21"/>
        </w:rPr>
        <w:t>▸ Slide 5 — Technology stack</w:t>
      </w:r>
    </w:p>
    <w:p>
      <w:pPr>
        <w:spacing w:after="80"/>
        <w:ind w:left="317"/>
      </w:pPr>
      <w:r>
        <w:t>It's built purely with HTML5, CSS3 and JavaScript — no frameworks, no build step — with browser storage for data and Git for version control.</w:t>
      </w:r>
    </w:p>
    <w:p>
      <w:pPr>
        <w:spacing w:before="160" w:after="40"/>
      </w:pPr>
      <w:r>
        <w:rPr>
          <w:b/>
          <w:color w:val="455A50"/>
          <w:sz w:val="21"/>
        </w:rPr>
        <w:t>▸ Slides 6–7 — Architecture &amp; data flow</w:t>
      </w:r>
    </w:p>
    <w:p>
      <w:pPr>
        <w:spacing w:after="80"/>
        <w:ind w:left="317"/>
      </w:pPr>
      <w:r>
        <w:t>Structurally it's clean HTML, CSS and JS files — fourteen pages, eighteen scripts — all tied to one subject list as the single source of truth.</w:t>
      </w:r>
    </w:p>
    <w:p>
      <w:pPr>
        <w:spacing w:after="120"/>
        <w:ind w:left="317"/>
      </w:pPr>
      <w:r>
        <w:rPr>
          <w:i/>
          <w:color w:val="606772"/>
          <w:sz w:val="20"/>
        </w:rPr>
        <w:t>[ hand over to Atharv ]</w:t>
      </w:r>
    </w:p>
    <w:p>
      <w:pPr>
        <w:spacing w:after="80"/>
        <w:ind w:left="317"/>
      </w:pPr>
      <w:r>
        <w:t>That's the big picture — Atharv will take you through how we structured it in HTML.</w:t>
      </w:r>
    </w:p>
    <w:p>
      <w:pPr>
        <w:spacing w:before="120" w:after="120"/>
        <w:pBdr>
          <w:bottom w:val="single" w:sz="6" w:space="1" w:color="D9DDE0"/>
        </w:pBdr>
      </w:pPr>
    </w:p>
    <w:p>
      <w:pPr>
        <w:spacing w:before="40" w:after="40"/>
      </w:pPr>
      <w:r>
        <w:rPr>
          <w:b/>
          <w:color w:val="455A50"/>
          <w:sz w:val="19"/>
          <w:spacing w:val="36"/>
        </w:rPr>
        <w:t>ATHARV SPEAKS</w:t>
      </w:r>
    </w:p>
    <w:p>
      <w:pPr>
        <w:spacing w:before="280" w:after="80"/>
      </w:pPr>
      <w:r>
        <w:rPr>
          <w:b/>
          <w:color w:val="22252B"/>
          <w:sz w:val="32"/>
        </w:rPr>
        <w:t>2 · ATHARV — HTML (structure)</w:t>
      </w:r>
      <w:r>
        <w:t xml:space="preserve">    </w:t>
      </w:r>
      <w:r>
        <w:rPr>
          <w:i/>
          <w:color w:val="8A7366"/>
          <w:sz w:val="22"/>
        </w:rPr>
        <w:t>Slides 8–16 · ~55 sec</w:t>
      </w:r>
    </w:p>
    <w:p>
      <w:pPr>
        <w:spacing w:before="160" w:after="40"/>
      </w:pPr>
      <w:r>
        <w:rPr>
          <w:b/>
          <w:color w:val="455A50"/>
          <w:sz w:val="21"/>
        </w:rPr>
        <w:t>▸ Slide 8 — The structure behind Synora</w:t>
      </w:r>
    </w:p>
    <w:p>
      <w:pPr>
        <w:spacing w:after="80"/>
        <w:ind w:left="317"/>
      </w:pPr>
      <w:r>
        <w:t>Every Synora page is built with semantic HTML5 — header, nav, main, sections and a sidebar — so the structure is clear to the browser, to assistive tech, and to our own code.</w:t>
      </w:r>
    </w:p>
    <w:p>
      <w:pPr>
        <w:spacing w:before="160" w:after="40"/>
      </w:pPr>
      <w:r>
        <w:rPr>
          <w:b/>
          <w:color w:val="455A50"/>
          <w:sz w:val="21"/>
        </w:rPr>
        <w:t>▸ Slides 9–12 — Journey, landing, account, personalization</w:t>
      </w:r>
    </w:p>
    <w:p>
      <w:pPr>
        <w:spacing w:after="80"/>
        <w:ind w:left="317"/>
      </w:pPr>
      <w:r>
        <w:t>That structure carries the whole journey — from the landing page, into sign-up, a short personalization step for your avatar, subjects and attendance target, and finally the dashboard. These are all real HTML forms with proper labels and input types.</w:t>
      </w:r>
    </w:p>
    <w:p>
      <w:pPr>
        <w:spacing w:before="160" w:after="40"/>
      </w:pPr>
      <w:r>
        <w:rPr>
          <w:b/>
          <w:color w:val="455A50"/>
          <w:sz w:val="21"/>
        </w:rPr>
        <w:t>▸ Slides 13–15 — Feature walkthroughs</w:t>
      </w:r>
    </w:p>
    <w:p>
      <w:pPr>
        <w:spacing w:after="80"/>
        <w:ind w:left="317"/>
      </w:pPr>
      <w:r>
        <w:t>The features — tasks, calendar and notes, plus academic tools like timetable, attendance and CGPA — are all structured with lists, cards and form controls.</w:t>
      </w:r>
    </w:p>
    <w:p>
      <w:pPr>
        <w:spacing w:before="160" w:after="40"/>
      </w:pPr>
      <w:r>
        <w:rPr>
          <w:b/>
          <w:color w:val="455A50"/>
          <w:sz w:val="21"/>
        </w:rPr>
        <w:t>▸ Slide 16 — Forms &amp; accessibility</w:t>
      </w:r>
    </w:p>
    <w:p>
      <w:pPr>
        <w:spacing w:after="80"/>
        <w:ind w:left="317"/>
      </w:pPr>
      <w:r>
        <w:t>We've also handled accessibility basics — labelled inputs, ARIA and the right input types — so it's usable, not just visible.</w:t>
      </w:r>
    </w:p>
    <w:p>
      <w:pPr>
        <w:spacing w:after="120"/>
        <w:ind w:left="317"/>
      </w:pPr>
      <w:r>
        <w:rPr>
          <w:i/>
          <w:color w:val="606772"/>
          <w:sz w:val="20"/>
        </w:rPr>
        <w:t>[ hand over to Arshpreet ]</w:t>
      </w:r>
    </w:p>
    <w:p>
      <w:pPr>
        <w:spacing w:after="80"/>
        <w:ind w:left="317"/>
      </w:pPr>
      <w:r>
        <w:t>Once the structure was in place, Arshpreet turned it into Synora's visual system with CSS.</w:t>
      </w:r>
    </w:p>
    <w:p>
      <w:pPr>
        <w:spacing w:before="120" w:after="120"/>
        <w:pBdr>
          <w:bottom w:val="single" w:sz="6" w:space="1" w:color="D9DDE0"/>
        </w:pBdr>
      </w:pPr>
    </w:p>
    <w:p>
      <w:pPr>
        <w:spacing w:before="40" w:after="40"/>
      </w:pPr>
      <w:r>
        <w:rPr>
          <w:b/>
          <w:color w:val="455A50"/>
          <w:sz w:val="19"/>
          <w:spacing w:val="36"/>
        </w:rPr>
        <w:t>ARSHPREET SPEAKS</w:t>
      </w:r>
    </w:p>
    <w:p>
      <w:pPr>
        <w:spacing w:before="280" w:after="80"/>
      </w:pPr>
      <w:r>
        <w:rPr>
          <w:b/>
          <w:color w:val="22252B"/>
          <w:sz w:val="32"/>
        </w:rPr>
        <w:t>3 · ARSHPREET — CSS (the visual system)</w:t>
      </w:r>
      <w:r>
        <w:t xml:space="preserve">    </w:t>
      </w:r>
      <w:r>
        <w:rPr>
          <w:i/>
          <w:color w:val="8A7366"/>
          <w:sz w:val="22"/>
        </w:rPr>
        <w:t>Slides 17–24 · ~60 sec</w:t>
      </w:r>
    </w:p>
    <w:p>
      <w:pPr>
        <w:spacing w:before="160" w:after="40"/>
      </w:pPr>
      <w:r>
        <w:rPr>
          <w:b/>
          <w:color w:val="455A50"/>
          <w:sz w:val="21"/>
        </w:rPr>
        <w:t>▸ Slides 17–18 — Design system &amp; tokens.css</w:t>
      </w:r>
    </w:p>
    <w:p>
      <w:pPr>
        <w:spacing w:after="80"/>
        <w:ind w:left="317"/>
      </w:pPr>
      <w:r>
        <w:t>On top of that, we built one shared design system — one tokens.css file where every colour, space, font and radius is a CSS custom property, reused on every page. It's charcoal, sage and warm-neutral tones, with Manrope throughout.</w:t>
      </w:r>
    </w:p>
    <w:p>
      <w:pPr>
        <w:spacing w:before="160" w:after="40"/>
      </w:pPr>
      <w:r>
        <w:rPr>
          <w:b/>
          <w:color w:val="455A50"/>
          <w:sz w:val="21"/>
        </w:rPr>
        <w:t>▸ Slides 19–21 — Box model, Flexbox, Grid</w:t>
      </w:r>
    </w:p>
    <w:p>
      <w:pPr>
        <w:spacing w:after="80"/>
        <w:ind w:left="317"/>
      </w:pPr>
      <w:r>
        <w:t>For layout, every component is really a box — content, padding, border and margin. We use Flexbox for one-dimensional things like the navbar and toolbars, and Grid for two-dimensional layouts like the calendar and dashboard.</w:t>
      </w:r>
    </w:p>
    <w:p>
      <w:pPr>
        <w:spacing w:before="160" w:after="40"/>
      </w:pPr>
      <w:r>
        <w:rPr>
          <w:b/>
          <w:color w:val="455A50"/>
          <w:sz w:val="21"/>
        </w:rPr>
        <w:t>▸ Slide 22 — Responsive design</w:t>
      </w:r>
    </w:p>
    <w:p>
      <w:pPr>
        <w:spacing w:after="80"/>
        <w:ind w:left="317"/>
      </w:pPr>
      <w:r>
        <w:t>It's fully responsive — the same page adapts from desktop to tablet to mobile using media queries, and the navigation collapses into a menu on smaller screens.</w:t>
      </w:r>
    </w:p>
    <w:p>
      <w:pPr>
        <w:spacing w:before="160" w:after="40"/>
      </w:pPr>
      <w:r>
        <w:rPr>
          <w:b/>
          <w:color w:val="455A50"/>
          <w:sz w:val="21"/>
        </w:rPr>
        <w:t>▸ Slides 23–24 — Dark mode &amp; loading</w:t>
      </w:r>
    </w:p>
    <w:p>
      <w:pPr>
        <w:spacing w:after="80"/>
        <w:ind w:left="317"/>
      </w:pPr>
      <w:r>
        <w:t>It also supports a full dark mode, and a branded loading screen — pure CSS animation with a little JavaScript timing — gives the app a smooth entrance.</w:t>
      </w:r>
    </w:p>
    <w:p>
      <w:pPr>
        <w:spacing w:after="120"/>
        <w:ind w:left="317"/>
      </w:pPr>
      <w:r>
        <w:rPr>
          <w:i/>
          <w:color w:val="606772"/>
          <w:sz w:val="20"/>
        </w:rPr>
        <w:t>[ hand back to Manan ]</w:t>
      </w:r>
    </w:p>
    <w:p>
      <w:pPr>
        <w:spacing w:after="80"/>
        <w:ind w:left="317"/>
      </w:pPr>
      <w:r>
        <w:t>So HTML gives us the structure, CSS gives us the look — and Manan will show how JavaScript makes it interactive.</w:t>
      </w:r>
    </w:p>
    <w:p>
      <w:pPr>
        <w:spacing w:before="120" w:after="120"/>
        <w:pBdr>
          <w:bottom w:val="single" w:sz="6" w:space="1" w:color="D9DDE0"/>
        </w:pBdr>
      </w:pPr>
    </w:p>
    <w:p>
      <w:pPr>
        <w:spacing w:before="40" w:after="40"/>
      </w:pPr>
      <w:r>
        <w:rPr>
          <w:b/>
          <w:color w:val="455A50"/>
          <w:sz w:val="19"/>
          <w:spacing w:val="36"/>
        </w:rPr>
        <w:t>MANAN SPEAKS</w:t>
      </w:r>
    </w:p>
    <w:p>
      <w:pPr>
        <w:spacing w:before="280" w:after="80"/>
      </w:pPr>
      <w:r>
        <w:rPr>
          <w:b/>
          <w:color w:val="22252B"/>
          <w:sz w:val="32"/>
        </w:rPr>
        <w:t>4 · MANAN — JavaScript + product engineering</w:t>
      </w:r>
      <w:r>
        <w:t xml:space="preserve">    </w:t>
      </w:r>
      <w:r>
        <w:rPr>
          <w:i/>
          <w:color w:val="8A7366"/>
          <w:sz w:val="22"/>
        </w:rPr>
        <w:t>Slides 25–33 · ~1 min 35 sec</w:t>
      </w:r>
    </w:p>
    <w:p>
      <w:pPr>
        <w:spacing w:before="160" w:after="40"/>
      </w:pPr>
      <w:r>
        <w:rPr>
          <w:b/>
          <w:color w:val="455A50"/>
          <w:sz w:val="21"/>
        </w:rPr>
        <w:t>▸ Slides 25–26 — Interactive / fundamentals</w:t>
      </w:r>
    </w:p>
    <w:p>
      <w:pPr>
        <w:spacing w:after="80"/>
        <w:ind w:left="317"/>
      </w:pPr>
      <w:r>
        <w:t>This is where it comes alive. JavaScript manages Synora's state — tasks, subjects and users are structured data in variables, arrays and objects, and we loop over them to render the interface.</w:t>
      </w:r>
    </w:p>
    <w:p>
      <w:pPr>
        <w:spacing w:before="160" w:after="40"/>
      </w:pPr>
      <w:r>
        <w:rPr>
          <w:b/>
          <w:color w:val="455A50"/>
          <w:sz w:val="21"/>
        </w:rPr>
        <w:t>▸ Slide 27 — The DOM</w:t>
      </w:r>
    </w:p>
    <w:p>
      <w:pPr>
        <w:spacing w:after="80"/>
        <w:ind w:left="317"/>
      </w:pPr>
      <w:r>
        <w:t>The DOM is the bridge between that JavaScript and what you actually see. We select an element, change its content or its classes, and the browser updates instantly.</w:t>
      </w:r>
    </w:p>
    <w:p>
      <w:pPr>
        <w:spacing w:before="160" w:after="40"/>
      </w:pPr>
      <w:r>
        <w:rPr>
          <w:b/>
          <w:color w:val="455A50"/>
          <w:sz w:val="21"/>
        </w:rPr>
        <w:t>▸ Slides 28–29 — Dynamic UI &amp; events</w:t>
      </w:r>
    </w:p>
    <w:p>
      <w:pPr>
        <w:spacing w:after="80"/>
        <w:ind w:left="317"/>
      </w:pPr>
      <w:r>
        <w:t>So when you tick off a task or adjust attendance, an event listener runs a handler, updates the data, and re-renders that part of the page. We even use event delegation — one listener handles every task in the list.</w:t>
      </w:r>
    </w:p>
    <w:p>
      <w:pPr>
        <w:spacing w:before="160" w:after="40"/>
      </w:pPr>
      <w:r>
        <w:rPr>
          <w:b/>
          <w:color w:val="455A50"/>
          <w:sz w:val="21"/>
        </w:rPr>
        <w:t>▸ Slide 30 — Forms &amp; validation</w:t>
      </w:r>
    </w:p>
    <w:p>
      <w:pPr>
        <w:spacing w:after="80"/>
        <w:ind w:left="317"/>
      </w:pPr>
      <w:r>
        <w:t>Forms are validated in JavaScript too — we stop the default submit, check the input, and show friendly inline errors instead of letting bad data through.</w:t>
      </w:r>
    </w:p>
    <w:p>
      <w:pPr>
        <w:spacing w:before="160" w:after="40"/>
      </w:pPr>
      <w:r>
        <w:rPr>
          <w:b/>
          <w:color w:val="455A50"/>
          <w:sz w:val="21"/>
        </w:rPr>
        <w:t>▸ Slide 31 — Data &amp; persistence</w:t>
      </w:r>
    </w:p>
    <w:p>
      <w:pPr>
        <w:spacing w:after="80"/>
        <w:ind w:left="317"/>
      </w:pPr>
      <w:r>
        <w:t>It's all saved to the browser's local storage as JSON, per user, so your workspace survives a refresh — the honest limitation being it's client-side for now, not a backend.</w:t>
      </w:r>
    </w:p>
    <w:p>
      <w:pPr>
        <w:spacing w:before="160" w:after="40"/>
      </w:pPr>
      <w:r>
        <w:rPr>
          <w:b/>
          <w:color w:val="455A50"/>
          <w:sz w:val="21"/>
        </w:rPr>
        <w:t>▸ Slides 32–33 — The logic we coded / beyond the syllabus</w:t>
      </w:r>
    </w:p>
    <w:p>
      <w:pPr>
        <w:spacing w:after="80"/>
        <w:ind w:left="317"/>
      </w:pPr>
      <w:r>
        <w:t>And this is where we went beyond the syllabus. The academic numbers aren't stored — they're computed live: your attendance percentage, how many classes you can still miss, and a real CGPA formula. On top of that we added authentication, personalized onboarding, avatars, and connected logic across attendance, CGPA and achievements.</w:t>
      </w:r>
    </w:p>
    <w:p>
      <w:pPr>
        <w:spacing w:before="120" w:after="120"/>
        <w:pBdr>
          <w:bottom w:val="single" w:sz="6" w:space="1" w:color="D9DDE0"/>
        </w:pBdr>
      </w:pPr>
    </w:p>
    <w:p>
      <w:pPr>
        <w:spacing w:before="40" w:after="40"/>
      </w:pPr>
      <w:r>
        <w:rPr>
          <w:b/>
          <w:color w:val="455A50"/>
          <w:sz w:val="19"/>
          <w:spacing w:val="36"/>
        </w:rPr>
        <w:t>MANAN SPEAKS</w:t>
      </w:r>
    </w:p>
    <w:p>
      <w:pPr>
        <w:spacing w:before="280" w:after="80"/>
      </w:pPr>
      <w:r>
        <w:rPr>
          <w:b/>
          <w:color w:val="22252B"/>
          <w:sz w:val="32"/>
        </w:rPr>
        <w:t>5 · MANAN — Closing</w:t>
      </w:r>
      <w:r>
        <w:t xml:space="preserve">    </w:t>
      </w:r>
      <w:r>
        <w:rPr>
          <w:i/>
          <w:color w:val="8A7366"/>
          <w:sz w:val="22"/>
        </w:rPr>
        <w:t>Slides 34–35 · ~25 sec</w:t>
      </w:r>
    </w:p>
    <w:p>
      <w:pPr>
        <w:spacing w:before="160" w:after="40"/>
      </w:pPr>
      <w:r>
        <w:rPr>
          <w:b/>
          <w:color w:val="455A50"/>
          <w:sz w:val="21"/>
        </w:rPr>
        <w:t>▸ Slide 34 — Synora in one view</w:t>
      </w:r>
    </w:p>
    <w:p>
      <w:pPr>
        <w:spacing w:after="80"/>
        <w:ind w:left="317"/>
      </w:pPr>
      <w:r>
        <w:t>So this is Synora in one view — a complete, working student workspace.</w:t>
      </w:r>
    </w:p>
    <w:p>
      <w:pPr>
        <w:spacing w:before="160" w:after="40"/>
      </w:pPr>
      <w:r>
        <w:rPr>
          <w:b/>
          <w:color w:val="455A50"/>
          <w:sz w:val="21"/>
        </w:rPr>
        <w:t>▸ Slide 35 — Thank you</w:t>
      </w:r>
    </w:p>
    <w:p>
      <w:pPr>
        <w:spacing w:after="80"/>
        <w:ind w:left="317"/>
      </w:pPr>
      <w:r>
        <w:t>We started with the fundamentals from Web Development — HTML, CSS and JavaScript — but we used them to build something much larger: a responsive, personalized productivity platform. Thank you.</w:t>
      </w:r>
    </w:p>
    <w:p>
      <w:pPr>
        <w:spacing w:before="120" w:after="120"/>
        <w:pBdr>
          <w:bottom w:val="single" w:sz="6" w:space="1" w:color="D9DDE0"/>
        </w:pBdr>
      </w:pPr>
    </w:p>
    <w:p>
      <w:pPr>
        <w:spacing w:before="40" w:after="40"/>
      </w:pPr>
      <w:r>
        <w:rPr>
          <w:b/>
          <w:color w:val="455A50"/>
          <w:sz w:val="19"/>
          <w:spacing w:val="36"/>
        </w:rPr>
        <w:t>SPEAKER HANDOFFS (ONE LINE EACH)</w:t>
      </w:r>
    </w:p>
    <w:p>
      <w:pPr>
        <w:spacing w:after="60"/>
      </w:pPr>
      <w:r>
        <w:rPr>
          <w:b/>
          <w:color w:val="8A7366"/>
          <w:sz w:val="21"/>
        </w:rPr>
        <w:t xml:space="preserve">Manan → Atharv:  </w:t>
      </w:r>
      <w:r>
        <w:rPr>
          <w:sz w:val="21"/>
        </w:rPr>
        <w:t>“That's the big picture — Atharv will take you through how we structured it in HTML.”</w:t>
      </w:r>
    </w:p>
    <w:p>
      <w:pPr>
        <w:spacing w:after="60"/>
      </w:pPr>
      <w:r>
        <w:rPr>
          <w:b/>
          <w:color w:val="8A7366"/>
          <w:sz w:val="21"/>
        </w:rPr>
        <w:t xml:space="preserve">Atharv → Arshpreet:  </w:t>
      </w:r>
      <w:r>
        <w:rPr>
          <w:sz w:val="21"/>
        </w:rPr>
        <w:t>“Once the structure was in place, Arshpreet turned it into Synora's visual system with CSS.”</w:t>
      </w:r>
    </w:p>
    <w:p>
      <w:pPr>
        <w:spacing w:after="60"/>
      </w:pPr>
      <w:r>
        <w:rPr>
          <w:b/>
          <w:color w:val="8A7366"/>
          <w:sz w:val="21"/>
        </w:rPr>
        <w:t xml:space="preserve">Arshpreet → Manan:  </w:t>
      </w:r>
      <w:r>
        <w:rPr>
          <w:sz w:val="21"/>
        </w:rPr>
        <w:t>“So HTML gives us structure, CSS gives us the look — and Manan will show how JavaScript makes it interactive.”</w:t>
      </w:r>
    </w:p>
    <w:p>
      <w:pPr>
        <w:spacing w:before="120" w:after="120"/>
        <w:pBdr>
          <w:bottom w:val="single" w:sz="6" w:space="1" w:color="D9DDE0"/>
        </w:pBdr>
      </w:pPr>
    </w:p>
    <w:p>
      <w:pPr>
        <w:spacing w:before="40" w:after="40"/>
      </w:pPr>
      <w:r>
        <w:rPr>
          <w:b/>
          <w:color w:val="455A50"/>
          <w:sz w:val="19"/>
          <w:spacing w:val="36"/>
        </w:rPr>
        <w:t>LENGTH CHECK</w:t>
      </w:r>
    </w:p>
    <w:p>
      <w:r>
        <w:rPr>
          <w:b/>
        </w:rPr>
        <w:t xml:space="preserve">Word count: </w:t>
      </w:r>
      <w:r>
        <w:t xml:space="preserve">~655 words.   </w:t>
      </w:r>
      <w:r>
        <w:rPr>
          <w:b/>
        </w:rPr>
        <w:t xml:space="preserve">Estimated speaking time: </w:t>
      </w:r>
      <w:r>
        <w:t>~4:40–4:50 at a natural pace (~140 wpm); comfortably under 5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52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