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Document</w:t>
      </w:r>
    </w:p>
    <w:p>
      <w:pPr>
        <w:pStyle w:val="Heading2"/>
      </w:pPr>
      <w:r>
        <w:t xml:space="preserve">Position Reconciliation Engine (Custodian vs. Internal Books)</w:t>
      </w:r>
    </w:p>
    <w:p>
      <w:pPr>
        <w:spacing w:after="120"/>
      </w:pPr>
      <w:r>
        <w:rPr>
          <w:i/>
          <w:iCs/>
          <w:sz w:val="20"/>
          <w:szCs w:val="20"/>
        </w:rPr>
        <w:t xml:space="preserve">Prepared as an interview project for a Business Analyst role at Indus Valley Partners (IVP). PROTOTYPE on synthetic data only.</w:t>
      </w:r>
    </w:p>
    <w:p>
      <w:pPr>
        <w:spacing w:after="120"/>
      </w:pPr>
      <w:r>
        <w:t xml:space="preserve"/>
      </w:r>
    </w:p>
    <w:p>
      <w:pPr>
        <w:pStyle w:val="Heading1"/>
        <w:spacing w:after="120" w:before="240"/>
      </w:pPr>
      <w:r>
        <w:t xml:space="preserve">1. Purpose</w:t>
      </w:r>
    </w:p>
    <w:p>
      <w:pPr>
        <w:spacing w:after="120"/>
      </w:pPr>
      <w:r>
        <w:t xml:space="preserve">This document defines the business requirements for a prototype Position Reconciliation Engine that compares end-of-day security positions held at a custodian against a fund's internal books, identifies breaks, classifies their likely root cause, prioritises them by business impact, and suggests a next action -- all using deterministic, rule-based logic that a business analyst can explain and defend line by line.</w:t>
      </w:r>
    </w:p>
    <w:p>
      <w:pPr>
        <w:spacing w:after="120"/>
      </w:pPr>
      <w:r>
        <w:t xml:space="preserve">Position reconciliation is one of the most frequent and operationally important control activities at a hedge fund or alternative asset manager: it is the first line of defence against NAV misstatement, undetected counterparty risk, and audit findings. This project builds a small, honest, working version of that control, scoped to positions only.</w:t>
      </w:r>
    </w:p>
    <w:p>
      <w:pPr>
        <w:pStyle w:val="Heading1"/>
        <w:spacing w:after="120" w:before="240"/>
      </w:pPr>
      <w:r>
        <w:t xml:space="preserve">2. Business Context</w:t>
      </w:r>
    </w:p>
    <w:p>
      <w:pPr>
        <w:spacing w:after="120"/>
      </w:pPr>
      <w:r>
        <w:t xml:space="preserve">A fund's Net Asset Value (NAV) is only as reliable as the positions it is computed from. If the custodian's record of what the fund holds diverges from the fund's own books and nobody notices, the NAV published to investors can be wrong -- understating or overstating performance, and in severe cases triggering regulatory scrutiny or investor harm once discovered.</w:t>
      </w:r>
    </w:p>
    <w:p>
      <w:pPr>
        <w:spacing w:after="120"/>
      </w:pPr>
      <w:r>
        <w:t xml:space="preserve">Left undetected, position breaks also mask counterparty and settlement risk: a position the internal books believe is settled may not have actually cleared at the custodian, or a corporate action may have been applied on one side and not the other, silently changing the economic exposure the fund believes it holds.</w:t>
      </w:r>
    </w:p>
    <w:p>
      <w:pPr>
        <w:spacing w:after="120"/>
      </w:pPr>
      <w:r>
        <w:t xml:space="preserve">Auditors and regulators expect a demonstrable, evidenced reconciliation control with an audit trail -- not just a spreadsheet someone eyeballs once a month. A recurring audit finding at many funds is exactly this: reconciliation exists, but it is manual, undocumented, and not evidenced well enough to satisfy a review.</w:t>
      </w:r>
    </w:p>
    <w:p>
      <w:pPr>
        <w:pStyle w:val="Heading1"/>
        <w:spacing w:after="120" w:before="240"/>
      </w:pPr>
      <w:r>
        <w:t xml:space="preserve">3. Stakeholders</w:t>
      </w:r>
    </w:p>
    <w:p>
      <w:pPr>
        <w:pStyle w:val="ListParagraph"/>
        <w:numPr>
          <w:ilvl w:val="0"/>
          <w:numId w:val="1"/>
        </w:numPr>
        <w:spacing w:after="60"/>
      </w:pPr>
      <w:r>
        <w:t xml:space="preserve">Operations / Reconciliation Analyst: Runs the daily reconciliation, investigates and resolves breaks, is the primary user of the break blotter and detail views.</w:t>
      </w:r>
    </w:p>
    <w:p>
      <w:pPr>
        <w:pStyle w:val="ListParagraph"/>
        <w:numPr>
          <w:ilvl w:val="0"/>
          <w:numId w:val="1"/>
        </w:numPr>
        <w:spacing w:after="60"/>
      </w:pPr>
      <w:r>
        <w:t xml:space="preserve">Portfolio Manager: Needs to know quickly if a break implies the fund's real exposure differs materially from what is being risk-managed (net exposure escalation).</w:t>
      </w:r>
    </w:p>
    <w:p>
      <w:pPr>
        <w:pStyle w:val="ListParagraph"/>
        <w:numPr>
          <w:ilvl w:val="0"/>
          <w:numId w:val="1"/>
        </w:numPr>
        <w:spacing w:after="60"/>
      </w:pPr>
      <w:r>
        <w:t xml:space="preserve">Senior Operations / Head of Ops: Owns escalated, high-value breaks and SLA performance across the desk.</w:t>
      </w:r>
    </w:p>
    <w:p>
      <w:pPr>
        <w:pStyle w:val="ListParagraph"/>
        <w:numPr>
          <w:ilvl w:val="0"/>
          <w:numId w:val="1"/>
        </w:numPr>
        <w:spacing w:after="60"/>
      </w:pPr>
      <w:r>
        <w:t xml:space="preserve">Compliance / Audit: Needs an evidenced, repeatable process with a traceable audit trail for every classification decision.</w:t>
      </w:r>
    </w:p>
    <w:p>
      <w:pPr>
        <w:pStyle w:val="ListParagraph"/>
        <w:numPr>
          <w:ilvl w:val="0"/>
          <w:numId w:val="1"/>
        </w:numPr>
        <w:spacing w:after="60"/>
      </w:pPr>
      <w:r>
        <w:t xml:space="preserve">Fund Administrator / Custodian relationship manager: Is the external contact for confirming SETUP, TIMING and CCY_MISMATCH breaks with the custodian.</w:t>
      </w:r>
    </w:p>
    <w:p>
      <w:pPr>
        <w:pStyle w:val="ListParagraph"/>
        <w:numPr>
          <w:ilvl w:val="0"/>
          <w:numId w:val="1"/>
        </w:numPr>
        <w:spacing w:after="60"/>
      </w:pPr>
      <w:r>
        <w:t xml:space="preserve">IT / Engineering (future): Owns the security master feed, file formats, and any integration into a production workflow tool.</w:t>
      </w:r>
    </w:p>
    <w:p>
      <w:pPr>
        <w:pStyle w:val="Heading1"/>
        <w:spacing w:after="120" w:before="240"/>
      </w:pPr>
      <w:r>
        <w:t xml:space="preserve">4. Scope</w:t>
      </w:r>
    </w:p>
    <w:p>
      <w:pPr>
        <w:spacing w:after="120"/>
      </w:pPr>
      <w:r>
        <w:t xml:space="preserve">IN SCOPE: two-way position reconciliation between one custodian position file and one internal position file, for a single business date per run, using a security master for identifier mapping and two optional evidence files (pending trades, corporate actions) to auto-explain certain break types.</w:t>
      </w:r>
    </w:p>
    <w:p>
      <w:pPr>
        <w:spacing w:after="120"/>
      </w:pPr>
      <w:r>
        <w:rPr>
          <w:b w:val="false"/>
          <w:bCs w:val="false"/>
        </w:rPr>
        <w:t xml:space="preserve">OUT OF SCOPE (see Section 12, Roadmap, for the full list): cash reconciliation, trade-vs-trade (activity) reconciliation, NAV/P&amp;L reconciliation, intraday runs, N-way (multi-custodian) matching, derivatives margin, private-fund capital commitments, real custodian file formats, multi-currency base-currency conversion, and fuzzy identifier matching.</w:t>
      </w:r>
    </w:p>
    <w:p>
      <w:pPr>
        <w:pStyle w:val="Heading1"/>
        <w:spacing w:after="120" w:before="240"/>
      </w:pPr>
      <w:r>
        <w:t xml:space="preserve">5. Analysis Through Three Lenses</w:t>
      </w:r>
    </w:p>
    <w:p>
      <w:pPr>
        <w:pStyle w:val="Heading2"/>
        <w:spacing w:after="120" w:before="240"/>
      </w:pPr>
      <w:r>
        <w:t xml:space="preserve">5.1 Functional / Quantitative Lens</w:t>
      </w:r>
    </w:p>
    <w:p>
      <w:pPr>
        <w:spacing w:after="120"/>
      </w:pPr>
      <w:r>
        <w:t xml:space="preserve">The functional core is a comparison of two numeric records (quantity, price, market value) per security per account, against a tolerance that itself depends on a categorical lookup (asset class) in a third reference file (the security master). The quantitative question is always: 'is the gap between these two numbers small enough to ignore, and if not, which of a fixed set of causes best explains it, using whatever evidence is available?' This is naturally expressed as a small decision tree over numeric comparisons -- see Section 5.3 and docs/architecture.md for the full decision tree.</w:t>
      </w:r>
    </w:p>
    <w:p>
      <w:pPr>
        <w:pStyle w:val="Heading2"/>
        <w:spacing w:after="120" w:before="240"/>
      </w:pPr>
      <w:r>
        <w:t xml:space="preserve">5.2 Technological Lens</w:t>
      </w:r>
    </w:p>
    <w:p>
      <w:pPr>
        <w:spacing w:after="120"/>
      </w:pPr>
      <w:r>
        <w:t xml:space="preserve">The engine is implemented as a pure Python package (pandas/dataclasses in, dataclasses/DataFrames out) with zero dependency on the UI framework, so every stage is independently unit-testable and the same logic could later sit behind an API, a batch job, or a different UI without change. Streamlit is used only as a thin rendering layer over the engine's outputs. All thresholds live in one YAML config file, so a technology change (e.g. swapping the UI, or wiring in a real file feed) does not require touching business logic.</w:t>
      </w:r>
    </w:p>
    <w:p>
      <w:pPr>
        <w:pStyle w:val="Heading2"/>
        <w:spacing w:after="120" w:before="240"/>
      </w:pPr>
      <w:r>
        <w:t xml:space="preserve">5.3 Process / Workflow Lens</w:t>
      </w:r>
    </w:p>
    <w:p>
      <w:pPr>
        <w:spacing w:after="120"/>
      </w:pPr>
      <w:r>
        <w:t xml:space="preserve">The end-to-end workflow is: files arrive -&gt; validate -&gt; standardise/map -&gt; match -&gt; compare -&gt; classify -&gt; prioritise -&gt; suggest action -&gt; review by an analyst -&gt; resolve or escalate. The prototype automates everything up to and including the suggested action; a human remains in the loop for actually resolving or escalating a break. See the process-flow diagram below and docs/architecture.md for the full set of Mermaid/Graphviz diagrams.</w:t>
      </w:r>
    </w:p>
    <w:p>
      <w:pPr>
        <w:spacing w:after="120" w:before="120"/>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476375"/>
                    </a:xfrm>
                    <a:prstGeom prst="rect">
                      <a:avLst/>
                    </a:prstGeom>
                  </pic:spPr>
                </pic:pic>
              </a:graphicData>
            </a:graphic>
          </wp:inline>
        </w:drawing>
      </w:r>
    </w:p>
    <w:p>
      <w:pPr>
        <w:pStyle w:val="Heading1"/>
        <w:spacing w:after="120" w:before="240"/>
      </w:pPr>
      <w:r>
        <w:t xml:space="preserve">6. Current-State Manual Process and Pain Points</w:t>
      </w:r>
    </w:p>
    <w:p>
      <w:pPr>
        <w:spacing w:after="120"/>
      </w:pPr>
      <w:r>
        <w:t xml:space="preserve">A typical manual process today: an analyst exports or receives both position files, opens them in Excel, VLOOKUPs one side against the other using whatever identifier happens to be common, and manually scans for differences beyond a rule of thumb the analyst carries in their head rather than in a document.</w:t>
      </w:r>
    </w:p>
    <w:p>
      <w:pPr>
        <w:pStyle w:val="ListParagraph"/>
        <w:numPr>
          <w:ilvl w:val="0"/>
          <w:numId w:val="1"/>
        </w:numPr>
        <w:spacing w:after="60"/>
      </w:pPr>
      <w:r>
        <w:t xml:space="preserve">Tolerance and materiality judgement lives in an individual analyst's head, not in a shared, versioned configuration -- it changes subtly between analysts and is not auditable.</w:t>
      </w:r>
    </w:p>
    <w:p>
      <w:pPr>
        <w:pStyle w:val="ListParagraph"/>
        <w:numPr>
          <w:ilvl w:val="0"/>
          <w:numId w:val="1"/>
        </w:numPr>
        <w:spacing w:after="60"/>
      </w:pPr>
      <w:r>
        <w:t xml:space="preserve">Identifier mapping (custodian code to internal ID) is often done by manual lookup or a stale spreadsheet, so mapping errors (ambiguous or missing codes) surface as confusing 'break' rows rather than a clear SETUP category.</w:t>
      </w:r>
    </w:p>
    <w:p>
      <w:pPr>
        <w:pStyle w:val="ListParagraph"/>
        <w:numPr>
          <w:ilvl w:val="0"/>
          <w:numId w:val="1"/>
        </w:numPr>
        <w:spacing w:after="60"/>
      </w:pPr>
      <w:r>
        <w:t xml:space="preserve">Root-cause investigation (was this a corporate action? a pending trade? a booking error?) is manual and inconsistent, so the same underlying issue can be logged under different free-text descriptions by different analysts.</w:t>
      </w:r>
    </w:p>
    <w:p>
      <w:pPr>
        <w:pStyle w:val="ListParagraph"/>
        <w:numPr>
          <w:ilvl w:val="0"/>
          <w:numId w:val="1"/>
        </w:numPr>
        <w:spacing w:after="60"/>
      </w:pPr>
      <w:r>
        <w:t xml:space="preserve">There is no systematic audit trail of why a given item was or was not flagged, which is exactly what an audit finding calls out.</w:t>
      </w:r>
    </w:p>
    <w:p>
      <w:pPr>
        <w:pStyle w:val="ListParagraph"/>
        <w:numPr>
          <w:ilvl w:val="0"/>
          <w:numId w:val="1"/>
        </w:numPr>
        <w:spacing w:after="60"/>
      </w:pPr>
      <w:r>
        <w:t xml:space="preserve">Prioritisation is often just 'largest absolute value first' without a documented materiality/SLA/escalation policy applied consistently.</w:t>
      </w:r>
    </w:p>
    <w:p>
      <w:r>
        <w:br w:type="page"/>
      </w:r>
    </w:p>
    <w:p>
      <w:pPr>
        <w:pStyle w:val="Heading1"/>
        <w:spacing w:after="120" w:before="240"/>
      </w:pPr>
      <w:r>
        <w:t xml:space="preserve">7. Functional Requirements</w:t>
      </w:r>
    </w:p>
    <w:p>
      <w:pPr>
        <w:spacing w:after="120"/>
      </w:pPr>
      <w:r>
        <w:t xml:space="preserve">IDs, priority (MoSCoW-style: Must/Should/Could) and acceptance criteria for every functional requirement implemented in this prototype.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700"/>
        <w:gridCol w:w="3900"/>
      </w:tblGrid>
      <w:tr>
        <w:tc>
          <w:tcPr>
            <w:tcW w:type="dxa" w:w="700"/>
            <w:shd w:fill="D9E2F3" w:val="clear"/>
          </w:tcPr>
          <w:p>
            <w:r>
              <w:rPr>
                <w:b/>
                <w:bCs/>
                <w:sz w:val="18"/>
                <w:szCs w:val="18"/>
              </w:rPr>
              <w:t xml:space="preserve">ID</w:t>
            </w:r>
          </w:p>
        </w:tc>
        <w:tc>
          <w:tcPr>
            <w:tcW w:type="dxa" w:w="4200"/>
            <w:shd w:fill="D9E2F3" w:val="clear"/>
          </w:tcPr>
          <w:p>
            <w:r>
              <w:rPr>
                <w:b/>
                <w:bCs/>
                <w:sz w:val="18"/>
                <w:szCs w:val="18"/>
              </w:rPr>
              <w:t xml:space="preserve">Requirement</w:t>
            </w:r>
          </w:p>
        </w:tc>
        <w:tc>
          <w:tcPr>
            <w:tcW w:type="dxa" w:w="700"/>
            <w:shd w:fill="D9E2F3" w:val="clear"/>
          </w:tcPr>
          <w:p>
            <w:r>
              <w:rPr>
                <w:b/>
                <w:bCs/>
                <w:sz w:val="18"/>
                <w:szCs w:val="18"/>
              </w:rPr>
              <w:t xml:space="preserve">Priority</w:t>
            </w:r>
          </w:p>
        </w:tc>
        <w:tc>
          <w:tcPr>
            <w:tcW w:type="dxa" w:w="3900"/>
            <w:shd w:fill="D9E2F3" w:val="clear"/>
          </w:tcPr>
          <w:p>
            <w:r>
              <w:rPr>
                <w:b/>
                <w:bCs/>
                <w:sz w:val="18"/>
                <w:szCs w:val="18"/>
              </w:rPr>
              <w:t xml:space="preserve">Acceptance Criteria</w:t>
            </w:r>
          </w:p>
        </w:tc>
      </w:tr>
      <w:tr>
        <w:tc>
          <w:tcPr>
            <w:tcW w:type="dxa" w:w="700"/>
          </w:tcPr>
          <w:p>
            <w:r>
              <w:rPr>
                <w:b w:val="false"/>
                <w:bCs w:val="false"/>
                <w:sz w:val="18"/>
                <w:szCs w:val="18"/>
              </w:rPr>
              <w:t xml:space="preserve">FR-01</w:t>
            </w:r>
          </w:p>
        </w:tc>
        <w:tc>
          <w:tcPr>
            <w:tcW w:type="dxa" w:w="4200"/>
          </w:tcPr>
          <w:p>
            <w:r>
              <w:rPr>
                <w:b w:val="false"/>
                <w:bCs w:val="false"/>
                <w:sz w:val="18"/>
                <w:szCs w:val="18"/>
              </w:rPr>
              <w:t xml:space="preserve">The system shall validate that custodian_positions.csv, internal_positions.csv and security_master.csv contain all required columns before any matching occurs.</w:t>
            </w:r>
          </w:p>
        </w:tc>
        <w:tc>
          <w:tcPr>
            <w:tcW w:type="dxa" w:w="700"/>
          </w:tcPr>
          <w:p>
            <w:r>
              <w:rPr>
                <w:b w:val="false"/>
                <w:bCs w:val="false"/>
                <w:sz w:val="18"/>
                <w:szCs w:val="18"/>
              </w:rPr>
              <w:t xml:space="preserve">Must</w:t>
            </w:r>
          </w:p>
        </w:tc>
        <w:tc>
          <w:tcPr>
            <w:tcW w:type="dxa" w:w="3900"/>
          </w:tcPr>
          <w:p>
            <w:r>
              <w:rPr>
                <w:b w:val="false"/>
                <w:bCs w:val="false"/>
                <w:sz w:val="18"/>
                <w:szCs w:val="18"/>
              </w:rPr>
              <w:t xml:space="preserve">Given a file missing a required column, the run reports a MISSING_COLUMNS validation error and does not proceed to matching.</w:t>
            </w:r>
          </w:p>
        </w:tc>
      </w:tr>
      <w:tr>
        <w:tc>
          <w:tcPr>
            <w:tcW w:type="dxa" w:w="700"/>
          </w:tcPr>
          <w:p>
            <w:r>
              <w:rPr>
                <w:b w:val="false"/>
                <w:bCs w:val="false"/>
                <w:sz w:val="18"/>
                <w:szCs w:val="18"/>
              </w:rPr>
              <w:t xml:space="preserve">FR-02</w:t>
            </w:r>
          </w:p>
        </w:tc>
        <w:tc>
          <w:tcPr>
            <w:tcW w:type="dxa" w:w="4200"/>
          </w:tcPr>
          <w:p>
            <w:r>
              <w:rPr>
                <w:b w:val="false"/>
                <w:bCs w:val="false"/>
                <w:sz w:val="18"/>
                <w:szCs w:val="18"/>
              </w:rPr>
              <w:t xml:space="preserve">The system shall confirm business_date in each position file equals the run date and flag rows that do not.</w:t>
            </w:r>
          </w:p>
        </w:tc>
        <w:tc>
          <w:tcPr>
            <w:tcW w:type="dxa" w:w="700"/>
          </w:tcPr>
          <w:p>
            <w:r>
              <w:rPr>
                <w:b w:val="false"/>
                <w:bCs w:val="false"/>
                <w:sz w:val="18"/>
                <w:szCs w:val="18"/>
              </w:rPr>
              <w:t xml:space="preserve">Must</w:t>
            </w:r>
          </w:p>
        </w:tc>
        <w:tc>
          <w:tcPr>
            <w:tcW w:type="dxa" w:w="3900"/>
          </w:tcPr>
          <w:p>
            <w:r>
              <w:rPr>
                <w:b w:val="false"/>
                <w:bCs w:val="false"/>
                <w:sz w:val="18"/>
                <w:szCs w:val="18"/>
              </w:rPr>
              <w:t xml:space="preserve">Rows with a different business_date are excluded from the run and a BUSINESS_DATE_MISMATCH warning is raised.</w:t>
            </w:r>
          </w:p>
        </w:tc>
      </w:tr>
      <w:tr>
        <w:tc>
          <w:tcPr>
            <w:tcW w:type="dxa" w:w="700"/>
          </w:tcPr>
          <w:p>
            <w:r>
              <w:rPr>
                <w:b w:val="false"/>
                <w:bCs w:val="false"/>
                <w:sz w:val="18"/>
                <w:szCs w:val="18"/>
              </w:rPr>
              <w:t xml:space="preserve">FR-03</w:t>
            </w:r>
          </w:p>
        </w:tc>
        <w:tc>
          <w:tcPr>
            <w:tcW w:type="dxa" w:w="4200"/>
          </w:tcPr>
          <w:p>
            <w:r>
              <w:rPr>
                <w:b w:val="false"/>
                <w:bCs w:val="false"/>
                <w:sz w:val="18"/>
                <w:szCs w:val="18"/>
              </w:rPr>
              <w:t xml:space="preserve">The system shall validate that quantity, price and market_value are numeric.</w:t>
            </w:r>
          </w:p>
        </w:tc>
        <w:tc>
          <w:tcPr>
            <w:tcW w:type="dxa" w:w="700"/>
          </w:tcPr>
          <w:p>
            <w:r>
              <w:rPr>
                <w:b w:val="false"/>
                <w:bCs w:val="false"/>
                <w:sz w:val="18"/>
                <w:szCs w:val="18"/>
              </w:rPr>
              <w:t xml:space="preserve">Must</w:t>
            </w:r>
          </w:p>
        </w:tc>
        <w:tc>
          <w:tcPr>
            <w:tcW w:type="dxa" w:w="3900"/>
          </w:tcPr>
          <w:p>
            <w:r>
              <w:rPr>
                <w:b w:val="false"/>
                <w:bCs w:val="false"/>
                <w:sz w:val="18"/>
                <w:szCs w:val="18"/>
              </w:rPr>
              <w:t xml:space="preserve">A non-numeric value in any of these fields raises a NON_NUMERIC_VALUE error.</w:t>
            </w:r>
          </w:p>
        </w:tc>
      </w:tr>
      <w:tr>
        <w:tc>
          <w:tcPr>
            <w:tcW w:type="dxa" w:w="700"/>
          </w:tcPr>
          <w:p>
            <w:r>
              <w:rPr>
                <w:b w:val="false"/>
                <w:bCs w:val="false"/>
                <w:sz w:val="18"/>
                <w:szCs w:val="18"/>
              </w:rPr>
              <w:t xml:space="preserve">FR-04</w:t>
            </w:r>
          </w:p>
        </w:tc>
        <w:tc>
          <w:tcPr>
            <w:tcW w:type="dxa" w:w="4200"/>
          </w:tcPr>
          <w:p>
            <w:r>
              <w:rPr>
                <w:b w:val="false"/>
                <w:bCs w:val="false"/>
                <w:sz w:val="18"/>
                <w:szCs w:val="18"/>
              </w:rPr>
              <w:t xml:space="preserve">The system shall compare the position count in each file to an optional expected count within a configurable deviation percentage.</w:t>
            </w:r>
          </w:p>
        </w:tc>
        <w:tc>
          <w:tcPr>
            <w:tcW w:type="dxa" w:w="700"/>
          </w:tcPr>
          <w:p>
            <w:r>
              <w:rPr>
                <w:b w:val="false"/>
                <w:bCs w:val="false"/>
                <w:sz w:val="18"/>
                <w:szCs w:val="18"/>
              </w:rPr>
              <w:t xml:space="preserve">Should</w:t>
            </w:r>
          </w:p>
        </w:tc>
        <w:tc>
          <w:tcPr>
            <w:tcW w:type="dxa" w:w="3900"/>
          </w:tcPr>
          <w:p>
            <w:r>
              <w:rPr>
                <w:b w:val="false"/>
                <w:bCs w:val="false"/>
                <w:sz w:val="18"/>
                <w:szCs w:val="18"/>
              </w:rPr>
              <w:t xml:space="preserve">A count outside the configured tolerance raises a POSITION_COUNT_DEVIATION warning; the check is skipped if no expected count is supplied.</w:t>
            </w:r>
          </w:p>
        </w:tc>
      </w:tr>
      <w:tr>
        <w:tc>
          <w:tcPr>
            <w:tcW w:type="dxa" w:w="700"/>
          </w:tcPr>
          <w:p>
            <w:r>
              <w:rPr>
                <w:b w:val="false"/>
                <w:bCs w:val="false"/>
                <w:sz w:val="18"/>
                <w:szCs w:val="18"/>
              </w:rPr>
              <w:t xml:space="preserve">FR-05</w:t>
            </w:r>
          </w:p>
        </w:tc>
        <w:tc>
          <w:tcPr>
            <w:tcW w:type="dxa" w:w="4200"/>
          </w:tcPr>
          <w:p>
            <w:r>
              <w:rPr>
                <w:b w:val="false"/>
                <w:bCs w:val="false"/>
                <w:sz w:val="18"/>
                <w:szCs w:val="18"/>
              </w:rPr>
              <w:t xml:space="preserve">The system shall compare an optional user-supplied control total of market value to the file's actual total.</w:t>
            </w:r>
          </w:p>
        </w:tc>
        <w:tc>
          <w:tcPr>
            <w:tcW w:type="dxa" w:w="700"/>
          </w:tcPr>
          <w:p>
            <w:r>
              <w:rPr>
                <w:b w:val="false"/>
                <w:bCs w:val="false"/>
                <w:sz w:val="18"/>
                <w:szCs w:val="18"/>
              </w:rPr>
              <w:t xml:space="preserve">Should</w:t>
            </w:r>
          </w:p>
        </w:tc>
        <w:tc>
          <w:tcPr>
            <w:tcW w:type="dxa" w:w="3900"/>
          </w:tcPr>
          <w:p>
            <w:r>
              <w:rPr>
                <w:b w:val="false"/>
                <w:bCs w:val="false"/>
                <w:sz w:val="18"/>
                <w:szCs w:val="18"/>
              </w:rPr>
              <w:t xml:space="preserve">A mismatch beyond a small rounding tolerance raises a CONTROL_TOTAL_MISMATCH warning.</w:t>
            </w:r>
          </w:p>
        </w:tc>
      </w:tr>
      <w:tr>
        <w:tc>
          <w:tcPr>
            <w:tcW w:type="dxa" w:w="700"/>
          </w:tcPr>
          <w:p>
            <w:r>
              <w:rPr>
                <w:b w:val="false"/>
                <w:bCs w:val="false"/>
                <w:sz w:val="18"/>
                <w:szCs w:val="18"/>
              </w:rPr>
              <w:t xml:space="preserve">FR-06</w:t>
            </w:r>
          </w:p>
        </w:tc>
        <w:tc>
          <w:tcPr>
            <w:tcW w:type="dxa" w:w="4200"/>
          </w:tcPr>
          <w:p>
            <w:r>
              <w:rPr>
                <w:b w:val="false"/>
                <w:bCs w:val="false"/>
                <w:sz w:val="18"/>
                <w:szCs w:val="18"/>
              </w:rPr>
              <w:t xml:space="preserve">The system shall detect duplicate internal_security_id values in the security master.</w:t>
            </w:r>
          </w:p>
        </w:tc>
        <w:tc>
          <w:tcPr>
            <w:tcW w:type="dxa" w:w="700"/>
          </w:tcPr>
          <w:p>
            <w:r>
              <w:rPr>
                <w:b w:val="false"/>
                <w:bCs w:val="false"/>
                <w:sz w:val="18"/>
                <w:szCs w:val="18"/>
              </w:rPr>
              <w:t xml:space="preserve">Must</w:t>
            </w:r>
          </w:p>
        </w:tc>
        <w:tc>
          <w:tcPr>
            <w:tcW w:type="dxa" w:w="3900"/>
          </w:tcPr>
          <w:p>
            <w:r>
              <w:rPr>
                <w:b w:val="false"/>
                <w:bCs w:val="false"/>
                <w:sz w:val="18"/>
                <w:szCs w:val="18"/>
              </w:rPr>
              <w:t xml:space="preserve">Any internal_security_id appearing more than once raises a DUPLICATE_INTERNAL_ID error.</w:t>
            </w:r>
          </w:p>
        </w:tc>
      </w:tr>
      <w:tr>
        <w:tc>
          <w:tcPr>
            <w:tcW w:type="dxa" w:w="700"/>
          </w:tcPr>
          <w:p>
            <w:r>
              <w:rPr>
                <w:b w:val="false"/>
                <w:bCs w:val="false"/>
                <w:sz w:val="18"/>
                <w:szCs w:val="18"/>
              </w:rPr>
              <w:t xml:space="preserve">FR-07</w:t>
            </w:r>
          </w:p>
        </w:tc>
        <w:tc>
          <w:tcPr>
            <w:tcW w:type="dxa" w:w="4200"/>
          </w:tcPr>
          <w:p>
            <w:r>
              <w:rPr>
                <w:b w:val="false"/>
                <w:bCs w:val="false"/>
                <w:sz w:val="18"/>
                <w:szCs w:val="18"/>
              </w:rPr>
              <w:t xml:space="preserve">The system shall detect a custodian_security_code mapped to more than one internal_security_id (ambiguous mapping).</w:t>
            </w:r>
          </w:p>
        </w:tc>
        <w:tc>
          <w:tcPr>
            <w:tcW w:type="dxa" w:w="700"/>
          </w:tcPr>
          <w:p>
            <w:r>
              <w:rPr>
                <w:b w:val="false"/>
                <w:bCs w:val="false"/>
                <w:sz w:val="18"/>
                <w:szCs w:val="18"/>
              </w:rPr>
              <w:t xml:space="preserve">Must</w:t>
            </w:r>
          </w:p>
        </w:tc>
        <w:tc>
          <w:tcPr>
            <w:tcW w:type="dxa" w:w="3900"/>
          </w:tcPr>
          <w:p>
            <w:r>
              <w:rPr>
                <w:b w:val="false"/>
                <w:bCs w:val="false"/>
                <w:sz w:val="18"/>
                <w:szCs w:val="18"/>
              </w:rPr>
              <w:t xml:space="preserve">Such a code raises an AMBIGUOUS_MAPPING error and any position using it becomes a SETUP break rather than being matched.</w:t>
            </w:r>
          </w:p>
        </w:tc>
      </w:tr>
      <w:tr>
        <w:tc>
          <w:tcPr>
            <w:tcW w:type="dxa" w:w="700"/>
          </w:tcPr>
          <w:p>
            <w:r>
              <w:rPr>
                <w:b w:val="false"/>
                <w:bCs w:val="false"/>
                <w:sz w:val="18"/>
                <w:szCs w:val="18"/>
              </w:rPr>
              <w:t xml:space="preserve">FR-08</w:t>
            </w:r>
          </w:p>
        </w:tc>
        <w:tc>
          <w:tcPr>
            <w:tcW w:type="dxa" w:w="4200"/>
          </w:tcPr>
          <w:p>
            <w:r>
              <w:rPr>
                <w:b w:val="false"/>
                <w:bCs w:val="false"/>
                <w:sz w:val="18"/>
                <w:szCs w:val="18"/>
              </w:rPr>
              <w:t xml:space="preserve">The system shall detect security master rows with a missing or invalid asset_class or unit_multiplier.</w:t>
            </w:r>
          </w:p>
        </w:tc>
        <w:tc>
          <w:tcPr>
            <w:tcW w:type="dxa" w:w="700"/>
          </w:tcPr>
          <w:p>
            <w:r>
              <w:rPr>
                <w:b w:val="false"/>
                <w:bCs w:val="false"/>
                <w:sz w:val="18"/>
                <w:szCs w:val="18"/>
              </w:rPr>
              <w:t xml:space="preserve">Must</w:t>
            </w:r>
          </w:p>
        </w:tc>
        <w:tc>
          <w:tcPr>
            <w:tcW w:type="dxa" w:w="3900"/>
          </w:tcPr>
          <w:p>
            <w:r>
              <w:rPr>
                <w:b w:val="false"/>
                <w:bCs w:val="false"/>
                <w:sz w:val="18"/>
                <w:szCs w:val="18"/>
              </w:rPr>
              <w:t xml:space="preserve">Such rows raise MISSING_OR_INVALID_ASSET_CLASS / MISSING_OR_INVALID_MULTIPLIER warnings.</w:t>
            </w:r>
          </w:p>
        </w:tc>
      </w:tr>
      <w:tr>
        <w:tc>
          <w:tcPr>
            <w:tcW w:type="dxa" w:w="700"/>
          </w:tcPr>
          <w:p>
            <w:r>
              <w:rPr>
                <w:b w:val="false"/>
                <w:bCs w:val="false"/>
                <w:sz w:val="18"/>
                <w:szCs w:val="18"/>
              </w:rPr>
              <w:t xml:space="preserve">FR-09</w:t>
            </w:r>
          </w:p>
        </w:tc>
        <w:tc>
          <w:tcPr>
            <w:tcW w:type="dxa" w:w="4200"/>
          </w:tcPr>
          <w:p>
            <w:r>
              <w:rPr>
                <w:b w:val="false"/>
                <w:bCs w:val="false"/>
                <w:sz w:val="18"/>
                <w:szCs w:val="18"/>
              </w:rPr>
              <w:t xml:space="preserve">The system shall translate custodian_security_code to internal_security_id via the security master before matching.</w:t>
            </w:r>
          </w:p>
        </w:tc>
        <w:tc>
          <w:tcPr>
            <w:tcW w:type="dxa" w:w="700"/>
          </w:tcPr>
          <w:p>
            <w:r>
              <w:rPr>
                <w:b w:val="false"/>
                <w:bCs w:val="false"/>
                <w:sz w:val="18"/>
                <w:szCs w:val="18"/>
              </w:rPr>
              <w:t xml:space="preserve">Must</w:t>
            </w:r>
          </w:p>
        </w:tc>
        <w:tc>
          <w:tcPr>
            <w:tcW w:type="dxa" w:w="3900"/>
          </w:tcPr>
          <w:p>
            <w:r>
              <w:rPr>
                <w:b w:val="false"/>
                <w:bCs w:val="false"/>
                <w:sz w:val="18"/>
                <w:szCs w:val="18"/>
              </w:rPr>
              <w:t xml:space="preserve">Both books are keyed on internal_security_id prior to the match step.</w:t>
            </w:r>
          </w:p>
        </w:tc>
      </w:tr>
      <w:tr>
        <w:tc>
          <w:tcPr>
            <w:tcW w:type="dxa" w:w="700"/>
          </w:tcPr>
          <w:p>
            <w:r>
              <w:rPr>
                <w:b w:val="false"/>
                <w:bCs w:val="false"/>
                <w:sz w:val="18"/>
                <w:szCs w:val="18"/>
              </w:rPr>
              <w:t xml:space="preserve">FR-10</w:t>
            </w:r>
          </w:p>
        </w:tc>
        <w:tc>
          <w:tcPr>
            <w:tcW w:type="dxa" w:w="4200"/>
          </w:tcPr>
          <w:p>
            <w:r>
              <w:rPr>
                <w:b w:val="false"/>
                <w:bCs w:val="false"/>
                <w:sz w:val="18"/>
                <w:szCs w:val="18"/>
              </w:rPr>
              <w:t xml:space="preserve">The system shall apply the security master's unit_multiplier to the custodian side's reported quantity so that face-value vs. unit-count conventions do not create a false break.</w:t>
            </w:r>
          </w:p>
        </w:tc>
        <w:tc>
          <w:tcPr>
            <w:tcW w:type="dxa" w:w="700"/>
          </w:tcPr>
          <w:p>
            <w:r>
              <w:rPr>
                <w:b w:val="false"/>
                <w:bCs w:val="false"/>
                <w:sz w:val="18"/>
                <w:szCs w:val="18"/>
              </w:rPr>
              <w:t xml:space="preserve">Must</w:t>
            </w:r>
          </w:p>
        </w:tc>
        <w:tc>
          <w:tcPr>
            <w:tcW w:type="dxa" w:w="3900"/>
          </w:tcPr>
          <w:p>
            <w:r>
              <w:rPr>
                <w:b w:val="false"/>
                <w:bCs w:val="false"/>
                <w:sz w:val="18"/>
                <w:szCs w:val="18"/>
              </w:rPr>
              <w:t xml:space="preserve">A bond reported in face value by the custodian and in units internally matches within tolerance once the multiplier is applied.</w:t>
            </w:r>
          </w:p>
        </w:tc>
      </w:tr>
      <w:tr>
        <w:tc>
          <w:tcPr>
            <w:tcW w:type="dxa" w:w="700"/>
          </w:tcPr>
          <w:p>
            <w:r>
              <w:rPr>
                <w:b w:val="false"/>
                <w:bCs w:val="false"/>
                <w:sz w:val="18"/>
                <w:szCs w:val="18"/>
              </w:rPr>
              <w:t xml:space="preserve">FR-11</w:t>
            </w:r>
          </w:p>
        </w:tc>
        <w:tc>
          <w:tcPr>
            <w:tcW w:type="dxa" w:w="4200"/>
          </w:tcPr>
          <w:p>
            <w:r>
              <w:rPr>
                <w:b w:val="false"/>
                <w:bCs w:val="false"/>
                <w:sz w:val="18"/>
                <w:szCs w:val="18"/>
              </w:rPr>
              <w:t xml:space="preserve">The system shall never silently drop a position whose identifier cannot be mapped; it must surface as a SETUP break.</w:t>
            </w:r>
          </w:p>
        </w:tc>
        <w:tc>
          <w:tcPr>
            <w:tcW w:type="dxa" w:w="700"/>
          </w:tcPr>
          <w:p>
            <w:r>
              <w:rPr>
                <w:b w:val="false"/>
                <w:bCs w:val="false"/>
                <w:sz w:val="18"/>
                <w:szCs w:val="18"/>
              </w:rPr>
              <w:t xml:space="preserve">Must</w:t>
            </w:r>
          </w:p>
        </w:tc>
        <w:tc>
          <w:tcPr>
            <w:tcW w:type="dxa" w:w="3900"/>
          </w:tcPr>
          <w:p>
            <w:r>
              <w:rPr>
                <w:b w:val="false"/>
                <w:bCs w:val="false"/>
                <w:sz w:val="18"/>
                <w:szCs w:val="18"/>
              </w:rPr>
              <w:t xml:space="preserve">An unmapped custodian_security_code appears in the break blotter with reason code SETUP, not omitted from any report.</w:t>
            </w:r>
          </w:p>
        </w:tc>
      </w:tr>
      <w:tr>
        <w:tc>
          <w:tcPr>
            <w:tcW w:type="dxa" w:w="700"/>
          </w:tcPr>
          <w:p>
            <w:r>
              <w:rPr>
                <w:b w:val="false"/>
                <w:bCs w:val="false"/>
                <w:sz w:val="18"/>
                <w:szCs w:val="18"/>
              </w:rPr>
              <w:t xml:space="preserve">FR-12</w:t>
            </w:r>
          </w:p>
        </w:tc>
        <w:tc>
          <w:tcPr>
            <w:tcW w:type="dxa" w:w="4200"/>
          </w:tcPr>
          <w:p>
            <w:r>
              <w:rPr>
                <w:b w:val="false"/>
                <w:bCs w:val="false"/>
                <w:sz w:val="18"/>
                <w:szCs w:val="18"/>
              </w:rPr>
              <w:t xml:space="preserve">The system shall match custodian and internal records on (business_date, account, internal_security_id), with each record matching at most once.</w:t>
            </w:r>
          </w:p>
        </w:tc>
        <w:tc>
          <w:tcPr>
            <w:tcW w:type="dxa" w:w="700"/>
          </w:tcPr>
          <w:p>
            <w:r>
              <w:rPr>
                <w:b w:val="false"/>
                <w:bCs w:val="false"/>
                <w:sz w:val="18"/>
                <w:szCs w:val="18"/>
              </w:rPr>
              <w:t xml:space="preserve">Must</w:t>
            </w:r>
          </w:p>
        </w:tc>
        <w:tc>
          <w:tcPr>
            <w:tcW w:type="dxa" w:w="3900"/>
          </w:tcPr>
          <w:p>
            <w:r>
              <w:rPr>
                <w:b w:val="false"/>
                <w:bCs w:val="false"/>
                <w:sz w:val="18"/>
                <w:szCs w:val="18"/>
              </w:rPr>
              <w:t xml:space="preserve">A key with more than one row on either side is never silently paired; it raises a DUPLICATE break instead.</w:t>
            </w:r>
          </w:p>
        </w:tc>
      </w:tr>
      <w:tr>
        <w:tc>
          <w:tcPr>
            <w:tcW w:type="dxa" w:w="700"/>
          </w:tcPr>
          <w:p>
            <w:r>
              <w:rPr>
                <w:b w:val="false"/>
                <w:bCs w:val="false"/>
                <w:sz w:val="18"/>
                <w:szCs w:val="18"/>
              </w:rPr>
              <w:t xml:space="preserve">FR-13</w:t>
            </w:r>
          </w:p>
        </w:tc>
        <w:tc>
          <w:tcPr>
            <w:tcW w:type="dxa" w:w="4200"/>
          </w:tcPr>
          <w:p>
            <w:r>
              <w:rPr>
                <w:b w:val="false"/>
                <w:bCs w:val="false"/>
                <w:sz w:val="18"/>
                <w:szCs w:val="18"/>
              </w:rPr>
              <w:t xml:space="preserve">The system shall compare matched pairs' quantity, market value and price against the tolerance configured for that asset class.</w:t>
            </w:r>
          </w:p>
        </w:tc>
        <w:tc>
          <w:tcPr>
            <w:tcW w:type="dxa" w:w="700"/>
          </w:tcPr>
          <w:p>
            <w:r>
              <w:rPr>
                <w:b w:val="false"/>
                <w:bCs w:val="false"/>
                <w:sz w:val="18"/>
                <w:szCs w:val="18"/>
              </w:rPr>
              <w:t xml:space="preserve">Must</w:t>
            </w:r>
          </w:p>
        </w:tc>
        <w:tc>
          <w:tcPr>
            <w:tcW w:type="dxa" w:w="3900"/>
          </w:tcPr>
          <w:p>
            <w:r>
              <w:rPr>
                <w:b w:val="false"/>
                <w:bCs w:val="false"/>
                <w:sz w:val="18"/>
                <w:szCs w:val="18"/>
              </w:rPr>
              <w:t xml:space="preserve">A pair within tolerance on both quantity and value, with no currency mismatch, is marked MATCHED.</w:t>
            </w:r>
          </w:p>
        </w:tc>
      </w:tr>
      <w:tr>
        <w:tc>
          <w:tcPr>
            <w:tcW w:type="dxa" w:w="700"/>
          </w:tcPr>
          <w:p>
            <w:r>
              <w:rPr>
                <w:b w:val="false"/>
                <w:bCs w:val="false"/>
                <w:sz w:val="18"/>
                <w:szCs w:val="18"/>
              </w:rPr>
              <w:t xml:space="preserve">FR-14</w:t>
            </w:r>
          </w:p>
        </w:tc>
        <w:tc>
          <w:tcPr>
            <w:tcW w:type="dxa" w:w="4200"/>
          </w:tcPr>
          <w:p>
            <w:r>
              <w:rPr>
                <w:b w:val="false"/>
                <w:bCs w:val="false"/>
                <w:sz w:val="18"/>
                <w:szCs w:val="18"/>
              </w:rPr>
              <w:t xml:space="preserve">The system shall flag a currency disagreement (between the two books, or against the security master) as CCY_MISMATCH.</w:t>
            </w:r>
          </w:p>
        </w:tc>
        <w:tc>
          <w:tcPr>
            <w:tcW w:type="dxa" w:w="700"/>
          </w:tcPr>
          <w:p>
            <w:r>
              <w:rPr>
                <w:b w:val="false"/>
                <w:bCs w:val="false"/>
                <w:sz w:val="18"/>
                <w:szCs w:val="18"/>
              </w:rPr>
              <w:t xml:space="preserve">Must</w:t>
            </w:r>
          </w:p>
        </w:tc>
        <w:tc>
          <w:tcPr>
            <w:tcW w:type="dxa" w:w="3900"/>
          </w:tcPr>
          <w:p>
            <w:r>
              <w:rPr>
                <w:b w:val="false"/>
                <w:bCs w:val="false"/>
                <w:sz w:val="18"/>
                <w:szCs w:val="18"/>
              </w:rPr>
              <w:t xml:space="preserve">A pair with differing currency codes is classified CCY_MISMATCH regardless of quantity/value tolerance.</w:t>
            </w:r>
          </w:p>
        </w:tc>
      </w:tr>
      <w:tr>
        <w:tc>
          <w:tcPr>
            <w:tcW w:type="dxa" w:w="700"/>
          </w:tcPr>
          <w:p>
            <w:r>
              <w:rPr>
                <w:b w:val="false"/>
                <w:bCs w:val="false"/>
                <w:sz w:val="18"/>
                <w:szCs w:val="18"/>
              </w:rPr>
              <w:t xml:space="preserve">FR-15</w:t>
            </w:r>
          </w:p>
        </w:tc>
        <w:tc>
          <w:tcPr>
            <w:tcW w:type="dxa" w:w="4200"/>
          </w:tcPr>
          <w:p>
            <w:r>
              <w:rPr>
                <w:b w:val="false"/>
                <w:bCs w:val="false"/>
                <w:sz w:val="18"/>
                <w:szCs w:val="18"/>
              </w:rPr>
              <w:t xml:space="preserve">The system shall classify a break as TIMING when the quantity gap equals the net signed quantity of unsettled pending trades settling after the business date.</w:t>
            </w:r>
          </w:p>
        </w:tc>
        <w:tc>
          <w:tcPr>
            <w:tcW w:type="dxa" w:w="700"/>
          </w:tcPr>
          <w:p>
            <w:r>
              <w:rPr>
                <w:b w:val="false"/>
                <w:bCs w:val="false"/>
                <w:sz w:val="18"/>
                <w:szCs w:val="18"/>
              </w:rPr>
              <w:t xml:space="preserve">Must</w:t>
            </w:r>
          </w:p>
        </w:tc>
        <w:tc>
          <w:tcPr>
            <w:tcW w:type="dxa" w:w="3900"/>
          </w:tcPr>
          <w:p>
            <w:r>
              <w:rPr>
                <w:b w:val="false"/>
                <w:bCs w:val="false"/>
                <w:sz w:val="18"/>
                <w:szCs w:val="18"/>
              </w:rPr>
              <w:t xml:space="preserve">Given a matching pending_trades.csv row, the break is classified TIMING with the trade ID cited as evidence.</w:t>
            </w:r>
          </w:p>
        </w:tc>
      </w:tr>
      <w:tr>
        <w:tc>
          <w:tcPr>
            <w:tcW w:type="dxa" w:w="700"/>
          </w:tcPr>
          <w:p>
            <w:r>
              <w:rPr>
                <w:b w:val="false"/>
                <w:bCs w:val="false"/>
                <w:sz w:val="18"/>
                <w:szCs w:val="18"/>
              </w:rPr>
              <w:t xml:space="preserve">FR-16</w:t>
            </w:r>
          </w:p>
        </w:tc>
        <w:tc>
          <w:tcPr>
            <w:tcW w:type="dxa" w:w="4200"/>
          </w:tcPr>
          <w:p>
            <w:r>
              <w:rPr>
                <w:b w:val="false"/>
                <w:bCs w:val="false"/>
                <w:sz w:val="18"/>
                <w:szCs w:val="18"/>
              </w:rPr>
              <w:t xml:space="preserve">The system shall classify a break as CORP when a corporate action ratio explains the quantity gap and the action was processed on only one side.</w:t>
            </w:r>
          </w:p>
        </w:tc>
        <w:tc>
          <w:tcPr>
            <w:tcW w:type="dxa" w:w="700"/>
          </w:tcPr>
          <w:p>
            <w:r>
              <w:rPr>
                <w:b w:val="false"/>
                <w:bCs w:val="false"/>
                <w:sz w:val="18"/>
                <w:szCs w:val="18"/>
              </w:rPr>
              <w:t xml:space="preserve">Must</w:t>
            </w:r>
          </w:p>
        </w:tc>
        <w:tc>
          <w:tcPr>
            <w:tcW w:type="dxa" w:w="3900"/>
          </w:tcPr>
          <w:p>
            <w:r>
              <w:rPr>
                <w:b w:val="false"/>
                <w:bCs w:val="false"/>
                <w:sz w:val="18"/>
                <w:szCs w:val="18"/>
              </w:rPr>
              <w:t xml:space="preserve">Given a matching corporate_actions.csv row with differing processed flags, the break is classified CORP.</w:t>
            </w:r>
          </w:p>
        </w:tc>
      </w:tr>
      <w:tr>
        <w:tc>
          <w:tcPr>
            <w:tcW w:type="dxa" w:w="700"/>
          </w:tcPr>
          <w:p>
            <w:r>
              <w:rPr>
                <w:b w:val="false"/>
                <w:bCs w:val="false"/>
                <w:sz w:val="18"/>
                <w:szCs w:val="18"/>
              </w:rPr>
              <w:t xml:space="preserve">FR-17</w:t>
            </w:r>
          </w:p>
        </w:tc>
        <w:tc>
          <w:tcPr>
            <w:tcW w:type="dxa" w:w="4200"/>
          </w:tcPr>
          <w:p>
            <w:r>
              <w:rPr>
                <w:b w:val="false"/>
                <w:bCs w:val="false"/>
                <w:sz w:val="18"/>
                <w:szCs w:val="18"/>
              </w:rPr>
              <w:t xml:space="preserve">The system shall classify a break as PRICE when quantities agree but market value differs beyond tolerance due to price.</w:t>
            </w:r>
          </w:p>
        </w:tc>
        <w:tc>
          <w:tcPr>
            <w:tcW w:type="dxa" w:w="700"/>
          </w:tcPr>
          <w:p>
            <w:r>
              <w:rPr>
                <w:b w:val="false"/>
                <w:bCs w:val="false"/>
                <w:sz w:val="18"/>
                <w:szCs w:val="18"/>
              </w:rPr>
              <w:t xml:space="preserve">Must</w:t>
            </w:r>
          </w:p>
        </w:tc>
        <w:tc>
          <w:tcPr>
            <w:tcW w:type="dxa" w:w="3900"/>
          </w:tcPr>
          <w:p>
            <w:r>
              <w:rPr>
                <w:b w:val="false"/>
                <w:bCs w:val="false"/>
                <w:sz w:val="18"/>
                <w:szCs w:val="18"/>
              </w:rPr>
              <w:t xml:space="preserve">Given equal quantities and a price difference beyond the configured percentage, the break is classified PRICE.</w:t>
            </w:r>
          </w:p>
        </w:tc>
      </w:tr>
      <w:tr>
        <w:tc>
          <w:tcPr>
            <w:tcW w:type="dxa" w:w="700"/>
          </w:tcPr>
          <w:p>
            <w:r>
              <w:rPr>
                <w:b w:val="false"/>
                <w:bCs w:val="false"/>
                <w:sz w:val="18"/>
                <w:szCs w:val="18"/>
              </w:rPr>
              <w:t xml:space="preserve">FR-18</w:t>
            </w:r>
          </w:p>
        </w:tc>
        <w:tc>
          <w:tcPr>
            <w:tcW w:type="dxa" w:w="4200"/>
          </w:tcPr>
          <w:p>
            <w:r>
              <w:rPr>
                <w:b w:val="false"/>
                <w:bCs w:val="false"/>
                <w:sz w:val="18"/>
                <w:szCs w:val="18"/>
              </w:rPr>
              <w:t xml:space="preserve">The system shall classify a break as TRADE when the quantity gap matches a single recent trade or the sum of recent trades within a configurable lookback window.</w:t>
            </w:r>
          </w:p>
        </w:tc>
        <w:tc>
          <w:tcPr>
            <w:tcW w:type="dxa" w:w="700"/>
          </w:tcPr>
          <w:p>
            <w:r>
              <w:rPr>
                <w:b w:val="false"/>
                <w:bCs w:val="false"/>
                <w:sz w:val="18"/>
                <w:szCs w:val="18"/>
              </w:rPr>
              <w:t xml:space="preserve">Should</w:t>
            </w:r>
          </w:p>
        </w:tc>
        <w:tc>
          <w:tcPr>
            <w:tcW w:type="dxa" w:w="3900"/>
          </w:tcPr>
          <w:p>
            <w:r>
              <w:rPr>
                <w:b w:val="false"/>
                <w:bCs w:val="false"/>
                <w:sz w:val="18"/>
                <w:szCs w:val="18"/>
              </w:rPr>
              <w:t xml:space="preserve">Given a recent trade whose (signed) quantity equals the gap, the break is classified TRADE.</w:t>
            </w:r>
          </w:p>
        </w:tc>
      </w:tr>
      <w:tr>
        <w:tc>
          <w:tcPr>
            <w:tcW w:type="dxa" w:w="700"/>
          </w:tcPr>
          <w:p>
            <w:r>
              <w:rPr>
                <w:b w:val="false"/>
                <w:bCs w:val="false"/>
                <w:sz w:val="18"/>
                <w:szCs w:val="18"/>
              </w:rPr>
              <w:t xml:space="preserve">FR-19</w:t>
            </w:r>
          </w:p>
        </w:tc>
        <w:tc>
          <w:tcPr>
            <w:tcW w:type="dxa" w:w="4200"/>
          </w:tcPr>
          <w:p>
            <w:r>
              <w:rPr>
                <w:b w:val="false"/>
                <w:bCs w:val="false"/>
                <w:sz w:val="18"/>
                <w:szCs w:val="18"/>
              </w:rPr>
              <w:t xml:space="preserve">The system shall classify any break matching no other rule as UNEXPLAINED, noting which optional evidence file (if any) was not supplied.</w:t>
            </w:r>
          </w:p>
        </w:tc>
        <w:tc>
          <w:tcPr>
            <w:tcW w:type="dxa" w:w="700"/>
          </w:tcPr>
          <w:p>
            <w:r>
              <w:rPr>
                <w:b w:val="false"/>
                <w:bCs w:val="false"/>
                <w:sz w:val="18"/>
                <w:szCs w:val="18"/>
              </w:rPr>
              <w:t xml:space="preserve">Must</w:t>
            </w:r>
          </w:p>
        </w:tc>
        <w:tc>
          <w:tcPr>
            <w:tcW w:type="dxa" w:w="3900"/>
          </w:tcPr>
          <w:p>
            <w:r>
              <w:rPr>
                <w:b w:val="false"/>
                <w:bCs w:val="false"/>
                <w:sz w:val="18"/>
                <w:szCs w:val="18"/>
              </w:rPr>
              <w:t xml:space="preserve">A break with no matching rule is labelled UNEXPLAINED with an honest note; the system never forces an incorrect label.</w:t>
            </w:r>
          </w:p>
        </w:tc>
      </w:tr>
      <w:tr>
        <w:tc>
          <w:tcPr>
            <w:tcW w:type="dxa" w:w="700"/>
          </w:tcPr>
          <w:p>
            <w:r>
              <w:rPr>
                <w:b w:val="false"/>
                <w:bCs w:val="false"/>
                <w:sz w:val="18"/>
                <w:szCs w:val="18"/>
              </w:rPr>
              <w:t xml:space="preserve">FR-20</w:t>
            </w:r>
          </w:p>
        </w:tc>
        <w:tc>
          <w:tcPr>
            <w:tcW w:type="dxa" w:w="4200"/>
          </w:tcPr>
          <w:p>
            <w:r>
              <w:rPr>
                <w:b w:val="false"/>
                <w:bCs w:val="false"/>
                <w:sz w:val="18"/>
                <w:szCs w:val="18"/>
              </w:rPr>
              <w:t xml:space="preserve">The system shall assign a materiality tier and an SLA due date (in business days, skipping weekends and configured holidays) to every break.</w:t>
            </w:r>
          </w:p>
        </w:tc>
        <w:tc>
          <w:tcPr>
            <w:tcW w:type="dxa" w:w="700"/>
          </w:tcPr>
          <w:p>
            <w:r>
              <w:rPr>
                <w:b w:val="false"/>
                <w:bCs w:val="false"/>
                <w:sz w:val="18"/>
                <w:szCs w:val="18"/>
              </w:rPr>
              <w:t xml:space="preserve">Must</w:t>
            </w:r>
          </w:p>
        </w:tc>
        <w:tc>
          <w:tcPr>
            <w:tcW w:type="dxa" w:w="3900"/>
          </w:tcPr>
          <w:p>
            <w:r>
              <w:rPr>
                <w:b w:val="false"/>
                <w:bCs w:val="false"/>
                <w:sz w:val="18"/>
                <w:szCs w:val="18"/>
              </w:rPr>
              <w:t xml:space="preserve">A break's absolute value impact selects the correct tier from configuration and the due date correctly skips non-business days.</w:t>
            </w:r>
          </w:p>
        </w:tc>
      </w:tr>
      <w:tr>
        <w:tc>
          <w:tcPr>
            <w:tcW w:type="dxa" w:w="700"/>
          </w:tcPr>
          <w:p>
            <w:r>
              <w:rPr>
                <w:b w:val="false"/>
                <w:bCs w:val="false"/>
                <w:sz w:val="18"/>
                <w:szCs w:val="18"/>
              </w:rPr>
              <w:t xml:space="preserve">FR-21</w:t>
            </w:r>
          </w:p>
        </w:tc>
        <w:tc>
          <w:tcPr>
            <w:tcW w:type="dxa" w:w="4200"/>
          </w:tcPr>
          <w:p>
            <w:r>
              <w:rPr>
                <w:b w:val="false"/>
                <w:bCs w:val="false"/>
                <w:sz w:val="18"/>
                <w:szCs w:val="18"/>
              </w:rPr>
              <w:t xml:space="preserve">The system shall flag escalation when a single break exceeds a configurable threshold, or when net exposure exceeds a configurable percentage of AUM.</w:t>
            </w:r>
          </w:p>
        </w:tc>
        <w:tc>
          <w:tcPr>
            <w:tcW w:type="dxa" w:w="700"/>
          </w:tcPr>
          <w:p>
            <w:r>
              <w:rPr>
                <w:b w:val="false"/>
                <w:bCs w:val="false"/>
                <w:sz w:val="18"/>
                <w:szCs w:val="18"/>
              </w:rPr>
              <w:t xml:space="preserve">Must</w:t>
            </w:r>
          </w:p>
        </w:tc>
        <w:tc>
          <w:tcPr>
            <w:tcW w:type="dxa" w:w="3900"/>
          </w:tcPr>
          <w:p>
            <w:r>
              <w:rPr>
                <w:b w:val="false"/>
                <w:bCs w:val="false"/>
                <w:sz w:val="18"/>
                <w:szCs w:val="18"/>
              </w:rPr>
              <w:t xml:space="preserve">Breaks above the threshold are marked escalated with a stated reason; a portfolio-level net-exposure breach marks all breaks in that run.</w:t>
            </w:r>
          </w:p>
        </w:tc>
      </w:tr>
      <w:tr>
        <w:tc>
          <w:tcPr>
            <w:tcW w:type="dxa" w:w="700"/>
          </w:tcPr>
          <w:p>
            <w:r>
              <w:rPr>
                <w:b w:val="false"/>
                <w:bCs w:val="false"/>
                <w:sz w:val="18"/>
                <w:szCs w:val="18"/>
              </w:rPr>
              <w:t xml:space="preserve">FR-22</w:t>
            </w:r>
          </w:p>
        </w:tc>
        <w:tc>
          <w:tcPr>
            <w:tcW w:type="dxa" w:w="4200"/>
          </w:tcPr>
          <w:p>
            <w:r>
              <w:rPr>
                <w:b w:val="false"/>
                <w:bCs w:val="false"/>
                <w:sz w:val="18"/>
                <w:szCs w:val="18"/>
              </w:rPr>
              <w:t xml:space="preserve">The system shall generate a plain-English suggested next action for every reason code.</w:t>
            </w:r>
          </w:p>
        </w:tc>
        <w:tc>
          <w:tcPr>
            <w:tcW w:type="dxa" w:w="700"/>
          </w:tcPr>
          <w:p>
            <w:r>
              <w:rPr>
                <w:b w:val="false"/>
                <w:bCs w:val="false"/>
                <w:sz w:val="18"/>
                <w:szCs w:val="18"/>
              </w:rPr>
              <w:t xml:space="preserve">Should</w:t>
            </w:r>
          </w:p>
        </w:tc>
        <w:tc>
          <w:tcPr>
            <w:tcW w:type="dxa" w:w="3900"/>
          </w:tcPr>
          <w:p>
            <w:r>
              <w:rPr>
                <w:b w:val="false"/>
                <w:bCs w:val="false"/>
                <w:sz w:val="18"/>
                <w:szCs w:val="18"/>
              </w:rPr>
              <w:t xml:space="preserve">Every break in the blotter shows a suggested action string appropriate to its reason code.</w:t>
            </w:r>
          </w:p>
        </w:tc>
      </w:tr>
      <w:tr>
        <w:tc>
          <w:tcPr>
            <w:tcW w:type="dxa" w:w="700"/>
          </w:tcPr>
          <w:p>
            <w:r>
              <w:rPr>
                <w:b w:val="false"/>
                <w:bCs w:val="false"/>
                <w:sz w:val="18"/>
                <w:szCs w:val="18"/>
              </w:rPr>
              <w:t xml:space="preserve">FR-23</w:t>
            </w:r>
          </w:p>
        </w:tc>
        <w:tc>
          <w:tcPr>
            <w:tcW w:type="dxa" w:w="4200"/>
          </w:tcPr>
          <w:p>
            <w:r>
              <w:rPr>
                <w:b w:val="false"/>
                <w:bCs w:val="false"/>
                <w:sz w:val="18"/>
                <w:szCs w:val="18"/>
              </w:rPr>
              <w:t xml:space="preserve">The system shall compute summary KPIs: break rate, breaks by reason/tier, gross and net exposure, auto-explained share, and an aging table.</w:t>
            </w:r>
          </w:p>
        </w:tc>
        <w:tc>
          <w:tcPr>
            <w:tcW w:type="dxa" w:w="700"/>
          </w:tcPr>
          <w:p>
            <w:r>
              <w:rPr>
                <w:b w:val="false"/>
                <w:bCs w:val="false"/>
                <w:sz w:val="18"/>
                <w:szCs w:val="18"/>
              </w:rPr>
              <w:t xml:space="preserve">Must</w:t>
            </w:r>
          </w:p>
        </w:tc>
        <w:tc>
          <w:tcPr>
            <w:tcW w:type="dxa" w:w="3900"/>
          </w:tcPr>
          <w:p>
            <w:r>
              <w:rPr>
                <w:b w:val="false"/>
                <w:bCs w:val="false"/>
                <w:sz w:val="18"/>
                <w:szCs w:val="18"/>
              </w:rPr>
              <w:t xml:space="preserve">The Summary tab displays all listed KPIs computed from the current run.</w:t>
            </w:r>
          </w:p>
        </w:tc>
      </w:tr>
      <w:tr>
        <w:tc>
          <w:tcPr>
            <w:tcW w:type="dxa" w:w="700"/>
          </w:tcPr>
          <w:p>
            <w:r>
              <w:rPr>
                <w:b w:val="false"/>
                <w:bCs w:val="false"/>
                <w:sz w:val="18"/>
                <w:szCs w:val="18"/>
              </w:rPr>
              <w:t xml:space="preserve">FR-24</w:t>
            </w:r>
          </w:p>
        </w:tc>
        <w:tc>
          <w:tcPr>
            <w:tcW w:type="dxa" w:w="4200"/>
          </w:tcPr>
          <w:p>
            <w:r>
              <w:rPr>
                <w:b w:val="false"/>
                <w:bCs w:val="false"/>
                <w:sz w:val="18"/>
                <w:szCs w:val="18"/>
              </w:rPr>
              <w:t xml:space="preserve">The system shall provide a searchable, filterable break blotter with CSV and Excel export.</w:t>
            </w:r>
          </w:p>
        </w:tc>
        <w:tc>
          <w:tcPr>
            <w:tcW w:type="dxa" w:w="700"/>
          </w:tcPr>
          <w:p>
            <w:r>
              <w:rPr>
                <w:b w:val="false"/>
                <w:bCs w:val="false"/>
                <w:sz w:val="18"/>
                <w:szCs w:val="18"/>
              </w:rPr>
              <w:t xml:space="preserve">Must</w:t>
            </w:r>
          </w:p>
        </w:tc>
        <w:tc>
          <w:tcPr>
            <w:tcW w:type="dxa" w:w="3900"/>
          </w:tcPr>
          <w:p>
            <w:r>
              <w:rPr>
                <w:b w:val="false"/>
                <w:bCs w:val="false"/>
                <w:sz w:val="18"/>
                <w:szCs w:val="18"/>
              </w:rPr>
              <w:t xml:space="preserve">The user can filter by reason code, tier, account and escalation flag, and download both file formats.</w:t>
            </w:r>
          </w:p>
        </w:tc>
      </w:tr>
      <w:tr>
        <w:tc>
          <w:tcPr>
            <w:tcW w:type="dxa" w:w="700"/>
          </w:tcPr>
          <w:p>
            <w:r>
              <w:rPr>
                <w:b w:val="false"/>
                <w:bCs w:val="false"/>
                <w:sz w:val="18"/>
                <w:szCs w:val="18"/>
              </w:rPr>
              <w:t xml:space="preserve">FR-25</w:t>
            </w:r>
          </w:p>
        </w:tc>
        <w:tc>
          <w:tcPr>
            <w:tcW w:type="dxa" w:w="4200"/>
          </w:tcPr>
          <w:p>
            <w:r>
              <w:rPr>
                <w:b w:val="false"/>
                <w:bCs w:val="false"/>
                <w:sz w:val="18"/>
                <w:szCs w:val="18"/>
              </w:rPr>
              <w:t xml:space="preserve">The system shall show, for any selected break, both books' values, the security master row used, the evidence used, and the full audit trail.</w:t>
            </w:r>
          </w:p>
        </w:tc>
        <w:tc>
          <w:tcPr>
            <w:tcW w:type="dxa" w:w="700"/>
          </w:tcPr>
          <w:p>
            <w:r>
              <w:rPr>
                <w:b w:val="false"/>
                <w:bCs w:val="false"/>
                <w:sz w:val="18"/>
                <w:szCs w:val="18"/>
              </w:rPr>
              <w:t xml:space="preserve">Must</w:t>
            </w:r>
          </w:p>
        </w:tc>
        <w:tc>
          <w:tcPr>
            <w:tcW w:type="dxa" w:w="3900"/>
          </w:tcPr>
          <w:p>
            <w:r>
              <w:rPr>
                <w:b w:val="false"/>
                <w:bCs w:val="false"/>
                <w:sz w:val="18"/>
                <w:szCs w:val="18"/>
              </w:rPr>
              <w:t xml:space="preserve">Selecting a break in the Break Detail tab displays all of the above.</w:t>
            </w:r>
          </w:p>
        </w:tc>
      </w:tr>
      <w:tr>
        <w:tc>
          <w:tcPr>
            <w:tcW w:type="dxa" w:w="700"/>
          </w:tcPr>
          <w:p>
            <w:r>
              <w:rPr>
                <w:b w:val="false"/>
                <w:bCs w:val="false"/>
                <w:sz w:val="18"/>
                <w:szCs w:val="18"/>
              </w:rPr>
              <w:t xml:space="preserve">FR-26</w:t>
            </w:r>
          </w:p>
        </w:tc>
        <w:tc>
          <w:tcPr>
            <w:tcW w:type="dxa" w:w="4200"/>
          </w:tcPr>
          <w:p>
            <w:r>
              <w:rPr>
                <w:b w:val="false"/>
                <w:bCs w:val="false"/>
                <w:sz w:val="18"/>
                <w:szCs w:val="18"/>
              </w:rPr>
              <w:t xml:space="preserve">The system shall let the user edit every tolerance/threshold in the UI and reset to the shipped defaults.</w:t>
            </w:r>
          </w:p>
        </w:tc>
        <w:tc>
          <w:tcPr>
            <w:tcW w:type="dxa" w:w="700"/>
          </w:tcPr>
          <w:p>
            <w:r>
              <w:rPr>
                <w:b w:val="false"/>
                <w:bCs w:val="false"/>
                <w:sz w:val="18"/>
                <w:szCs w:val="18"/>
              </w:rPr>
              <w:t xml:space="preserve">Should</w:t>
            </w:r>
          </w:p>
        </w:tc>
        <w:tc>
          <w:tcPr>
            <w:tcW w:type="dxa" w:w="3900"/>
          </w:tcPr>
          <w:p>
            <w:r>
              <w:rPr>
                <w:b w:val="false"/>
                <w:bCs w:val="false"/>
                <w:sz w:val="18"/>
                <w:szCs w:val="18"/>
              </w:rPr>
              <w:t xml:space="preserve">Changing a tolerance and re-running changes which positions break, and Reset restores the shipped values.</w:t>
            </w:r>
          </w:p>
        </w:tc>
      </w:tr>
      <w:tr>
        <w:tc>
          <w:tcPr>
            <w:tcW w:type="dxa" w:w="700"/>
          </w:tcPr>
          <w:p>
            <w:r>
              <w:rPr>
                <w:b w:val="false"/>
                <w:bCs w:val="false"/>
                <w:sz w:val="18"/>
                <w:szCs w:val="18"/>
              </w:rPr>
              <w:t xml:space="preserve">FR-27</w:t>
            </w:r>
          </w:p>
        </w:tc>
        <w:tc>
          <w:tcPr>
            <w:tcW w:type="dxa" w:w="4200"/>
          </w:tcPr>
          <w:p>
            <w:r>
              <w:rPr>
                <w:b w:val="false"/>
                <w:bCs w:val="false"/>
                <w:sz w:val="18"/>
                <w:szCs w:val="18"/>
              </w:rPr>
              <w:t xml:space="preserve">The system shall produce identical output for identical input (determinism).</w:t>
            </w:r>
          </w:p>
        </w:tc>
        <w:tc>
          <w:tcPr>
            <w:tcW w:type="dxa" w:w="700"/>
          </w:tcPr>
          <w:p>
            <w:r>
              <w:rPr>
                <w:b w:val="false"/>
                <w:bCs w:val="false"/>
                <w:sz w:val="18"/>
                <w:szCs w:val="18"/>
              </w:rPr>
              <w:t xml:space="preserve">Must</w:t>
            </w:r>
          </w:p>
        </w:tc>
        <w:tc>
          <w:tcPr>
            <w:tcW w:type="dxa" w:w="3900"/>
          </w:tcPr>
          <w:p>
            <w:r>
              <w:rPr>
                <w:b w:val="false"/>
                <w:bCs w:val="false"/>
                <w:sz w:val="18"/>
                <w:szCs w:val="18"/>
              </w:rPr>
              <w:t xml:space="preserve">Running the same files and configuration twice produces byte-identical KPIs and an identical break list.</w:t>
            </w:r>
          </w:p>
        </w:tc>
      </w:tr>
    </w:tbl>
    <w:p>
      <w:r>
        <w:br w:type="page"/>
      </w:r>
    </w:p>
    <w:p>
      <w:pPr>
        <w:pStyle w:val="Heading1"/>
        <w:spacing w:after="120" w:before="240"/>
      </w:pPr>
      <w:r>
        <w:t xml:space="preserve">8. Business Rules</w:t>
      </w:r>
    </w:p>
    <w:p>
      <w:pPr>
        <w:spacing w:after="40" w:before="120"/>
      </w:pPr>
      <w:r>
        <w:rPr>
          <w:b/>
          <w:bCs/>
        </w:rPr>
        <w:t xml:space="preserve">BR-01 (Matching)</w:t>
      </w:r>
    </w:p>
    <w:p>
      <w:pPr>
        <w:spacing w:after="120"/>
      </w:pPr>
      <w:r>
        <w:t xml:space="preserve">A custodian record and an internal record are candidates to match only if they share the same business_date, account and internal_security_id. A key with more than one row on either side is a DUPLICATE break, never an arbitrary pairing.</w:t>
      </w:r>
    </w:p>
    <w:p>
      <w:pPr>
        <w:spacing w:after="40" w:before="120"/>
      </w:pPr>
      <w:r>
        <w:rPr>
          <w:b/>
          <w:bCs/>
        </w:rPr>
        <w:t xml:space="preserve">BR-02 (Tolerance)</w:t>
      </w:r>
    </w:p>
    <w:p>
      <w:pPr>
        <w:spacing w:after="120"/>
      </w:pPr>
      <w:r>
        <w:t xml:space="preserve">A matched pair is MATCHED only if BOTH the absolute quantity difference and the absolute market-value difference are within the tolerance configured for that security's asset class, AND there is no currency mismatch. Tolerance is never hard-coded; it is always read from config/tolerances.yaml.</w:t>
      </w:r>
    </w:p>
    <w:p>
      <w:pPr>
        <w:spacing w:after="40" w:before="120"/>
      </w:pPr>
      <w:r>
        <w:rPr>
          <w:b/>
          <w:bCs/>
        </w:rPr>
        <w:t xml:space="preserve">BR-03 (Unit standardisation)</w:t>
      </w:r>
    </w:p>
    <w:p>
      <w:pPr>
        <w:spacing w:after="120"/>
      </w:pPr>
      <w:r>
        <w:t xml:space="preserve">The custodian side's reported quantity is divided by the security master's unit_multiplier before comparison, so that a face-value vs. unit-count convention difference does not manufacture a false break.</w:t>
      </w:r>
    </w:p>
    <w:p>
      <w:pPr>
        <w:spacing w:after="40" w:before="120"/>
      </w:pPr>
      <w:r>
        <w:rPr>
          <w:b/>
          <w:bCs/>
        </w:rPr>
        <w:t xml:space="preserve">BR-04 (Materiality)</w:t>
      </w:r>
    </w:p>
    <w:p>
      <w:pPr>
        <w:spacing w:after="120"/>
      </w:pPr>
      <w:r>
        <w:t xml:space="preserve">A break's materiality tier (SAME_DAY / NEXT_DAY / ROUTINE) and its SLA due date are driven entirely by its absolute value impact against configured bands, with the due date computed in business days, skipping weekends and any configured holidays.</w:t>
      </w:r>
    </w:p>
    <w:p>
      <w:pPr>
        <w:spacing w:after="40" w:before="120"/>
      </w:pPr>
      <w:r>
        <w:rPr>
          <w:b/>
          <w:bCs/>
        </w:rPr>
        <w:t xml:space="preserve">BR-05 (Escalation)</w:t>
      </w:r>
    </w:p>
    <w:p>
      <w:pPr>
        <w:spacing w:after="120"/>
      </w:pPr>
      <w:r>
        <w:t xml:space="preserve">A single break whose absolute value impact exceeds the configured threshold is escalated to senior ops. Independently, if the run's net (signed) exposure difference exceeds a configured percentage of AUM, every break in that run is marked escalated to the portfolio manager.</w:t>
      </w:r>
    </w:p>
    <w:p>
      <w:pPr>
        <w:spacing w:after="40" w:before="120"/>
      </w:pPr>
      <w:r>
        <w:rPr>
          <w:b/>
          <w:bCs/>
        </w:rPr>
        <w:t xml:space="preserve">BR-06 (Security master governance)</w:t>
      </w:r>
    </w:p>
    <w:p>
      <w:pPr>
        <w:spacing w:after="120"/>
      </w:pPr>
      <w:r>
        <w:t xml:space="preserve">A custodian code that cannot be mapped, that maps ambiguously to more than one internal ID, or that maps to an INACTIVE security or one not yet effective as of the business date, is never silently dropped: it is a SETUP break and stays visible in the blotter and in the list of unmapped codes.</w:t>
      </w:r>
    </w:p>
    <w:p>
      <w:pPr>
        <w:spacing w:after="40" w:before="120"/>
      </w:pPr>
      <w:r>
        <w:rPr>
          <w:b/>
          <w:bCs/>
        </w:rPr>
        <w:t xml:space="preserve">BR-07 (Classification order)</w:t>
      </w:r>
    </w:p>
    <w:p>
      <w:pPr>
        <w:spacing w:after="120"/>
      </w:pPr>
      <w:r>
        <w:t xml:space="preserve">Root-cause rules are evaluated in a fixed, documented order (SETUP, CCY_MISMATCH, TIMING, CORP, PRICE, TRADE, UNEXPLAINED); the first rule whose condition is actually met wins, and every decision -- including reaching UNEXPLAINED -- writes an audit-trail entry naming the rule and the evidence considered.</w:t>
      </w:r>
    </w:p>
    <w:p>
      <w:pPr>
        <w:pStyle w:val="Heading1"/>
        <w:spacing w:after="120" w:before="240"/>
      </w:pPr>
      <w:r>
        <w:t xml:space="preserve">9. Non-Functional Requirements</w:t>
      </w:r>
    </w:p>
    <w:p>
      <w:pPr>
        <w:pStyle w:val="ListParagraph"/>
        <w:numPr>
          <w:ilvl w:val="0"/>
          <w:numId w:val="1"/>
        </w:numPr>
        <w:spacing w:after="60"/>
      </w:pPr>
      <w:r>
        <w:t xml:space="preserve">Determinism: identical inputs and configuration must always produce identical output (KPIs and break list), to support audit and re-run scenarios.</w:t>
      </w:r>
    </w:p>
    <w:p>
      <w:pPr>
        <w:pStyle w:val="ListParagraph"/>
        <w:numPr>
          <w:ilvl w:val="0"/>
          <w:numId w:val="1"/>
        </w:numPr>
        <w:spacing w:after="60"/>
      </w:pPr>
      <w:r>
        <w:t xml:space="preserve">Auditability: every classification decision must write a traceable audit-trail entry naming the rule, the evidence used, and the values compared -- the engine must never assign a reason code silently.</w:t>
      </w:r>
    </w:p>
    <w:p>
      <w:pPr>
        <w:pStyle w:val="ListParagraph"/>
        <w:numPr>
          <w:ilvl w:val="0"/>
          <w:numId w:val="1"/>
        </w:numPr>
        <w:spacing w:after="60"/>
      </w:pPr>
      <w:r>
        <w:t xml:space="preserve">Configurability: every threshold used in validation, comparison, materiality, or escalation must be externalised to config/tolerances.yaml; none may be hard-coded in the engine.</w:t>
      </w:r>
    </w:p>
    <w:p>
      <w:pPr>
        <w:pStyle w:val="ListParagraph"/>
        <w:numPr>
          <w:ilvl w:val="0"/>
          <w:numId w:val="1"/>
        </w:numPr>
        <w:spacing w:after="60"/>
      </w:pPr>
      <w:r>
        <w:t xml:space="preserve">Separation of concerns: the engine (src/recon_engine/*) must contain no UI framework code and no network calls, so it can be unit-tested and reused outside Streamlit.</w:t>
      </w:r>
    </w:p>
    <w:p>
      <w:pPr>
        <w:pStyle w:val="ListParagraph"/>
        <w:numPr>
          <w:ilvl w:val="0"/>
          <w:numId w:val="1"/>
        </w:numPr>
        <w:spacing w:after="60"/>
      </w:pPr>
      <w:r>
        <w:t xml:space="preserve">Performance: the prototype is sized for a few hundred to a few thousand positions per run, well within what a pandas-based in-memory pipeline handles interactively; no distributed processing is in scope.</w:t>
      </w:r>
    </w:p>
    <w:p>
      <w:pPr>
        <w:pStyle w:val="ListParagraph"/>
        <w:numPr>
          <w:ilvl w:val="0"/>
          <w:numId w:val="1"/>
        </w:numPr>
        <w:spacing w:after="60"/>
      </w:pPr>
      <w:r>
        <w:t xml:space="preserve">Data handling: this prototype uses only synthetic data; it must never be pointed at real client or custodian data without a separate security and data-handling review, which is outside this project's scope.</w:t>
      </w:r>
    </w:p>
    <w:p>
      <w:r>
        <w:br w:type="page"/>
      </w:r>
    </w:p>
    <w:p>
      <w:pPr>
        <w:pStyle w:val="Heading1"/>
        <w:spacing w:after="120" w:before="240"/>
      </w:pPr>
      <w:r>
        <w:t xml:space="preserve">10. Data Requirements and Assumptions</w:t>
      </w:r>
    </w:p>
    <w:p>
      <w:pPr>
        <w:pStyle w:val="Heading2"/>
        <w:spacing w:after="120" w:before="240"/>
      </w:pPr>
      <w:r>
        <w:t xml:space="preserve">10.1 Data Dictionary</w:t>
      </w:r>
    </w:p>
    <w:p>
      <w:pPr>
        <w:spacing w:after="60" w:before="160"/>
      </w:pPr>
      <w:r>
        <w:rPr>
          <w:b/>
          <w:bCs/>
        </w:rPr>
        <w:t xml:space="preserve">custodian_positions.csv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0"/>
      </w:tblGrid>
      <w:tr>
        <w:tc>
          <w:tcPr>
            <w:tcW w:type="dxa" w:w="2200"/>
            <w:shd w:fill="D9E2F3" w:val="clear"/>
          </w:tcPr>
          <w:p>
            <w:r>
              <w:rPr>
                <w:b/>
                <w:bCs/>
                <w:sz w:val="18"/>
                <w:szCs w:val="18"/>
              </w:rPr>
              <w:t xml:space="preserve">Column</w:t>
            </w:r>
          </w:p>
        </w:tc>
        <w:tc>
          <w:tcPr>
            <w:tcW w:type="dxa" w:w="1200"/>
            <w:shd w:fill="D9E2F3" w:val="clear"/>
          </w:tcPr>
          <w:p>
            <w:r>
              <w:rPr>
                <w:b/>
                <w:bCs/>
                <w:sz w:val="18"/>
                <w:szCs w:val="18"/>
              </w:rPr>
              <w:t xml:space="preserve">Type</w:t>
            </w:r>
          </w:p>
        </w:tc>
        <w:tc>
          <w:tcPr>
            <w:tcW w:type="dxa" w:w="6100"/>
            <w:shd w:fill="D9E2F3" w:val="clear"/>
          </w:tcPr>
          <w:p>
            <w:r>
              <w:rPr>
                <w:b/>
                <w:bCs/>
                <w:sz w:val="18"/>
                <w:szCs w:val="18"/>
              </w:rPr>
              <w:t xml:space="preserve">Description</w:t>
            </w:r>
          </w:p>
        </w:tc>
      </w:tr>
      <w:tr>
        <w:tc>
          <w:tcPr>
            <w:tcW w:type="dxa" w:w="2200"/>
          </w:tcPr>
          <w:p>
            <w:r>
              <w:rPr>
                <w:b w:val="false"/>
                <w:bCs w:val="false"/>
                <w:sz w:val="18"/>
                <w:szCs w:val="18"/>
              </w:rPr>
              <w:t xml:space="preserve">business_date</w:t>
            </w:r>
          </w:p>
        </w:tc>
        <w:tc>
          <w:tcPr>
            <w:tcW w:type="dxa" w:w="1200"/>
          </w:tcPr>
          <w:p>
            <w:r>
              <w:rPr>
                <w:b w:val="false"/>
                <w:bCs w:val="false"/>
                <w:sz w:val="18"/>
                <w:szCs w:val="18"/>
              </w:rPr>
              <w:t xml:space="preserve">date</w:t>
            </w:r>
          </w:p>
        </w:tc>
        <w:tc>
          <w:tcPr>
            <w:tcW w:type="dxa" w:w="6100"/>
          </w:tcPr>
          <w:p>
            <w:r>
              <w:rPr>
                <w:b w:val="false"/>
                <w:bCs w:val="false"/>
                <w:sz w:val="18"/>
                <w:szCs w:val="18"/>
              </w:rPr>
              <w:t xml:space="preserve">Position date as reported by the custodian.</w:t>
            </w:r>
          </w:p>
        </w:tc>
      </w:tr>
      <w:tr>
        <w:tc>
          <w:tcPr>
            <w:tcW w:type="dxa" w:w="2200"/>
          </w:tcPr>
          <w:p>
            <w:r>
              <w:rPr>
                <w:b w:val="false"/>
                <w:bCs w:val="false"/>
                <w:sz w:val="18"/>
                <w:szCs w:val="18"/>
              </w:rPr>
              <w:t xml:space="preserve">account</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Fund/account identifier; matched against internal_positions.csv.</w:t>
            </w:r>
          </w:p>
        </w:tc>
      </w:tr>
      <w:tr>
        <w:tc>
          <w:tcPr>
            <w:tcW w:type="dxa" w:w="2200"/>
          </w:tcPr>
          <w:p>
            <w:r>
              <w:rPr>
                <w:b w:val="false"/>
                <w:bCs w:val="false"/>
                <w:sz w:val="18"/>
                <w:szCs w:val="18"/>
              </w:rPr>
              <w:t xml:space="preserve">custodian_security_code</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Custodian's own security identifier; mapped via security_master.csv.</w:t>
            </w:r>
          </w:p>
        </w:tc>
      </w:tr>
      <w:tr>
        <w:tc>
          <w:tcPr>
            <w:tcW w:type="dxa" w:w="2200"/>
          </w:tcPr>
          <w:p>
            <w:r>
              <w:rPr>
                <w:b w:val="false"/>
                <w:bCs w:val="false"/>
                <w:sz w:val="18"/>
                <w:szCs w:val="18"/>
              </w:rPr>
              <w:t xml:space="preserve">quantity</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Reported quantity (units, face value, or contracts per the custodian's convention).</w:t>
            </w:r>
          </w:p>
        </w:tc>
      </w:tr>
      <w:tr>
        <w:tc>
          <w:tcPr>
            <w:tcW w:type="dxa" w:w="2200"/>
          </w:tcPr>
          <w:p>
            <w:r>
              <w:rPr>
                <w:b w:val="false"/>
                <w:bCs w:val="false"/>
                <w:sz w:val="18"/>
                <w:szCs w:val="18"/>
              </w:rPr>
              <w:t xml:space="preserve">price</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Reported price per reported unit.</w:t>
            </w:r>
          </w:p>
        </w:tc>
      </w:tr>
      <w:tr>
        <w:tc>
          <w:tcPr>
            <w:tcW w:type="dxa" w:w="2200"/>
          </w:tcPr>
          <w:p>
            <w:r>
              <w:rPr>
                <w:b w:val="false"/>
                <w:bCs w:val="false"/>
                <w:sz w:val="18"/>
                <w:szCs w:val="18"/>
              </w:rPr>
              <w:t xml:space="preserve">market_value</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Reported market value; recomputed as quantity x price if blank.</w:t>
            </w:r>
          </w:p>
        </w:tc>
      </w:tr>
      <w:tr>
        <w:tc>
          <w:tcPr>
            <w:tcW w:type="dxa" w:w="2200"/>
          </w:tcPr>
          <w:p>
            <w:r>
              <w:rPr>
                <w:b w:val="false"/>
                <w:bCs w:val="false"/>
                <w:sz w:val="18"/>
                <w:szCs w:val="18"/>
              </w:rPr>
              <w:t xml:space="preserve">currency</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ISO-style currency code as reported by the custodian.</w:t>
            </w:r>
          </w:p>
        </w:tc>
      </w:tr>
    </w:tbl>
    <w:p>
      <w:pPr>
        <w:spacing w:after="60" w:before="160"/>
      </w:pPr>
      <w:r>
        <w:rPr>
          <w:b/>
          <w:bCs/>
        </w:rPr>
        <w:t xml:space="preserve">internal_positions.csv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0"/>
      </w:tblGrid>
      <w:tr>
        <w:tc>
          <w:tcPr>
            <w:tcW w:type="dxa" w:w="2200"/>
            <w:shd w:fill="D9E2F3" w:val="clear"/>
          </w:tcPr>
          <w:p>
            <w:r>
              <w:rPr>
                <w:b/>
                <w:bCs/>
                <w:sz w:val="18"/>
                <w:szCs w:val="18"/>
              </w:rPr>
              <w:t xml:space="preserve">Column</w:t>
            </w:r>
          </w:p>
        </w:tc>
        <w:tc>
          <w:tcPr>
            <w:tcW w:type="dxa" w:w="1200"/>
            <w:shd w:fill="D9E2F3" w:val="clear"/>
          </w:tcPr>
          <w:p>
            <w:r>
              <w:rPr>
                <w:b/>
                <w:bCs/>
                <w:sz w:val="18"/>
                <w:szCs w:val="18"/>
              </w:rPr>
              <w:t xml:space="preserve">Type</w:t>
            </w:r>
          </w:p>
        </w:tc>
        <w:tc>
          <w:tcPr>
            <w:tcW w:type="dxa" w:w="6100"/>
            <w:shd w:fill="D9E2F3" w:val="clear"/>
          </w:tcPr>
          <w:p>
            <w:r>
              <w:rPr>
                <w:b/>
                <w:bCs/>
                <w:sz w:val="18"/>
                <w:szCs w:val="18"/>
              </w:rPr>
              <w:t xml:space="preserve">Description</w:t>
            </w:r>
          </w:p>
        </w:tc>
      </w:tr>
      <w:tr>
        <w:tc>
          <w:tcPr>
            <w:tcW w:type="dxa" w:w="2200"/>
          </w:tcPr>
          <w:p>
            <w:r>
              <w:rPr>
                <w:b w:val="false"/>
                <w:bCs w:val="false"/>
                <w:sz w:val="18"/>
                <w:szCs w:val="18"/>
              </w:rPr>
              <w:t xml:space="preserve">business_date</w:t>
            </w:r>
          </w:p>
        </w:tc>
        <w:tc>
          <w:tcPr>
            <w:tcW w:type="dxa" w:w="1200"/>
          </w:tcPr>
          <w:p>
            <w:r>
              <w:rPr>
                <w:b w:val="false"/>
                <w:bCs w:val="false"/>
                <w:sz w:val="18"/>
                <w:szCs w:val="18"/>
              </w:rPr>
              <w:t xml:space="preserve">date</w:t>
            </w:r>
          </w:p>
        </w:tc>
        <w:tc>
          <w:tcPr>
            <w:tcW w:type="dxa" w:w="6100"/>
          </w:tcPr>
          <w:p>
            <w:r>
              <w:rPr>
                <w:b w:val="false"/>
                <w:bCs w:val="false"/>
                <w:sz w:val="18"/>
                <w:szCs w:val="18"/>
              </w:rPr>
              <w:t xml:space="preserve">Position date per the internal books.</w:t>
            </w:r>
          </w:p>
        </w:tc>
      </w:tr>
      <w:tr>
        <w:tc>
          <w:tcPr>
            <w:tcW w:type="dxa" w:w="2200"/>
          </w:tcPr>
          <w:p>
            <w:r>
              <w:rPr>
                <w:b w:val="false"/>
                <w:bCs w:val="false"/>
                <w:sz w:val="18"/>
                <w:szCs w:val="18"/>
              </w:rPr>
              <w:t xml:space="preserve">account</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Fund/account identifier.</w:t>
            </w:r>
          </w:p>
        </w:tc>
      </w:tr>
      <w:tr>
        <w:tc>
          <w:tcPr>
            <w:tcW w:type="dxa" w:w="2200"/>
          </w:tcPr>
          <w:p>
            <w:r>
              <w:rPr>
                <w:b w:val="false"/>
                <w:bCs w:val="false"/>
                <w:sz w:val="18"/>
                <w:szCs w:val="18"/>
              </w:rPr>
              <w:t xml:space="preserve">internal_security_id</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The firm's own security identifier; the key used for matching.</w:t>
            </w:r>
          </w:p>
        </w:tc>
      </w:tr>
      <w:tr>
        <w:tc>
          <w:tcPr>
            <w:tcW w:type="dxa" w:w="2200"/>
          </w:tcPr>
          <w:p>
            <w:r>
              <w:rPr>
                <w:b w:val="false"/>
                <w:bCs w:val="false"/>
                <w:sz w:val="18"/>
                <w:szCs w:val="18"/>
              </w:rPr>
              <w:t xml:space="preserve">quantity</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Internal quantity (assumed already multiplier-adjusted; see BR-03).</w:t>
            </w:r>
          </w:p>
        </w:tc>
      </w:tr>
      <w:tr>
        <w:tc>
          <w:tcPr>
            <w:tcW w:type="dxa" w:w="2200"/>
          </w:tcPr>
          <w:p>
            <w:r>
              <w:rPr>
                <w:b w:val="false"/>
                <w:bCs w:val="false"/>
                <w:sz w:val="18"/>
                <w:szCs w:val="18"/>
              </w:rPr>
              <w:t xml:space="preserve">price</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Internal price per unit.</w:t>
            </w:r>
          </w:p>
        </w:tc>
      </w:tr>
      <w:tr>
        <w:tc>
          <w:tcPr>
            <w:tcW w:type="dxa" w:w="2200"/>
          </w:tcPr>
          <w:p>
            <w:r>
              <w:rPr>
                <w:b w:val="false"/>
                <w:bCs w:val="false"/>
                <w:sz w:val="18"/>
                <w:szCs w:val="18"/>
              </w:rPr>
              <w:t xml:space="preserve">market_value</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Internal market value; recomputed if blank.</w:t>
            </w:r>
          </w:p>
        </w:tc>
      </w:tr>
      <w:tr>
        <w:tc>
          <w:tcPr>
            <w:tcW w:type="dxa" w:w="2200"/>
          </w:tcPr>
          <w:p>
            <w:r>
              <w:rPr>
                <w:b w:val="false"/>
                <w:bCs w:val="false"/>
                <w:sz w:val="18"/>
                <w:szCs w:val="18"/>
              </w:rPr>
              <w:t xml:space="preserve">currency</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ISO-style currency code per the internal books.</w:t>
            </w:r>
          </w:p>
        </w:tc>
      </w:tr>
    </w:tbl>
    <w:p>
      <w:pPr>
        <w:spacing w:after="60" w:before="160"/>
      </w:pPr>
      <w:r>
        <w:rPr>
          <w:b/>
          <w:bCs/>
        </w:rPr>
        <w:t xml:space="preserve">security_master.csv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0"/>
      </w:tblGrid>
      <w:tr>
        <w:tc>
          <w:tcPr>
            <w:tcW w:type="dxa" w:w="2200"/>
            <w:shd w:fill="D9E2F3" w:val="clear"/>
          </w:tcPr>
          <w:p>
            <w:r>
              <w:rPr>
                <w:b/>
                <w:bCs/>
                <w:sz w:val="18"/>
                <w:szCs w:val="18"/>
              </w:rPr>
              <w:t xml:space="preserve">Column</w:t>
            </w:r>
          </w:p>
        </w:tc>
        <w:tc>
          <w:tcPr>
            <w:tcW w:type="dxa" w:w="1200"/>
            <w:shd w:fill="D9E2F3" w:val="clear"/>
          </w:tcPr>
          <w:p>
            <w:r>
              <w:rPr>
                <w:b/>
                <w:bCs/>
                <w:sz w:val="18"/>
                <w:szCs w:val="18"/>
              </w:rPr>
              <w:t xml:space="preserve">Type</w:t>
            </w:r>
          </w:p>
        </w:tc>
        <w:tc>
          <w:tcPr>
            <w:tcW w:type="dxa" w:w="6100"/>
            <w:shd w:fill="D9E2F3" w:val="clear"/>
          </w:tcPr>
          <w:p>
            <w:r>
              <w:rPr>
                <w:b/>
                <w:bCs/>
                <w:sz w:val="18"/>
                <w:szCs w:val="18"/>
              </w:rPr>
              <w:t xml:space="preserve">Description</w:t>
            </w:r>
          </w:p>
        </w:tc>
      </w:tr>
      <w:tr>
        <w:tc>
          <w:tcPr>
            <w:tcW w:type="dxa" w:w="2200"/>
          </w:tcPr>
          <w:p>
            <w:r>
              <w:rPr>
                <w:b w:val="false"/>
                <w:bCs w:val="false"/>
                <w:sz w:val="18"/>
                <w:szCs w:val="18"/>
              </w:rPr>
              <w:t xml:space="preserve">internal_security_id</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Primary key of the master; must be unique (DUPLICATE_INTERNAL_ID check).</w:t>
            </w:r>
          </w:p>
        </w:tc>
      </w:tr>
      <w:tr>
        <w:tc>
          <w:tcPr>
            <w:tcW w:type="dxa" w:w="2200"/>
          </w:tcPr>
          <w:p>
            <w:r>
              <w:rPr>
                <w:b w:val="false"/>
                <w:bCs w:val="false"/>
                <w:sz w:val="18"/>
                <w:szCs w:val="18"/>
              </w:rPr>
              <w:t xml:space="preserve">custodian_security_code</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The custodian's code for this security; must map to exactly one internal_security_id (AMBIGUOUS_MAPPING check).</w:t>
            </w:r>
          </w:p>
        </w:tc>
      </w:tr>
      <w:tr>
        <w:tc>
          <w:tcPr>
            <w:tcW w:type="dxa" w:w="2200"/>
          </w:tcPr>
          <w:p>
            <w:r>
              <w:rPr>
                <w:b w:val="false"/>
                <w:bCs w:val="false"/>
                <w:sz w:val="18"/>
                <w:szCs w:val="18"/>
              </w:rPr>
              <w:t xml:space="preserve">isin</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Synthetic, format-valid ISIN in this prototype; not a real security identifier.</w:t>
            </w:r>
          </w:p>
        </w:tc>
      </w:tr>
      <w:tr>
        <w:tc>
          <w:tcPr>
            <w:tcW w:type="dxa" w:w="2200"/>
          </w:tcPr>
          <w:p>
            <w:r>
              <w:rPr>
                <w:b w:val="false"/>
                <w:bCs w:val="false"/>
                <w:sz w:val="18"/>
                <w:szCs w:val="18"/>
              </w:rPr>
              <w:t xml:space="preserve">ticker</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Exchange ticker, used for display only.</w:t>
            </w:r>
          </w:p>
        </w:tc>
      </w:tr>
      <w:tr>
        <w:tc>
          <w:tcPr>
            <w:tcW w:type="dxa" w:w="2200"/>
          </w:tcPr>
          <w:p>
            <w:r>
              <w:rPr>
                <w:b w:val="false"/>
                <w:bCs w:val="false"/>
                <w:sz w:val="18"/>
                <w:szCs w:val="18"/>
              </w:rPr>
              <w:t xml:space="preserve">security_name</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Display name.</w:t>
            </w:r>
          </w:p>
        </w:tc>
      </w:tr>
      <w:tr>
        <w:tc>
          <w:tcPr>
            <w:tcW w:type="dxa" w:w="2200"/>
          </w:tcPr>
          <w:p>
            <w:r>
              <w:rPr>
                <w:b w:val="false"/>
                <w:bCs w:val="false"/>
                <w:sz w:val="18"/>
                <w:szCs w:val="18"/>
              </w:rPr>
              <w:t xml:space="preserve">asset_class</w:t>
            </w:r>
          </w:p>
        </w:tc>
        <w:tc>
          <w:tcPr>
            <w:tcW w:type="dxa" w:w="1200"/>
          </w:tcPr>
          <w:p>
            <w:r>
              <w:rPr>
                <w:b w:val="false"/>
                <w:bCs w:val="false"/>
                <w:sz w:val="18"/>
                <w:szCs w:val="18"/>
              </w:rPr>
              <w:t xml:space="preserve">enum</w:t>
            </w:r>
          </w:p>
        </w:tc>
        <w:tc>
          <w:tcPr>
            <w:tcW w:type="dxa" w:w="6100"/>
          </w:tcPr>
          <w:p>
            <w:r>
              <w:rPr>
                <w:b w:val="false"/>
                <w:bCs w:val="false"/>
                <w:sz w:val="18"/>
                <w:szCs w:val="18"/>
              </w:rPr>
              <w:t xml:space="preserve">Equity | FixedIncome | MoneyMarket | Derivative; selects the tolerance row.</w:t>
            </w:r>
          </w:p>
        </w:tc>
      </w:tr>
      <w:tr>
        <w:tc>
          <w:tcPr>
            <w:tcW w:type="dxa" w:w="2200"/>
          </w:tcPr>
          <w:p>
            <w:r>
              <w:rPr>
                <w:b w:val="false"/>
                <w:bCs w:val="false"/>
                <w:sz w:val="18"/>
                <w:szCs w:val="18"/>
              </w:rPr>
              <w:t xml:space="preserve">currency</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The security's trading/settlement currency, used for the CCY_MISMATCH check.</w:t>
            </w:r>
          </w:p>
        </w:tc>
      </w:tr>
      <w:tr>
        <w:tc>
          <w:tcPr>
            <w:tcW w:type="dxa" w:w="2200"/>
          </w:tcPr>
          <w:p>
            <w:r>
              <w:rPr>
                <w:b w:val="false"/>
                <w:bCs w:val="false"/>
                <w:sz w:val="18"/>
                <w:szCs w:val="18"/>
              </w:rPr>
              <w:t xml:space="preserve">unit_multiplier</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Multiplier applied to the custodian side's reported quantity (see BR-03).</w:t>
            </w:r>
          </w:p>
        </w:tc>
      </w:tr>
      <w:tr>
        <w:tc>
          <w:tcPr>
            <w:tcW w:type="dxa" w:w="2200"/>
          </w:tcPr>
          <w:p>
            <w:r>
              <w:rPr>
                <w:b w:val="false"/>
                <w:bCs w:val="false"/>
                <w:sz w:val="18"/>
                <w:szCs w:val="18"/>
              </w:rPr>
              <w:t xml:space="preserve">status</w:t>
            </w:r>
          </w:p>
        </w:tc>
        <w:tc>
          <w:tcPr>
            <w:tcW w:type="dxa" w:w="1200"/>
          </w:tcPr>
          <w:p>
            <w:r>
              <w:rPr>
                <w:b w:val="false"/>
                <w:bCs w:val="false"/>
                <w:sz w:val="18"/>
                <w:szCs w:val="18"/>
              </w:rPr>
              <w:t xml:space="preserve">enum</w:t>
            </w:r>
          </w:p>
        </w:tc>
        <w:tc>
          <w:tcPr>
            <w:tcW w:type="dxa" w:w="6100"/>
          </w:tcPr>
          <w:p>
            <w:r>
              <w:rPr>
                <w:b w:val="false"/>
                <w:bCs w:val="false"/>
                <w:sz w:val="18"/>
                <w:szCs w:val="18"/>
              </w:rPr>
              <w:t xml:space="preserve">ACTIVE | INACTIVE; INACTIVE raises a SETUP break.</w:t>
            </w:r>
          </w:p>
        </w:tc>
      </w:tr>
      <w:tr>
        <w:tc>
          <w:tcPr>
            <w:tcW w:type="dxa" w:w="2200"/>
          </w:tcPr>
          <w:p>
            <w:r>
              <w:rPr>
                <w:b w:val="false"/>
                <w:bCs w:val="false"/>
                <w:sz w:val="18"/>
                <w:szCs w:val="18"/>
              </w:rPr>
              <w:t xml:space="preserve">effective_from</w:t>
            </w:r>
          </w:p>
        </w:tc>
        <w:tc>
          <w:tcPr>
            <w:tcW w:type="dxa" w:w="1200"/>
          </w:tcPr>
          <w:p>
            <w:r>
              <w:rPr>
                <w:b w:val="false"/>
                <w:bCs w:val="false"/>
                <w:sz w:val="18"/>
                <w:szCs w:val="18"/>
              </w:rPr>
              <w:t xml:space="preserve">date</w:t>
            </w:r>
          </w:p>
        </w:tc>
        <w:tc>
          <w:tcPr>
            <w:tcW w:type="dxa" w:w="6100"/>
          </w:tcPr>
          <w:p>
            <w:r>
              <w:rPr>
                <w:b w:val="false"/>
                <w:bCs w:val="false"/>
                <w:sz w:val="18"/>
                <w:szCs w:val="18"/>
              </w:rPr>
              <w:t xml:space="preserve">A business_date before this raises a SETUP break (not-yet-effective).</w:t>
            </w:r>
          </w:p>
        </w:tc>
      </w:tr>
    </w:tbl>
    <w:p>
      <w:pPr>
        <w:spacing w:after="60" w:before="160"/>
      </w:pPr>
      <w:r>
        <w:rPr>
          <w:b/>
          <w:bCs/>
        </w:rPr>
        <w:t xml:space="preserve">pending_trades.csv (optional evidence)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0"/>
      </w:tblGrid>
      <w:tr>
        <w:tc>
          <w:tcPr>
            <w:tcW w:type="dxa" w:w="2200"/>
            <w:shd w:fill="D9E2F3" w:val="clear"/>
          </w:tcPr>
          <w:p>
            <w:r>
              <w:rPr>
                <w:b/>
                <w:bCs/>
                <w:sz w:val="18"/>
                <w:szCs w:val="18"/>
              </w:rPr>
              <w:t xml:space="preserve">Column</w:t>
            </w:r>
          </w:p>
        </w:tc>
        <w:tc>
          <w:tcPr>
            <w:tcW w:type="dxa" w:w="1200"/>
            <w:shd w:fill="D9E2F3" w:val="clear"/>
          </w:tcPr>
          <w:p>
            <w:r>
              <w:rPr>
                <w:b/>
                <w:bCs/>
                <w:sz w:val="18"/>
                <w:szCs w:val="18"/>
              </w:rPr>
              <w:t xml:space="preserve">Type</w:t>
            </w:r>
          </w:p>
        </w:tc>
        <w:tc>
          <w:tcPr>
            <w:tcW w:type="dxa" w:w="6100"/>
            <w:shd w:fill="D9E2F3" w:val="clear"/>
          </w:tcPr>
          <w:p>
            <w:r>
              <w:rPr>
                <w:b/>
                <w:bCs/>
                <w:sz w:val="18"/>
                <w:szCs w:val="18"/>
              </w:rPr>
              <w:t xml:space="preserve">Description</w:t>
            </w:r>
          </w:p>
        </w:tc>
      </w:tr>
      <w:tr>
        <w:tc>
          <w:tcPr>
            <w:tcW w:type="dxa" w:w="2200"/>
          </w:tcPr>
          <w:p>
            <w:r>
              <w:rPr>
                <w:b w:val="false"/>
                <w:bCs w:val="false"/>
                <w:sz w:val="18"/>
                <w:szCs w:val="18"/>
              </w:rPr>
              <w:t xml:space="preserve">trade_id</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Unique trade identifier, cited as evidence in the audit trail.</w:t>
            </w:r>
          </w:p>
        </w:tc>
      </w:tr>
      <w:tr>
        <w:tc>
          <w:tcPr>
            <w:tcW w:type="dxa" w:w="2200"/>
          </w:tcPr>
          <w:p>
            <w:r>
              <w:rPr>
                <w:b w:val="false"/>
                <w:bCs w:val="false"/>
                <w:sz w:val="18"/>
                <w:szCs w:val="18"/>
              </w:rPr>
              <w:t xml:space="preserve">account</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Account the trade belongs to.</w:t>
            </w:r>
          </w:p>
        </w:tc>
      </w:tr>
      <w:tr>
        <w:tc>
          <w:tcPr>
            <w:tcW w:type="dxa" w:w="2200"/>
          </w:tcPr>
          <w:p>
            <w:r>
              <w:rPr>
                <w:b w:val="false"/>
                <w:bCs w:val="false"/>
                <w:sz w:val="18"/>
                <w:szCs w:val="18"/>
              </w:rPr>
              <w:t xml:space="preserve">internal_security_id</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Security the trade is in.</w:t>
            </w:r>
          </w:p>
        </w:tc>
      </w:tr>
      <w:tr>
        <w:tc>
          <w:tcPr>
            <w:tcW w:type="dxa" w:w="2200"/>
          </w:tcPr>
          <w:p>
            <w:r>
              <w:rPr>
                <w:b w:val="false"/>
                <w:bCs w:val="false"/>
                <w:sz w:val="18"/>
                <w:szCs w:val="18"/>
              </w:rPr>
              <w:t xml:space="preserve">side</w:t>
            </w:r>
          </w:p>
        </w:tc>
        <w:tc>
          <w:tcPr>
            <w:tcW w:type="dxa" w:w="1200"/>
          </w:tcPr>
          <w:p>
            <w:r>
              <w:rPr>
                <w:b w:val="false"/>
                <w:bCs w:val="false"/>
                <w:sz w:val="18"/>
                <w:szCs w:val="18"/>
              </w:rPr>
              <w:t xml:space="preserve">enum</w:t>
            </w:r>
          </w:p>
        </w:tc>
        <w:tc>
          <w:tcPr>
            <w:tcW w:type="dxa" w:w="6100"/>
          </w:tcPr>
          <w:p>
            <w:r>
              <w:rPr>
                <w:b w:val="false"/>
                <w:bCs w:val="false"/>
                <w:sz w:val="18"/>
                <w:szCs w:val="18"/>
              </w:rPr>
              <w:t xml:space="preserve">BUY | SELL; determines the sign of the quantity in the net-signed calculation.</w:t>
            </w:r>
          </w:p>
        </w:tc>
      </w:tr>
      <w:tr>
        <w:tc>
          <w:tcPr>
            <w:tcW w:type="dxa" w:w="2200"/>
          </w:tcPr>
          <w:p>
            <w:r>
              <w:rPr>
                <w:b w:val="false"/>
                <w:bCs w:val="false"/>
                <w:sz w:val="18"/>
                <w:szCs w:val="18"/>
              </w:rPr>
              <w:t xml:space="preserve">quantity</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Trade quantity.</w:t>
            </w:r>
          </w:p>
        </w:tc>
      </w:tr>
      <w:tr>
        <w:tc>
          <w:tcPr>
            <w:tcW w:type="dxa" w:w="2200"/>
          </w:tcPr>
          <w:p>
            <w:r>
              <w:rPr>
                <w:b w:val="false"/>
                <w:bCs w:val="false"/>
                <w:sz w:val="18"/>
                <w:szCs w:val="18"/>
              </w:rPr>
              <w:t xml:space="preserve">trade_date</w:t>
            </w:r>
          </w:p>
        </w:tc>
        <w:tc>
          <w:tcPr>
            <w:tcW w:type="dxa" w:w="1200"/>
          </w:tcPr>
          <w:p>
            <w:r>
              <w:rPr>
                <w:b w:val="false"/>
                <w:bCs w:val="false"/>
                <w:sz w:val="18"/>
                <w:szCs w:val="18"/>
              </w:rPr>
              <w:t xml:space="preserve">date</w:t>
            </w:r>
          </w:p>
        </w:tc>
        <w:tc>
          <w:tcPr>
            <w:tcW w:type="dxa" w:w="6100"/>
          </w:tcPr>
          <w:p>
            <w:r>
              <w:rPr>
                <w:b w:val="false"/>
                <w:bCs w:val="false"/>
                <w:sz w:val="18"/>
                <w:szCs w:val="18"/>
              </w:rPr>
              <w:t xml:space="preserve">Date the trade was booked; used by the TRADE (recent booking) rule.</w:t>
            </w:r>
          </w:p>
        </w:tc>
      </w:tr>
      <w:tr>
        <w:tc>
          <w:tcPr>
            <w:tcW w:type="dxa" w:w="2200"/>
          </w:tcPr>
          <w:p>
            <w:r>
              <w:rPr>
                <w:b w:val="false"/>
                <w:bCs w:val="false"/>
                <w:sz w:val="18"/>
                <w:szCs w:val="18"/>
              </w:rPr>
              <w:t xml:space="preserve">expected_settlement_date</w:t>
            </w:r>
          </w:p>
        </w:tc>
        <w:tc>
          <w:tcPr>
            <w:tcW w:type="dxa" w:w="1200"/>
          </w:tcPr>
          <w:p>
            <w:r>
              <w:rPr>
                <w:b w:val="false"/>
                <w:bCs w:val="false"/>
                <w:sz w:val="18"/>
                <w:szCs w:val="18"/>
              </w:rPr>
              <w:t xml:space="preserve">date</w:t>
            </w:r>
          </w:p>
        </w:tc>
        <w:tc>
          <w:tcPr>
            <w:tcW w:type="dxa" w:w="6100"/>
          </w:tcPr>
          <w:p>
            <w:r>
              <w:rPr>
                <w:b w:val="false"/>
                <w:bCs w:val="false"/>
                <w:sz w:val="18"/>
                <w:szCs w:val="18"/>
              </w:rPr>
              <w:t xml:space="preserve">Used by the TIMING rule to decide whether a trade should already be reflected by the custodian.</w:t>
            </w:r>
          </w:p>
        </w:tc>
      </w:tr>
      <w:tr>
        <w:tc>
          <w:tcPr>
            <w:tcW w:type="dxa" w:w="2200"/>
          </w:tcPr>
          <w:p>
            <w:r>
              <w:rPr>
                <w:b w:val="false"/>
                <w:bCs w:val="false"/>
                <w:sz w:val="18"/>
                <w:szCs w:val="18"/>
              </w:rPr>
              <w:t xml:space="preserve">status</w:t>
            </w:r>
          </w:p>
        </w:tc>
        <w:tc>
          <w:tcPr>
            <w:tcW w:type="dxa" w:w="1200"/>
          </w:tcPr>
          <w:p>
            <w:r>
              <w:rPr>
                <w:b w:val="false"/>
                <w:bCs w:val="false"/>
                <w:sz w:val="18"/>
                <w:szCs w:val="18"/>
              </w:rPr>
              <w:t xml:space="preserve">enum</w:t>
            </w:r>
          </w:p>
        </w:tc>
        <w:tc>
          <w:tcPr>
            <w:tcW w:type="dxa" w:w="6100"/>
          </w:tcPr>
          <w:p>
            <w:r>
              <w:rPr>
                <w:b w:val="false"/>
                <w:bCs w:val="false"/>
                <w:sz w:val="18"/>
                <w:szCs w:val="18"/>
              </w:rPr>
              <w:t xml:space="preserve">unsettled | settled; only unsettled trades feed the TIMING rule.</w:t>
            </w:r>
          </w:p>
        </w:tc>
      </w:tr>
    </w:tbl>
    <w:p>
      <w:pPr>
        <w:spacing w:after="60" w:before="160"/>
      </w:pPr>
      <w:r>
        <w:rPr>
          <w:b/>
          <w:bCs/>
        </w:rPr>
        <w:t xml:space="preserve">corporate_actions.csv (optional evidence)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0"/>
      </w:tblGrid>
      <w:tr>
        <w:tc>
          <w:tcPr>
            <w:tcW w:type="dxa" w:w="2200"/>
            <w:shd w:fill="D9E2F3" w:val="clear"/>
          </w:tcPr>
          <w:p>
            <w:r>
              <w:rPr>
                <w:b/>
                <w:bCs/>
                <w:sz w:val="18"/>
                <w:szCs w:val="18"/>
              </w:rPr>
              <w:t xml:space="preserve">Column</w:t>
            </w:r>
          </w:p>
        </w:tc>
        <w:tc>
          <w:tcPr>
            <w:tcW w:type="dxa" w:w="1200"/>
            <w:shd w:fill="D9E2F3" w:val="clear"/>
          </w:tcPr>
          <w:p>
            <w:r>
              <w:rPr>
                <w:b/>
                <w:bCs/>
                <w:sz w:val="18"/>
                <w:szCs w:val="18"/>
              </w:rPr>
              <w:t xml:space="preserve">Type</w:t>
            </w:r>
          </w:p>
        </w:tc>
        <w:tc>
          <w:tcPr>
            <w:tcW w:type="dxa" w:w="6100"/>
            <w:shd w:fill="D9E2F3" w:val="clear"/>
          </w:tcPr>
          <w:p>
            <w:r>
              <w:rPr>
                <w:b/>
                <w:bCs/>
                <w:sz w:val="18"/>
                <w:szCs w:val="18"/>
              </w:rPr>
              <w:t xml:space="preserve">Description</w:t>
            </w:r>
          </w:p>
        </w:tc>
      </w:tr>
      <w:tr>
        <w:tc>
          <w:tcPr>
            <w:tcW w:type="dxa" w:w="2200"/>
          </w:tcPr>
          <w:p>
            <w:r>
              <w:rPr>
                <w:b w:val="false"/>
                <w:bCs w:val="false"/>
                <w:sz w:val="18"/>
                <w:szCs w:val="18"/>
              </w:rPr>
              <w:t xml:space="preserve">internal_security_id</w:t>
            </w:r>
          </w:p>
        </w:tc>
        <w:tc>
          <w:tcPr>
            <w:tcW w:type="dxa" w:w="1200"/>
          </w:tcPr>
          <w:p>
            <w:r>
              <w:rPr>
                <w:b w:val="false"/>
                <w:bCs w:val="false"/>
                <w:sz w:val="18"/>
                <w:szCs w:val="18"/>
              </w:rPr>
              <w:t xml:space="preserve">string</w:t>
            </w:r>
          </w:p>
        </w:tc>
        <w:tc>
          <w:tcPr>
            <w:tcW w:type="dxa" w:w="6100"/>
          </w:tcPr>
          <w:p>
            <w:r>
              <w:rPr>
                <w:b w:val="false"/>
                <w:bCs w:val="false"/>
                <w:sz w:val="18"/>
                <w:szCs w:val="18"/>
              </w:rPr>
              <w:t xml:space="preserve">Security the action applies to.</w:t>
            </w:r>
          </w:p>
        </w:tc>
      </w:tr>
      <w:tr>
        <w:tc>
          <w:tcPr>
            <w:tcW w:type="dxa" w:w="2200"/>
          </w:tcPr>
          <w:p>
            <w:r>
              <w:rPr>
                <w:b w:val="false"/>
                <w:bCs w:val="false"/>
                <w:sz w:val="18"/>
                <w:szCs w:val="18"/>
              </w:rPr>
              <w:t xml:space="preserve">action_type</w:t>
            </w:r>
          </w:p>
        </w:tc>
        <w:tc>
          <w:tcPr>
            <w:tcW w:type="dxa" w:w="1200"/>
          </w:tcPr>
          <w:p>
            <w:r>
              <w:rPr>
                <w:b w:val="false"/>
                <w:bCs w:val="false"/>
                <w:sz w:val="18"/>
                <w:szCs w:val="18"/>
              </w:rPr>
              <w:t xml:space="preserve">enum</w:t>
            </w:r>
          </w:p>
        </w:tc>
        <w:tc>
          <w:tcPr>
            <w:tcW w:type="dxa" w:w="6100"/>
          </w:tcPr>
          <w:p>
            <w:r>
              <w:rPr>
                <w:b w:val="false"/>
                <w:bCs w:val="false"/>
                <w:sz w:val="18"/>
                <w:szCs w:val="18"/>
              </w:rPr>
              <w:t xml:space="preserve">SPLIT | BONUS | DIVIDEND | MERGER.</w:t>
            </w:r>
          </w:p>
        </w:tc>
      </w:tr>
      <w:tr>
        <w:tc>
          <w:tcPr>
            <w:tcW w:type="dxa" w:w="2200"/>
          </w:tcPr>
          <w:p>
            <w:r>
              <w:rPr>
                <w:b w:val="false"/>
                <w:bCs w:val="false"/>
                <w:sz w:val="18"/>
                <w:szCs w:val="18"/>
              </w:rPr>
              <w:t xml:space="preserve">ex_date</w:t>
            </w:r>
          </w:p>
        </w:tc>
        <w:tc>
          <w:tcPr>
            <w:tcW w:type="dxa" w:w="1200"/>
          </w:tcPr>
          <w:p>
            <w:r>
              <w:rPr>
                <w:b w:val="false"/>
                <w:bCs w:val="false"/>
                <w:sz w:val="18"/>
                <w:szCs w:val="18"/>
              </w:rPr>
              <w:t xml:space="preserve">date</w:t>
            </w:r>
          </w:p>
        </w:tc>
        <w:tc>
          <w:tcPr>
            <w:tcW w:type="dxa" w:w="6100"/>
          </w:tcPr>
          <w:p>
            <w:r>
              <w:rPr>
                <w:b w:val="false"/>
                <w:bCs w:val="false"/>
                <w:sz w:val="18"/>
                <w:szCs w:val="18"/>
              </w:rPr>
              <w:t xml:space="preserve">Ex-date of the action; only actions with ex_date &lt;= business_date are considered.</w:t>
            </w:r>
          </w:p>
        </w:tc>
      </w:tr>
      <w:tr>
        <w:tc>
          <w:tcPr>
            <w:tcW w:type="dxa" w:w="2200"/>
          </w:tcPr>
          <w:p>
            <w:r>
              <w:rPr>
                <w:b w:val="false"/>
                <w:bCs w:val="false"/>
                <w:sz w:val="18"/>
                <w:szCs w:val="18"/>
              </w:rPr>
              <w:t xml:space="preserve">ratio</w:t>
            </w:r>
          </w:p>
        </w:tc>
        <w:tc>
          <w:tcPr>
            <w:tcW w:type="dxa" w:w="1200"/>
          </w:tcPr>
          <w:p>
            <w:r>
              <w:rPr>
                <w:b w:val="false"/>
                <w:bCs w:val="false"/>
                <w:sz w:val="18"/>
                <w:szCs w:val="18"/>
              </w:rPr>
              <w:t xml:space="preserve">number</w:t>
            </w:r>
          </w:p>
        </w:tc>
        <w:tc>
          <w:tcPr>
            <w:tcW w:type="dxa" w:w="6100"/>
          </w:tcPr>
          <w:p>
            <w:r>
              <w:rPr>
                <w:b w:val="false"/>
                <w:bCs w:val="false"/>
                <w:sz w:val="18"/>
                <w:szCs w:val="18"/>
              </w:rPr>
              <w:t xml:space="preserve">Adjustment ratio, e.g. 2.0 for a 2-for-1 split.</w:t>
            </w:r>
          </w:p>
        </w:tc>
      </w:tr>
      <w:tr>
        <w:tc>
          <w:tcPr>
            <w:tcW w:type="dxa" w:w="2200"/>
          </w:tcPr>
          <w:p>
            <w:r>
              <w:rPr>
                <w:b w:val="false"/>
                <w:bCs w:val="false"/>
                <w:sz w:val="18"/>
                <w:szCs w:val="18"/>
              </w:rPr>
              <w:t xml:space="preserve">processed_internally</w:t>
            </w:r>
          </w:p>
        </w:tc>
        <w:tc>
          <w:tcPr>
            <w:tcW w:type="dxa" w:w="1200"/>
          </w:tcPr>
          <w:p>
            <w:r>
              <w:rPr>
                <w:b w:val="false"/>
                <w:bCs w:val="false"/>
                <w:sz w:val="18"/>
                <w:szCs w:val="18"/>
              </w:rPr>
              <w:t xml:space="preserve">Y/N</w:t>
            </w:r>
          </w:p>
        </w:tc>
        <w:tc>
          <w:tcPr>
            <w:tcW w:type="dxa" w:w="6100"/>
          </w:tcPr>
          <w:p>
            <w:r>
              <w:rPr>
                <w:b w:val="false"/>
                <w:bCs w:val="false"/>
                <w:sz w:val="18"/>
                <w:szCs w:val="18"/>
              </w:rPr>
              <w:t xml:space="preserve">Whether the internal books have applied the action.</w:t>
            </w:r>
          </w:p>
        </w:tc>
      </w:tr>
      <w:tr>
        <w:tc>
          <w:tcPr>
            <w:tcW w:type="dxa" w:w="2200"/>
          </w:tcPr>
          <w:p>
            <w:r>
              <w:rPr>
                <w:b w:val="false"/>
                <w:bCs w:val="false"/>
                <w:sz w:val="18"/>
                <w:szCs w:val="18"/>
              </w:rPr>
              <w:t xml:space="preserve">processed_at_custodian</w:t>
            </w:r>
          </w:p>
        </w:tc>
        <w:tc>
          <w:tcPr>
            <w:tcW w:type="dxa" w:w="1200"/>
          </w:tcPr>
          <w:p>
            <w:r>
              <w:rPr>
                <w:b w:val="false"/>
                <w:bCs w:val="false"/>
                <w:sz w:val="18"/>
                <w:szCs w:val="18"/>
              </w:rPr>
              <w:t xml:space="preserve">Y/N</w:t>
            </w:r>
          </w:p>
        </w:tc>
        <w:tc>
          <w:tcPr>
            <w:tcW w:type="dxa" w:w="6100"/>
          </w:tcPr>
          <w:p>
            <w:r>
              <w:rPr>
                <w:b w:val="false"/>
                <w:bCs w:val="false"/>
                <w:sz w:val="18"/>
                <w:szCs w:val="18"/>
              </w:rPr>
              <w:t xml:space="preserve">Whether the custodian has applied the action.</w:t>
            </w:r>
          </w:p>
        </w:tc>
      </w:tr>
    </w:tbl>
    <w:p>
      <w:pPr>
        <w:pStyle w:val="Heading2"/>
        <w:spacing w:after="120" w:before="240"/>
      </w:pPr>
      <w:r>
        <w:t xml:space="preserve">10.2 Assumptions</w:t>
      </w:r>
    </w:p>
    <w:p>
      <w:pPr>
        <w:pStyle w:val="ListParagraph"/>
        <w:numPr>
          <w:ilvl w:val="0"/>
          <w:numId w:val="1"/>
        </w:numPr>
        <w:spacing w:after="60"/>
      </w:pPr>
      <w:r>
        <w:t xml:space="preserve">AUM (Rs 500 crore) and every tolerance, materiality band and escalation threshold in config/tolerances.yaml are illustrative assumptions invented for this prototype, not industry benchmarks or a real client's SLAs.</w:t>
      </w:r>
    </w:p>
    <w:p>
      <w:pPr>
        <w:pStyle w:val="ListParagraph"/>
        <w:numPr>
          <w:ilvl w:val="0"/>
          <w:numId w:val="1"/>
        </w:numPr>
        <w:spacing w:after="60"/>
      </w:pPr>
      <w:r>
        <w:t xml:space="preserve">The custodian is assumed to report fixed income/derivative quantities in market convention (e.g. bond face value) while the internal book already stores the multiplier-adjusted economic quantity; the custodian side is therefore the one normalised by unit_multiplier. A real onboarding would confirm each custodian's convention file by file.</w:t>
      </w:r>
    </w:p>
    <w:p>
      <w:pPr>
        <w:pStyle w:val="ListParagraph"/>
        <w:numPr>
          <w:ilvl w:val="0"/>
          <w:numId w:val="1"/>
        </w:numPr>
        <w:spacing w:after="60"/>
      </w:pPr>
      <w:r>
        <w:t xml:space="preserve">Internal books are assumed to book a trade on trade date (contractual accounting); the custodian is assumed to reflect a trade only once it settles. This assumption drives the sign convention used by the TIMING rule.</w:t>
      </w:r>
    </w:p>
    <w:p>
      <w:pPr>
        <w:pStyle w:val="ListParagraph"/>
        <w:numPr>
          <w:ilvl w:val="0"/>
          <w:numId w:val="1"/>
        </w:numPr>
        <w:spacing w:after="60"/>
      </w:pPr>
      <w:r>
        <w:t xml:space="preserve">Settlement cycle is assumed to be T+1 business days for all asset classes in this sample, configurable per asset class.</w:t>
      </w:r>
    </w:p>
    <w:p>
      <w:pPr>
        <w:pStyle w:val="ListParagraph"/>
        <w:numPr>
          <w:ilvl w:val="0"/>
          <w:numId w:val="1"/>
        </w:numPr>
        <w:spacing w:after="60"/>
      </w:pPr>
      <w:r>
        <w:t xml:space="preserve">The synthetic security master, position files and evidence files are entirely fabricated for this prototype; ISINs are format-valid but fake, and NSE tickers are used only as realistic-looking labels.</w:t>
      </w:r>
    </w:p>
    <w:p>
      <w:pPr>
        <w:pStyle w:val="ListParagraph"/>
        <w:numPr>
          <w:ilvl w:val="0"/>
          <w:numId w:val="1"/>
        </w:numPr>
        <w:spacing w:after="60"/>
      </w:pPr>
      <w:r>
        <w:t xml:space="preserve">The classifier is rule-based only. No machine learning is used anywhere in this prototype, unlike IVP's production offering, which additionally uses AI/ML to suggest resolutions.</w:t>
      </w:r>
    </w:p>
    <w:p>
      <w:r>
        <w:br w:type="page"/>
      </w:r>
    </w:p>
    <w:p>
      <w:pPr>
        <w:pStyle w:val="Heading1"/>
        <w:spacing w:after="120" w:before="240"/>
      </w:pPr>
      <w:r>
        <w:t xml:space="preserve">11. Risks and Limitations</w:t>
      </w:r>
    </w:p>
    <w:p>
      <w:pPr>
        <w:pStyle w:val="ListParagraph"/>
        <w:numPr>
          <w:ilvl w:val="0"/>
          <w:numId w:val="1"/>
        </w:numPr>
        <w:spacing w:after="60"/>
      </w:pPr>
      <w:r>
        <w:t xml:space="preserve">Synthetic data only: no result here should be read as a claim about real custodian data quality, real break rates, or real operational timelines.</w:t>
      </w:r>
    </w:p>
    <w:p>
      <w:pPr>
        <w:pStyle w:val="ListParagraph"/>
        <w:numPr>
          <w:ilvl w:val="0"/>
          <w:numId w:val="1"/>
        </w:numPr>
        <w:spacing w:after="60"/>
      </w:pPr>
      <w:r>
        <w:t xml:space="preserve">Illustrative thresholds: every tolerance, materiality band and escalation limit is a made-up but defensible starting point, not a benchmark; a real deployment requires the client's own risk/ops teams to set these.</w:t>
      </w:r>
    </w:p>
    <w:p>
      <w:pPr>
        <w:pStyle w:val="ListParagraph"/>
        <w:numPr>
          <w:ilvl w:val="0"/>
          <w:numId w:val="1"/>
        </w:numPr>
        <w:spacing w:after="60"/>
      </w:pPr>
      <w:r>
        <w:t xml:space="preserve">Two-book, positions-only scope: cash, trade-vs-trade and NAV/P&amp;L reconciliation, and N-way (multi-custodian) matching, are not covered; a break that only shows up in a cash or trade reconciliation will not be caught here.</w:t>
      </w:r>
    </w:p>
    <w:p>
      <w:pPr>
        <w:pStyle w:val="ListParagraph"/>
        <w:numPr>
          <w:ilvl w:val="0"/>
          <w:numId w:val="1"/>
        </w:numPr>
        <w:spacing w:after="60"/>
      </w:pPr>
      <w:r>
        <w:t xml:space="preserve">Exact identifier matching only: unlike IVP's fuzzy-logic matching, this prototype requires an exact security-master mapping; a typo'd or lightly malformed custodian code will show as an unmapped SETUP break rather than being fuzzily resolved.</w:t>
      </w:r>
    </w:p>
    <w:p>
      <w:pPr>
        <w:pStyle w:val="ListParagraph"/>
        <w:numPr>
          <w:ilvl w:val="0"/>
          <w:numId w:val="1"/>
        </w:numPr>
        <w:spacing w:after="60"/>
      </w:pPr>
      <w:r>
        <w:t xml:space="preserve">Rule-based classifier: a genuinely novel break pattern not anticipated by the six documented rules will correctly, and only, reach UNEXPLAINED -- this is by design (honesty over false confidence) but means the manual queue will not shrink over time the way an ML-assisted system's might.</w:t>
      </w:r>
    </w:p>
    <w:p>
      <w:pPr>
        <w:pStyle w:val="ListParagraph"/>
        <w:numPr>
          <w:ilvl w:val="0"/>
          <w:numId w:val="1"/>
        </w:numPr>
        <w:spacing w:after="60"/>
      </w:pPr>
      <w:r>
        <w:t xml:space="preserve">Security master lifecycle: the master here has no versioning, approval workflow, or vendor feed; effective_from and status are simple flags, not a governed lifecycle.</w:t>
      </w:r>
    </w:p>
    <w:p>
      <w:pPr>
        <w:pStyle w:val="Heading1"/>
        <w:spacing w:after="120" w:before="240"/>
      </w:pPr>
      <w:r>
        <w:t xml:space="preserve">12. Roadmap (Explicitly Out of Scope for This Prototype)</w:t>
      </w:r>
    </w:p>
    <w:p>
      <w:pPr>
        <w:pStyle w:val="ListParagraph"/>
        <w:numPr>
          <w:ilvl w:val="0"/>
          <w:numId w:val="1"/>
        </w:numPr>
        <w:spacing w:after="60"/>
      </w:pPr>
      <w:r>
        <w:t xml:space="preserve">Cash reconciliation (custodian cash balances vs. internal ledger cash).</w:t>
      </w:r>
    </w:p>
    <w:p>
      <w:pPr>
        <w:pStyle w:val="ListParagraph"/>
        <w:numPr>
          <w:ilvl w:val="0"/>
          <w:numId w:val="1"/>
        </w:numPr>
        <w:spacing w:after="60"/>
      </w:pPr>
      <w:r>
        <w:t xml:space="preserve">Trade-vs-trade (activity) reconciliation, matching individual executions rather than end-of-day positions.</w:t>
      </w:r>
    </w:p>
    <w:p>
      <w:pPr>
        <w:pStyle w:val="ListParagraph"/>
        <w:numPr>
          <w:ilvl w:val="0"/>
          <w:numId w:val="1"/>
        </w:numPr>
        <w:spacing w:after="60"/>
      </w:pPr>
      <w:r>
        <w:t xml:space="preserve">NAV and P&amp;L reconciliation.</w:t>
      </w:r>
    </w:p>
    <w:p>
      <w:pPr>
        <w:pStyle w:val="ListParagraph"/>
        <w:numPr>
          <w:ilvl w:val="0"/>
          <w:numId w:val="1"/>
        </w:numPr>
        <w:spacing w:after="60"/>
      </w:pPr>
      <w:r>
        <w:t xml:space="preserve">Intraday reconciliation runs, not just end-of-day.</w:t>
      </w:r>
    </w:p>
    <w:p>
      <w:pPr>
        <w:pStyle w:val="ListParagraph"/>
        <w:numPr>
          <w:ilvl w:val="0"/>
          <w:numId w:val="1"/>
        </w:numPr>
        <w:spacing w:after="60"/>
      </w:pPr>
      <w:r>
        <w:t xml:space="preserve">N-way matching across multiple custodians, prime brokers and fund administrators simultaneously.</w:t>
      </w:r>
    </w:p>
    <w:p>
      <w:pPr>
        <w:pStyle w:val="ListParagraph"/>
        <w:numPr>
          <w:ilvl w:val="0"/>
          <w:numId w:val="1"/>
        </w:numPr>
        <w:spacing w:after="60"/>
      </w:pPr>
      <w:r>
        <w:t xml:space="preserve">Derivatives margin reconciliation.</w:t>
      </w:r>
    </w:p>
    <w:p>
      <w:pPr>
        <w:pStyle w:val="ListParagraph"/>
        <w:numPr>
          <w:ilvl w:val="0"/>
          <w:numId w:val="1"/>
        </w:numPr>
        <w:spacing w:after="60"/>
      </w:pPr>
      <w:r>
        <w:t xml:space="preserve">Private-fund capital commitments and capital-call reconciliation.</w:t>
      </w:r>
    </w:p>
    <w:p>
      <w:pPr>
        <w:pStyle w:val="ListParagraph"/>
        <w:numPr>
          <w:ilvl w:val="0"/>
          <w:numId w:val="1"/>
        </w:numPr>
        <w:spacing w:after="60"/>
      </w:pPr>
      <w:r>
        <w:t xml:space="preserve">Ingesting real custodian file formats (SWIFT, proprietary flat files) instead of the standardised CSV schema used here.</w:t>
      </w:r>
    </w:p>
    <w:p>
      <w:pPr>
        <w:pStyle w:val="ListParagraph"/>
        <w:numPr>
          <w:ilvl w:val="0"/>
          <w:numId w:val="1"/>
        </w:numPr>
        <w:spacing w:after="60"/>
      </w:pPr>
      <w:r>
        <w:t xml:space="preserve">Multi-currency base-currency conversion for cross-currency portfolios.</w:t>
      </w:r>
    </w:p>
    <w:p>
      <w:pPr>
        <w:pStyle w:val="ListParagraph"/>
        <w:numPr>
          <w:ilvl w:val="0"/>
          <w:numId w:val="1"/>
        </w:numPr>
        <w:spacing w:after="60"/>
      </w:pPr>
      <w:r>
        <w:t xml:space="preserve">Fuzzy identifier matching (ISIN/SEDOL/CUSIP/ticker cross-referencing) for imperfect security master coverage.</w:t>
      </w:r>
    </w:p>
    <w:p>
      <w:pPr>
        <w:pStyle w:val="ListParagraph"/>
        <w:numPr>
          <w:ilvl w:val="0"/>
          <w:numId w:val="1"/>
        </w:numPr>
        <w:spacing w:after="60"/>
      </w:pPr>
      <w:r>
        <w:t xml:space="preserve">AI/ML-assisted break-resolution suggestions, as in IVP's production Reconciliation Solution -- explicitly out of scope for this rule-based prototype.</w:t>
      </w:r>
    </w:p>
    <w:p>
      <w:pPr>
        <w:pStyle w:val="Heading1"/>
        <w:spacing w:after="120" w:before="240"/>
      </w:pPr>
      <w:r>
        <w:t xml:space="preserve">13. Traceability</w:t>
      </w:r>
    </w:p>
    <w:p>
      <w:pPr>
        <w:spacing w:after="120"/>
      </w:pPr>
      <w:r>
        <w:t xml:space="preserve">Every functional requirement above is exercised by at least one automated test in tests/ and, where applicable, one row of the UAT traceability matrix in docs/UAT_TestCases.xlsx. See docs/architecture.md for the Mermaid source of every diagram referenced in this document, and docs/diagrams/ for the rendered PNGs (process flow, architecture, security-master mapping, and the root-cause decision tree).</w:t>
      </w:r>
    </w:p>
    <w:p>
      <w:pPr>
        <w:spacing w:after="120"/>
      </w:pPr>
      <w:r>
        <w:t xml:space="preserve"/>
      </w:r>
    </w:p>
    <w:p>
      <w:pPr>
        <w:spacing w:after="120"/>
      </w:pPr>
      <w:r>
        <w:rPr>
          <w:i/>
          <w:iCs/>
          <w:sz w:val="18"/>
          <w:szCs w:val="18"/>
        </w:rPr>
        <w:t xml:space="preserve">PROTOTYPE built on entirely synthetic data. Not affiliated with or endorsed by Indus Valley Partners.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7f973ca9c9016f3fb26c607b6500a9afe98a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2026-09-21T05:45:53.861Z</dcterms:created>
  <dcterms:modified xsi:type="dcterms:W3CDTF">2026-09-21T05:45:53.861Z</dcterms:modified>
</cp:coreProperties>
</file>

<file path=docProps/custom.xml><?xml version="1.0" encoding="utf-8"?>
<Properties xmlns="http://schemas.openxmlformats.org/officeDocument/2006/custom-properties" xmlns:vt="http://schemas.openxmlformats.org/officeDocument/2006/docPropsVTypes"/>
</file>