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5379" w:rsidRDefault="000E5379" w:rsidP="000E5379">
      <w:pPr>
        <w:pStyle w:val="NormalWeb"/>
      </w:pPr>
      <w:r>
        <w:rPr>
          <w:rStyle w:val="Strong"/>
        </w:rPr>
        <w:t xml:space="preserve">“Young Turtle LLP” is an asset management firm established by a dedicated team of market analysts, mathematicians, and statisticians. At Young Turtle, we transform market volatility, uncertainty, complexity, and ambiguity into vision, understanding, clarity, and adaptability through our proprietary </w:t>
      </w:r>
      <w:proofErr w:type="spellStart"/>
      <w:r>
        <w:rPr>
          <w:rStyle w:val="Strong"/>
        </w:rPr>
        <w:t>Quantical</w:t>
      </w:r>
      <w:proofErr w:type="spellEnd"/>
      <w:r>
        <w:rPr>
          <w:rStyle w:val="Strong"/>
        </w:rPr>
        <w:t xml:space="preserve"> Models.</w:t>
      </w:r>
    </w:p>
    <w:p w:rsidR="000E5379" w:rsidRDefault="000E5379" w:rsidP="000E5379">
      <w:pPr>
        <w:pStyle w:val="NormalWeb"/>
      </w:pPr>
      <w:r>
        <w:rPr>
          <w:rStyle w:val="Strong"/>
        </w:rPr>
        <w:t xml:space="preserve">These </w:t>
      </w:r>
      <w:proofErr w:type="spellStart"/>
      <w:r>
        <w:rPr>
          <w:rStyle w:val="Strong"/>
        </w:rPr>
        <w:t>Quantical</w:t>
      </w:r>
      <w:proofErr w:type="spellEnd"/>
      <w:r>
        <w:rPr>
          <w:rStyle w:val="Strong"/>
        </w:rPr>
        <w:t xml:space="preserve"> Models integrate quantitative analysis with technical analysis, combining data-driven mathematical modelling with advanced price and volume pattern recognition to deliver a disciplined and systematic trading framework.</w:t>
      </w:r>
    </w:p>
    <w:p w:rsidR="000E5379" w:rsidRPr="000E5379" w:rsidRDefault="004733E5" w:rsidP="004733E5">
      <w:proofErr w:type="gramStart"/>
      <w:r>
        <w:t>This fusion harnesses</w:t>
      </w:r>
      <w:proofErr w:type="gramEnd"/>
      <w:r>
        <w:t xml:space="preserve"> the strengths of both disciplines—combining rigorous statistical validation with behaviour-driven price signals—to refine trade timing, enhance robustness across diverse market regimes, and elevate risk-adjusted returns through the seamless integration of mathematical precision and real-market dynamics.</w:t>
      </w:r>
      <w:bookmarkStart w:id="0" w:name="_GoBack"/>
      <w:bookmarkEnd w:id="0"/>
    </w:p>
    <w:sectPr w:rsidR="000E5379" w:rsidRPr="000E5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8F"/>
    <w:rsid w:val="000E5379"/>
    <w:rsid w:val="004733E5"/>
    <w:rsid w:val="00660D18"/>
    <w:rsid w:val="006678DC"/>
    <w:rsid w:val="00B02AC3"/>
    <w:rsid w:val="00D8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AD81B"/>
  <w15:chartTrackingRefBased/>
  <w15:docId w15:val="{9AF810B0-60F7-427F-8EB0-7704A2C41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5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53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93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ASSPLAPTOP</dc:creator>
  <cp:keywords/>
  <dc:description/>
  <cp:lastModifiedBy>ASSPLAPTOP</cp:lastModifiedBy>
  <cp:revision>1</cp:revision>
  <dcterms:created xsi:type="dcterms:W3CDTF">2025-12-02T07:22:00Z</dcterms:created>
  <dcterms:modified xsi:type="dcterms:W3CDTF">2025-12-02T08:08:00Z</dcterms:modified>
</cp:coreProperties>
</file>