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Architecture Review and Recommendations</w:t>
      </w:r>
    </w:p>
    <w:p>
      <w:pPr>
        <w:jc w:val="center"/>
      </w:pPr>
      <w:r>
        <w:rPr>
          <w:sz w:val="24"/>
        </w:rPr>
        <w:t>New-AlgoTrading: Live Signal Generation, Backtesting, Strategy Runtime, and Single-PC Deployment</w:t>
      </w:r>
    </w:p>
    <w:p>
      <w:pPr>
        <w:jc w:val="center"/>
      </w:pPr>
      <w:r>
        <w:rPr>
          <w:i/>
          <w:sz w:val="19"/>
        </w:rPr>
        <w:t>Prepared from the uploaded architecture document generated on 2026-05-27, plus current public documentation research.</w:t>
      </w:r>
    </w:p>
    <w:p/>
    <w:tbl>
      <w:tblPr>
        <w:tblStyle w:val="TableGrid"/>
        <w:tblW w:type="auto" w:w="0"/>
        <w:jc w:val="center"/>
        <w:tblLook w:firstColumn="1" w:firstRow="1" w:lastColumn="0" w:lastRow="0" w:noHBand="0" w:noVBand="1" w:val="04A0"/>
      </w:tblPr>
      <w:tblGrid>
        <w:gridCol w:w="5256"/>
        <w:gridCol w:w="5256"/>
      </w:tblGrid>
      <w:tr>
        <w:tc>
          <w:tcPr>
            <w:tcW w:type="dxa" w:w="2448"/>
            <w:shd w:fill="1F4E79"/>
            <w:vAlign w:val="top"/>
            <w:tcMar>
              <w:top w:w="80" w:type="dxa"/>
              <w:start w:w="80" w:type="dxa"/>
              <w:bottom w:w="80" w:type="dxa"/>
              <w:end w:w="80" w:type="dxa"/>
            </w:tcMar>
          </w:tcPr>
          <w:p>
            <w:r>
              <w:rPr>
                <w:color w:val="FFFFFF"/>
                <w:sz w:val="17"/>
              </w:rPr>
            </w:r>
            <w:r>
              <w:rPr>
                <w:b/>
                <w:color w:val="FFFFFF"/>
                <w:sz w:val="17"/>
              </w:rPr>
              <w:t>Field</w:t>
            </w:r>
          </w:p>
        </w:tc>
        <w:tc>
          <w:tcPr>
            <w:tcW w:type="dxa" w:w="8208"/>
            <w:shd w:fill="1F4E79"/>
            <w:vAlign w:val="top"/>
            <w:tcMar>
              <w:top w:w="80" w:type="dxa"/>
              <w:start w:w="80" w:type="dxa"/>
              <w:bottom w:w="80" w:type="dxa"/>
              <w:end w:w="80" w:type="dxa"/>
            </w:tcMar>
          </w:tcPr>
          <w:p>
            <w:r>
              <w:rPr>
                <w:color w:val="FFFFFF"/>
                <w:sz w:val="17"/>
              </w:rPr>
            </w:r>
            <w:r>
              <w:rPr>
                <w:b/>
                <w:color w:val="FFFFFF"/>
                <w:sz w:val="17"/>
              </w:rPr>
              <w:t>Value</w:t>
            </w:r>
          </w:p>
        </w:tc>
      </w:tr>
      <w:tr>
        <w:tc>
          <w:tcPr>
            <w:tcW w:type="dxa" w:w="2448"/>
            <w:vAlign w:val="top"/>
            <w:tcMar>
              <w:top w:w="80" w:type="dxa"/>
              <w:start w:w="80" w:type="dxa"/>
              <w:bottom w:w="80" w:type="dxa"/>
              <w:end w:w="80" w:type="dxa"/>
            </w:tcMar>
          </w:tcPr>
          <w:p>
            <w:r>
              <w:rPr>
                <w:sz w:val="17"/>
              </w:rPr>
            </w:r>
            <w:r>
              <w:rPr>
                <w:b w:val="0"/>
                <w:sz w:val="17"/>
              </w:rPr>
              <w:t>Review role</w:t>
            </w:r>
          </w:p>
        </w:tc>
        <w:tc>
          <w:tcPr>
            <w:tcW w:type="dxa" w:w="8208"/>
            <w:vAlign w:val="top"/>
            <w:tcMar>
              <w:top w:w="80" w:type="dxa"/>
              <w:start w:w="80" w:type="dxa"/>
              <w:bottom w:w="80" w:type="dxa"/>
              <w:end w:w="80" w:type="dxa"/>
            </w:tcMar>
          </w:tcPr>
          <w:p>
            <w:r>
              <w:rPr>
                <w:sz w:val="17"/>
              </w:rPr>
            </w:r>
            <w:r>
              <w:rPr>
                <w:b w:val="0"/>
                <w:sz w:val="17"/>
              </w:rPr>
              <w:t>System Designer and Software Architect perspective: TradingView-style real-time market UX + OpenAI-style production platform reliability.</w:t>
            </w:r>
          </w:p>
        </w:tc>
      </w:tr>
      <w:tr>
        <w:tc>
          <w:tcPr>
            <w:tcW w:type="dxa" w:w="2448"/>
            <w:vAlign w:val="top"/>
            <w:tcMar>
              <w:top w:w="80" w:type="dxa"/>
              <w:start w:w="80" w:type="dxa"/>
              <w:bottom w:w="80" w:type="dxa"/>
              <w:end w:w="80" w:type="dxa"/>
            </w:tcMar>
          </w:tcPr>
          <w:p>
            <w:r>
              <w:rPr>
                <w:sz w:val="17"/>
              </w:rPr>
            </w:r>
            <w:r>
              <w:rPr>
                <w:b w:val="0"/>
                <w:sz w:val="17"/>
              </w:rPr>
              <w:t>Deployment context</w:t>
            </w:r>
          </w:p>
        </w:tc>
        <w:tc>
          <w:tcPr>
            <w:tcW w:type="dxa" w:w="8208"/>
            <w:vAlign w:val="top"/>
            <w:tcMar>
              <w:top w:w="80" w:type="dxa"/>
              <w:start w:w="80" w:type="dxa"/>
              <w:bottom w:w="80" w:type="dxa"/>
              <w:end w:w="80" w:type="dxa"/>
            </w:tcMar>
          </w:tcPr>
          <w:p>
            <w:r>
              <w:rPr>
                <w:sz w:val="17"/>
              </w:rPr>
            </w:r>
            <w:r>
              <w:rPr>
                <w:b w:val="0"/>
                <w:sz w:val="17"/>
              </w:rPr>
              <w:t>Single PC: Intel i5 13th gen, 16 GB RAM, SSD, Ubuntu Desktop 24; used both as server and coding workstation.</w:t>
            </w:r>
          </w:p>
        </w:tc>
      </w:tr>
      <w:tr>
        <w:tc>
          <w:tcPr>
            <w:tcW w:type="dxa" w:w="2448"/>
            <w:vAlign w:val="top"/>
            <w:tcMar>
              <w:top w:w="80" w:type="dxa"/>
              <w:start w:w="80" w:type="dxa"/>
              <w:bottom w:w="80" w:type="dxa"/>
              <w:end w:w="80" w:type="dxa"/>
            </w:tcMar>
          </w:tcPr>
          <w:p>
            <w:r>
              <w:rPr>
                <w:sz w:val="17"/>
              </w:rPr>
            </w:r>
            <w:r>
              <w:rPr>
                <w:b w:val="0"/>
                <w:sz w:val="17"/>
              </w:rPr>
              <w:t>System scope reviewed</w:t>
            </w:r>
          </w:p>
        </w:tc>
        <w:tc>
          <w:tcPr>
            <w:tcW w:type="dxa" w:w="8208"/>
            <w:vAlign w:val="top"/>
            <w:tcMar>
              <w:top w:w="80" w:type="dxa"/>
              <w:start w:w="80" w:type="dxa"/>
              <w:bottom w:w="80" w:type="dxa"/>
              <w:end w:w="80" w:type="dxa"/>
            </w:tcMar>
          </w:tcPr>
          <w:p>
            <w:r>
              <w:rPr>
                <w:sz w:val="17"/>
              </w:rPr>
            </w:r>
            <w:r>
              <w:rPr>
                <w:b w:val="0"/>
                <w:sz w:val="17"/>
              </w:rPr>
              <w:t>signal-generator, backtest, reusable Rust strategy crates, Redis Streams, TimescaleDB/PostgreSQL, Next.js frontends, Node.js control planes, Rust websocket and live engine services.</w:t>
            </w:r>
          </w:p>
        </w:tc>
      </w:tr>
      <w:tr>
        <w:tc>
          <w:tcPr>
            <w:tcW w:type="dxa" w:w="2448"/>
            <w:vAlign w:val="top"/>
            <w:tcMar>
              <w:top w:w="80" w:type="dxa"/>
              <w:start w:w="80" w:type="dxa"/>
              <w:bottom w:w="80" w:type="dxa"/>
              <w:end w:w="80" w:type="dxa"/>
            </w:tcMar>
          </w:tcPr>
          <w:p>
            <w:r>
              <w:rPr>
                <w:sz w:val="17"/>
              </w:rPr>
            </w:r>
            <w:r>
              <w:rPr>
                <w:b w:val="0"/>
                <w:sz w:val="17"/>
              </w:rPr>
              <w:t>Review objective</w:t>
            </w:r>
          </w:p>
        </w:tc>
        <w:tc>
          <w:tcPr>
            <w:tcW w:type="dxa" w:w="8208"/>
            <w:vAlign w:val="top"/>
            <w:tcMar>
              <w:top w:w="80" w:type="dxa"/>
              <w:start w:w="80" w:type="dxa"/>
              <w:bottom w:w="80" w:type="dxa"/>
              <w:end w:w="80" w:type="dxa"/>
            </w:tcMar>
          </w:tcPr>
          <w:p>
            <w:r>
              <w:rPr>
                <w:sz w:val="17"/>
              </w:rPr>
            </w:r>
            <w:r>
              <w:rPr>
                <w:b w:val="0"/>
                <w:sz w:val="17"/>
              </w:rPr>
              <w:t>Praise strong architectural choices, criticize risk areas, and propose changes with reasons and priority.</w:t>
            </w:r>
          </w:p>
        </w:tc>
      </w:tr>
      <w:tr>
        <w:tc>
          <w:tcPr>
            <w:tcW w:type="dxa" w:w="2448"/>
            <w:vAlign w:val="top"/>
            <w:tcMar>
              <w:top w:w="80" w:type="dxa"/>
              <w:start w:w="80" w:type="dxa"/>
              <w:bottom w:w="80" w:type="dxa"/>
              <w:end w:w="80" w:type="dxa"/>
            </w:tcMar>
          </w:tcPr>
          <w:p>
            <w:r>
              <w:rPr>
                <w:sz w:val="17"/>
              </w:rPr>
            </w:r>
            <w:r>
              <w:rPr>
                <w:b w:val="0"/>
                <w:sz w:val="17"/>
              </w:rPr>
              <w:t>Important caveat</w:t>
            </w:r>
          </w:p>
        </w:tc>
        <w:tc>
          <w:tcPr>
            <w:tcW w:type="dxa" w:w="8208"/>
            <w:vAlign w:val="top"/>
            <w:tcMar>
              <w:top w:w="80" w:type="dxa"/>
              <w:start w:w="80" w:type="dxa"/>
              <w:bottom w:w="80" w:type="dxa"/>
              <w:end w:w="80" w:type="dxa"/>
            </w:tcMar>
          </w:tcPr>
          <w:p>
            <w:r>
              <w:rPr>
                <w:sz w:val="17"/>
              </w:rPr>
            </w:r>
            <w:r>
              <w:rPr>
                <w:b w:val="0"/>
                <w:sz w:val="17"/>
              </w:rPr>
              <w:t>This is an architecture review, not financial, legal, or exchange compliance advice. Live trading systems require broker/exchange rules, risk approvals, and independent testing before capital is deployed.</w:t>
            </w:r>
          </w:p>
        </w:tc>
      </w:tr>
    </w:tbl>
    <w:tbl>
      <w:tblPr>
        <w:tblStyle w:val="TableGrid"/>
        <w:tblW w:type="auto" w:w="0"/>
        <w:jc w:val="center"/>
        <w:tblLook w:firstColumn="1" w:firstRow="1" w:lastColumn="0" w:lastRow="0" w:noHBand="0" w:noVBand="1" w:val="04A0"/>
      </w:tblPr>
      <w:tblGrid>
        <w:gridCol w:w="10512"/>
      </w:tblGrid>
      <w:tr>
        <w:tc>
          <w:tcPr>
            <w:tcW w:type="dxa" w:w="10512"/>
            <w:shd w:fill="D9EAD3"/>
            <w:tcMar>
              <w:top w:w="80" w:type="dxa"/>
              <w:start w:w="80" w:type="dxa"/>
              <w:bottom w:w="80" w:type="dxa"/>
              <w:end w:w="80" w:type="dxa"/>
            </w:tcMar>
            <w:vAlign w:val="top"/>
          </w:tcPr>
          <w:p>
            <w:r>
              <w:rPr>
                <w:b/>
                <w:sz w:val="17"/>
              </w:rPr>
              <w:t>One-line verdict</w:t>
            </w:r>
          </w:p>
          <w:p>
            <w:r>
              <w:rPr>
                <w:sz w:val="17"/>
              </w:rPr>
              <w:t>The architecture is directionally strong for a serious internal algo-trading platform: it has a clean split between UI, control plane, event bus, Rust runtime, durable store, and backtest engine. The biggest risk is not the code structure; it is operating a multi-service live-trading stack on the same 16 GB desktop machine used for development, without a clearly documented production hardening layer, OMS/risk boundary, stream contracts, backup/restore discipline, and end-to-end observability.</w:t>
            </w:r>
          </w:p>
        </w:tc>
      </w:tr>
    </w:tbl>
    <w:p>
      <w:r>
        <w:br w:type="page"/>
      </w:r>
    </w:p>
    <w:p>
      <w:pPr>
        <w:pStyle w:val="Heading1"/>
      </w:pPr>
      <w:r>
        <w:t>Table of Contents</w:t>
      </w:r>
    </w:p>
    <w:p>
      <w:r>
        <w:rPr>
          <w:i/>
          <w:sz w:val="17"/>
        </w:rPr>
        <w:t>Update this table in Microsoft Word or LibreOffice if you want clickable page numbers: References -&gt; Update Table / right-click TOC -&gt; Update Index.</w:t>
      </w:r>
    </w:p>
    <w:p>
      <w:pPr>
        <w:pStyle w:val="ListBullet"/>
      </w:pPr>
      <w:r>
        <w:t>1. Executive Assessment</w:t>
      </w:r>
    </w:p>
    <w:p>
      <w:pPr>
        <w:pStyle w:val="ListBullet"/>
      </w:pPr>
      <w:r>
        <w:t>2. What the Current Architecture Gets Right</w:t>
      </w:r>
    </w:p>
    <w:p>
      <w:pPr>
        <w:pStyle w:val="ListBullet"/>
      </w:pPr>
      <w:r>
        <w:t>3. Critical Risks and Criticism</w:t>
      </w:r>
    </w:p>
    <w:p>
      <w:pPr>
        <w:pStyle w:val="ListBullet"/>
      </w:pPr>
      <w:r>
        <w:t>4. Recommended Target Architecture</w:t>
      </w:r>
    </w:p>
    <w:p>
      <w:pPr>
        <w:pStyle w:val="ListBullet"/>
      </w:pPr>
      <w:r>
        <w:t>5. Component-by-Component Recommendations</w:t>
      </w:r>
    </w:p>
    <w:p>
      <w:pPr>
        <w:pStyle w:val="ListBullet"/>
      </w:pPr>
      <w:r>
        <w:t>6. Prioritized Roadmap</w:t>
      </w:r>
    </w:p>
    <w:p>
      <w:pPr>
        <w:pStyle w:val="ListBullet"/>
      </w:pPr>
      <w:r>
        <w:t>7. Production Readiness Checklist</w:t>
      </w:r>
    </w:p>
    <w:p>
      <w:pPr>
        <w:pStyle w:val="ListBullet"/>
      </w:pPr>
      <w:r>
        <w:t>8. Source References</w:t>
      </w:r>
    </w:p>
    <w:p>
      <w:r>
        <w:br w:type="page"/>
      </w:r>
    </w:p>
    <w:p>
      <w:pPr>
        <w:pStyle w:val="Heading1"/>
      </w:pPr>
      <w:r>
        <w:t>1. Executive Assessment</w:t>
      </w:r>
    </w:p>
    <w:tbl>
      <w:tblPr>
        <w:tblStyle w:val="TableGrid"/>
        <w:tblW w:type="auto" w:w="0"/>
        <w:jc w:val="center"/>
        <w:tblLook w:firstColumn="1" w:firstRow="1" w:lastColumn="0" w:lastRow="0" w:noHBand="0" w:noVBand="1" w:val="04A0"/>
      </w:tblPr>
      <w:tblGrid>
        <w:gridCol w:w="10512"/>
      </w:tblGrid>
      <w:tr>
        <w:tc>
          <w:tcPr>
            <w:tcW w:type="dxa" w:w="10512"/>
            <w:shd w:fill="FFF2CC"/>
            <w:tcMar>
              <w:top w:w="80" w:type="dxa"/>
              <w:start w:w="80" w:type="dxa"/>
              <w:bottom w:w="80" w:type="dxa"/>
              <w:end w:w="80" w:type="dxa"/>
            </w:tcMar>
            <w:vAlign w:val="top"/>
          </w:tcPr>
          <w:p>
            <w:r>
              <w:rPr>
                <w:b/>
                <w:sz w:val="17"/>
              </w:rPr>
              <w:t>Architecture grade: B for internal prototype, C- for unattended live production</w:t>
            </w:r>
          </w:p>
          <w:p>
            <w:r>
              <w:rPr>
                <w:sz w:val="17"/>
              </w:rPr>
              <w:t>For an internal research + paper-trading platform, the design is advanced and modular. For real-money unattended trading, the current single-PC deployment and implicit contracts introduce operational, safety, and recovery risks that should be fixed before scaling capital or users.</w:t>
            </w:r>
          </w:p>
        </w:tc>
      </w:tr>
    </w:tbl>
    <w:tbl>
      <w:tblPr>
        <w:tblStyle w:val="TableGrid"/>
        <w:tblW w:type="auto" w:w="0"/>
        <w:jc w:val="center"/>
        <w:tblLook w:firstColumn="1" w:firstRow="1" w:lastColumn="0" w:lastRow="0" w:noHBand="0" w:noVBand="1" w:val="04A0"/>
      </w:tblPr>
      <w:tblGrid>
        <w:gridCol w:w="3504"/>
        <w:gridCol w:w="3504"/>
        <w:gridCol w:w="3504"/>
      </w:tblGrid>
      <w:tr>
        <w:tc>
          <w:tcPr>
            <w:tcW w:type="dxa" w:w="2160"/>
            <w:shd w:fill="1F4E79"/>
            <w:vAlign w:val="top"/>
            <w:tcMar>
              <w:top w:w="80" w:type="dxa"/>
              <w:start w:w="80" w:type="dxa"/>
              <w:bottom w:w="80" w:type="dxa"/>
              <w:end w:w="80" w:type="dxa"/>
            </w:tcMar>
          </w:tcPr>
          <w:p>
            <w:r>
              <w:rPr>
                <w:color w:val="FFFFFF"/>
                <w:sz w:val="17"/>
              </w:rPr>
            </w:r>
            <w:r>
              <w:rPr>
                <w:b/>
                <w:color w:val="FFFFFF"/>
                <w:sz w:val="17"/>
              </w:rPr>
              <w:t>Area</w:t>
            </w:r>
          </w:p>
        </w:tc>
        <w:tc>
          <w:tcPr>
            <w:tcW w:type="dxa" w:w="1152"/>
            <w:shd w:fill="1F4E79"/>
            <w:vAlign w:val="top"/>
            <w:tcMar>
              <w:top w:w="80" w:type="dxa"/>
              <w:start w:w="80" w:type="dxa"/>
              <w:bottom w:w="80" w:type="dxa"/>
              <w:end w:w="80" w:type="dxa"/>
            </w:tcMar>
          </w:tcPr>
          <w:p>
            <w:r>
              <w:rPr>
                <w:color w:val="FFFFFF"/>
                <w:sz w:val="17"/>
              </w:rPr>
            </w:r>
            <w:r>
              <w:rPr>
                <w:b/>
                <w:color w:val="FFFFFF"/>
                <w:sz w:val="17"/>
              </w:rPr>
              <w:t>Score</w:t>
            </w:r>
          </w:p>
        </w:tc>
        <w:tc>
          <w:tcPr>
            <w:tcW w:type="dxa" w:w="7488"/>
            <w:shd w:fill="1F4E79"/>
            <w:vAlign w:val="top"/>
            <w:tcMar>
              <w:top w:w="80" w:type="dxa"/>
              <w:start w:w="80" w:type="dxa"/>
              <w:bottom w:w="80" w:type="dxa"/>
              <w:end w:w="80" w:type="dxa"/>
            </w:tcMar>
          </w:tcPr>
          <w:p>
            <w:r>
              <w:rPr>
                <w:color w:val="FFFFFF"/>
                <w:sz w:val="17"/>
              </w:rPr>
            </w:r>
            <w:r>
              <w:rPr>
                <w:b/>
                <w:color w:val="FFFFFF"/>
                <w:sz w:val="17"/>
              </w:rPr>
              <w:t>Reason</w:t>
            </w:r>
          </w:p>
        </w:tc>
      </w:tr>
      <w:tr>
        <w:tc>
          <w:tcPr>
            <w:tcW w:type="dxa" w:w="2160"/>
            <w:vAlign w:val="top"/>
            <w:tcMar>
              <w:top w:w="80" w:type="dxa"/>
              <w:start w:w="80" w:type="dxa"/>
              <w:bottom w:w="80" w:type="dxa"/>
              <w:end w:w="80" w:type="dxa"/>
            </w:tcMar>
          </w:tcPr>
          <w:p>
            <w:r>
              <w:rPr>
                <w:sz w:val="17"/>
              </w:rPr>
            </w:r>
            <w:r>
              <w:rPr>
                <w:b w:val="0"/>
                <w:sz w:val="17"/>
              </w:rPr>
              <w:t>Service decomposition</w:t>
            </w:r>
          </w:p>
        </w:tc>
        <w:tc>
          <w:tcPr>
            <w:tcW w:type="dxa" w:w="1152"/>
            <w:vAlign w:val="top"/>
            <w:tcMar>
              <w:top w:w="80" w:type="dxa"/>
              <w:start w:w="80" w:type="dxa"/>
              <w:bottom w:w="80" w:type="dxa"/>
              <w:end w:w="80" w:type="dxa"/>
            </w:tcMar>
          </w:tcPr>
          <w:p>
            <w:r>
              <w:rPr>
                <w:sz w:val="17"/>
              </w:rPr>
            </w:r>
            <w:r>
              <w:rPr>
                <w:b w:val="0"/>
                <w:sz w:val="17"/>
              </w:rPr>
              <w:t>8/10</w:t>
            </w:r>
          </w:p>
        </w:tc>
        <w:tc>
          <w:tcPr>
            <w:tcW w:type="dxa" w:w="7488"/>
            <w:vAlign w:val="top"/>
            <w:tcMar>
              <w:top w:w="80" w:type="dxa"/>
              <w:start w:w="80" w:type="dxa"/>
              <w:bottom w:w="80" w:type="dxa"/>
              <w:end w:w="80" w:type="dxa"/>
            </w:tcMar>
          </w:tcPr>
          <w:p>
            <w:r>
              <w:rPr>
                <w:sz w:val="17"/>
              </w:rPr>
            </w:r>
            <w:r>
              <w:rPr>
                <w:b w:val="0"/>
                <w:sz w:val="17"/>
              </w:rPr>
              <w:t>Good split: Next.js UI, Node API/control planes, Rust websocket ingestion, Rust engine, Redis, TimescaleDB, notification service, and backtest stack. This matches the latency/control separation expected in trading systems.</w:t>
            </w:r>
          </w:p>
        </w:tc>
      </w:tr>
      <w:tr>
        <w:tc>
          <w:tcPr>
            <w:tcW w:type="dxa" w:w="2160"/>
            <w:vAlign w:val="top"/>
            <w:tcMar>
              <w:top w:w="80" w:type="dxa"/>
              <w:start w:w="80" w:type="dxa"/>
              <w:bottom w:w="80" w:type="dxa"/>
              <w:end w:w="80" w:type="dxa"/>
            </w:tcMar>
          </w:tcPr>
          <w:p>
            <w:r>
              <w:rPr>
                <w:sz w:val="17"/>
              </w:rPr>
            </w:r>
            <w:r>
              <w:rPr>
                <w:b w:val="0"/>
                <w:sz w:val="17"/>
              </w:rPr>
              <w:t>Data architecture</w:t>
            </w:r>
          </w:p>
        </w:tc>
        <w:tc>
          <w:tcPr>
            <w:tcW w:type="dxa" w:w="1152"/>
            <w:vAlign w:val="top"/>
            <w:tcMar>
              <w:top w:w="80" w:type="dxa"/>
              <w:start w:w="80" w:type="dxa"/>
              <w:bottom w:w="80" w:type="dxa"/>
              <w:end w:w="80" w:type="dxa"/>
            </w:tcMar>
          </w:tcPr>
          <w:p>
            <w:r>
              <w:rPr>
                <w:sz w:val="17"/>
              </w:rPr>
            </w:r>
            <w:r>
              <w:rPr>
                <w:b w:val="0"/>
                <w:sz w:val="17"/>
              </w:rPr>
              <w:t>7/10</w:t>
            </w:r>
          </w:p>
        </w:tc>
        <w:tc>
          <w:tcPr>
            <w:tcW w:type="dxa" w:w="7488"/>
            <w:vAlign w:val="top"/>
            <w:tcMar>
              <w:top w:w="80" w:type="dxa"/>
              <w:start w:w="80" w:type="dxa"/>
              <w:bottom w:w="80" w:type="dxa"/>
              <w:end w:w="80" w:type="dxa"/>
            </w:tcMar>
          </w:tcPr>
          <w:p>
            <w:r>
              <w:rPr>
                <w:sz w:val="17"/>
              </w:rPr>
            </w:r>
            <w:r>
              <w:rPr>
                <w:b w:val="0"/>
                <w:sz w:val="17"/>
              </w:rPr>
              <w:t>TimescaleDB/PostgreSQL is a strong choice for candles, signals, deployments, and relational metadata. Risk: market data, runtime states, orders, identity, and backtest data need stricter ownership boundaries, retention, compression, and backup rules.</w:t>
            </w:r>
          </w:p>
        </w:tc>
      </w:tr>
      <w:tr>
        <w:tc>
          <w:tcPr>
            <w:tcW w:type="dxa" w:w="2160"/>
            <w:vAlign w:val="top"/>
            <w:tcMar>
              <w:top w:w="80" w:type="dxa"/>
              <w:start w:w="80" w:type="dxa"/>
              <w:bottom w:w="80" w:type="dxa"/>
              <w:end w:w="80" w:type="dxa"/>
            </w:tcMar>
          </w:tcPr>
          <w:p>
            <w:r>
              <w:rPr>
                <w:sz w:val="17"/>
              </w:rPr>
            </w:r>
            <w:r>
              <w:rPr>
                <w:b w:val="0"/>
                <w:sz w:val="17"/>
              </w:rPr>
              <w:t>Eventing architecture</w:t>
            </w:r>
          </w:p>
        </w:tc>
        <w:tc>
          <w:tcPr>
            <w:tcW w:type="dxa" w:w="1152"/>
            <w:vAlign w:val="top"/>
            <w:tcMar>
              <w:top w:w="80" w:type="dxa"/>
              <w:start w:w="80" w:type="dxa"/>
              <w:bottom w:w="80" w:type="dxa"/>
              <w:end w:w="80" w:type="dxa"/>
            </w:tcMar>
          </w:tcPr>
          <w:p>
            <w:r>
              <w:rPr>
                <w:sz w:val="17"/>
              </w:rPr>
            </w:r>
            <w:r>
              <w:rPr>
                <w:b w:val="0"/>
                <w:sz w:val="17"/>
              </w:rPr>
              <w:t>7/10</w:t>
            </w:r>
          </w:p>
        </w:tc>
        <w:tc>
          <w:tcPr>
            <w:tcW w:type="dxa" w:w="7488"/>
            <w:vAlign w:val="top"/>
            <w:tcMar>
              <w:top w:w="80" w:type="dxa"/>
              <w:start w:w="80" w:type="dxa"/>
              <w:bottom w:w="80" w:type="dxa"/>
              <w:end w:w="80" w:type="dxa"/>
            </w:tcMar>
          </w:tcPr>
          <w:p>
            <w:r>
              <w:rPr>
                <w:sz w:val="17"/>
              </w:rPr>
            </w:r>
            <w:r>
              <w:rPr>
                <w:b w:val="0"/>
                <w:sz w:val="17"/>
              </w:rPr>
              <w:t>Redis Streams plus consumer groups are good for near-real-time fan-out and recovery. Risk: tick streams can become a memory/disk pressure point unless max length, drop policy, idempotency, lag metrics, and dead-letter behavior are explicit.</w:t>
            </w:r>
          </w:p>
        </w:tc>
      </w:tr>
      <w:tr>
        <w:tc>
          <w:tcPr>
            <w:tcW w:type="dxa" w:w="2160"/>
            <w:vAlign w:val="top"/>
            <w:tcMar>
              <w:top w:w="80" w:type="dxa"/>
              <w:start w:w="80" w:type="dxa"/>
              <w:bottom w:w="80" w:type="dxa"/>
              <w:end w:w="80" w:type="dxa"/>
            </w:tcMar>
          </w:tcPr>
          <w:p>
            <w:r>
              <w:rPr>
                <w:sz w:val="17"/>
              </w:rPr>
            </w:r>
            <w:r>
              <w:rPr>
                <w:b w:val="0"/>
                <w:sz w:val="17"/>
              </w:rPr>
              <w:t>Trading safety</w:t>
            </w:r>
          </w:p>
        </w:tc>
        <w:tc>
          <w:tcPr>
            <w:tcW w:type="dxa" w:w="1152"/>
            <w:vAlign w:val="top"/>
            <w:tcMar>
              <w:top w:w="80" w:type="dxa"/>
              <w:start w:w="80" w:type="dxa"/>
              <w:bottom w:w="80" w:type="dxa"/>
              <w:end w:w="80" w:type="dxa"/>
            </w:tcMar>
          </w:tcPr>
          <w:p>
            <w:r>
              <w:rPr>
                <w:sz w:val="17"/>
              </w:rPr>
            </w:r>
            <w:r>
              <w:rPr>
                <w:b w:val="0"/>
                <w:sz w:val="17"/>
              </w:rPr>
              <w:t>4/10</w:t>
            </w:r>
          </w:p>
        </w:tc>
        <w:tc>
          <w:tcPr>
            <w:tcW w:type="dxa" w:w="7488"/>
            <w:vAlign w:val="top"/>
            <w:tcMar>
              <w:top w:w="80" w:type="dxa"/>
              <w:start w:w="80" w:type="dxa"/>
              <w:bottom w:w="80" w:type="dxa"/>
              <w:end w:w="80" w:type="dxa"/>
            </w:tcMar>
          </w:tcPr>
          <w:p>
            <w:r>
              <w:rPr>
                <w:sz w:val="17"/>
              </w:rPr>
            </w:r>
            <w:r>
              <w:rPr>
                <w:b w:val="0"/>
                <w:sz w:val="17"/>
              </w:rPr>
              <w:t>The document mentions paper/live trading, approvals, execution updates, and broker integration, but not a standalone OMS/risk gate with pre-trade checks, kill switch, duplicate-order protection, and broker reconciliation as a first-class boundary.</w:t>
            </w:r>
          </w:p>
        </w:tc>
      </w:tr>
      <w:tr>
        <w:tc>
          <w:tcPr>
            <w:tcW w:type="dxa" w:w="2160"/>
            <w:vAlign w:val="top"/>
            <w:tcMar>
              <w:top w:w="80" w:type="dxa"/>
              <w:start w:w="80" w:type="dxa"/>
              <w:bottom w:w="80" w:type="dxa"/>
              <w:end w:w="80" w:type="dxa"/>
            </w:tcMar>
          </w:tcPr>
          <w:p>
            <w:r>
              <w:rPr>
                <w:sz w:val="17"/>
              </w:rPr>
            </w:r>
            <w:r>
              <w:rPr>
                <w:b w:val="0"/>
                <w:sz w:val="17"/>
              </w:rPr>
              <w:t>Operational reliability</w:t>
            </w:r>
          </w:p>
        </w:tc>
        <w:tc>
          <w:tcPr>
            <w:tcW w:type="dxa" w:w="1152"/>
            <w:vAlign w:val="top"/>
            <w:tcMar>
              <w:top w:w="80" w:type="dxa"/>
              <w:start w:w="80" w:type="dxa"/>
              <w:bottom w:w="80" w:type="dxa"/>
              <w:end w:w="80" w:type="dxa"/>
            </w:tcMar>
          </w:tcPr>
          <w:p>
            <w:r>
              <w:rPr>
                <w:sz w:val="17"/>
              </w:rPr>
            </w:r>
            <w:r>
              <w:rPr>
                <w:b w:val="0"/>
                <w:sz w:val="17"/>
              </w:rPr>
              <w:t>4/10</w:t>
            </w:r>
          </w:p>
        </w:tc>
        <w:tc>
          <w:tcPr>
            <w:tcW w:type="dxa" w:w="7488"/>
            <w:vAlign w:val="top"/>
            <w:tcMar>
              <w:top w:w="80" w:type="dxa"/>
              <w:start w:w="80" w:type="dxa"/>
              <w:bottom w:w="80" w:type="dxa"/>
              <w:end w:w="80" w:type="dxa"/>
            </w:tcMar>
          </w:tcPr>
          <w:p>
            <w:r>
              <w:rPr>
                <w:sz w:val="17"/>
              </w:rPr>
            </w:r>
            <w:r>
              <w:rPr>
                <w:b w:val="0"/>
                <w:sz w:val="17"/>
              </w:rPr>
              <w:t>Health checks and restart-safe loops are good, but a live trading system on the same development desktop is a single point of failure and is vulnerable to reboots, IDE/build spikes, Docker image rebuilds, OS sleep/update behavior, and disk/log growth.</w:t>
            </w:r>
          </w:p>
        </w:tc>
      </w:tr>
      <w:tr>
        <w:tc>
          <w:tcPr>
            <w:tcW w:type="dxa" w:w="2160"/>
            <w:vAlign w:val="top"/>
            <w:tcMar>
              <w:top w:w="80" w:type="dxa"/>
              <w:start w:w="80" w:type="dxa"/>
              <w:bottom w:w="80" w:type="dxa"/>
              <w:end w:w="80" w:type="dxa"/>
            </w:tcMar>
          </w:tcPr>
          <w:p>
            <w:r>
              <w:rPr>
                <w:sz w:val="17"/>
              </w:rPr>
            </w:r>
            <w:r>
              <w:rPr>
                <w:b w:val="0"/>
                <w:sz w:val="17"/>
              </w:rPr>
              <w:t>Observability</w:t>
            </w:r>
          </w:p>
        </w:tc>
        <w:tc>
          <w:tcPr>
            <w:tcW w:type="dxa" w:w="1152"/>
            <w:vAlign w:val="top"/>
            <w:tcMar>
              <w:top w:w="80" w:type="dxa"/>
              <w:start w:w="80" w:type="dxa"/>
              <w:bottom w:w="80" w:type="dxa"/>
              <w:end w:w="80" w:type="dxa"/>
            </w:tcMar>
          </w:tcPr>
          <w:p>
            <w:r>
              <w:rPr>
                <w:sz w:val="17"/>
              </w:rPr>
            </w:r>
            <w:r>
              <w:rPr>
                <w:b w:val="0"/>
                <w:sz w:val="17"/>
              </w:rPr>
              <w:t>5/10</w:t>
            </w:r>
          </w:p>
        </w:tc>
        <w:tc>
          <w:tcPr>
            <w:tcW w:type="dxa" w:w="7488"/>
            <w:vAlign w:val="top"/>
            <w:tcMar>
              <w:top w:w="80" w:type="dxa"/>
              <w:start w:w="80" w:type="dxa"/>
              <w:bottom w:w="80" w:type="dxa"/>
              <w:end w:w="80" w:type="dxa"/>
            </w:tcMar>
          </w:tcPr>
          <w:p>
            <w:r>
              <w:rPr>
                <w:sz w:val="17"/>
              </w:rPr>
            </w:r>
            <w:r>
              <w:rPr>
                <w:b w:val="0"/>
                <w:sz w:val="17"/>
              </w:rPr>
              <w:t>Logging, health endpoints, and backtest Prometheus/Grafana are a start. The live path needs metrics/traces for tick latency, strategy latency, stream lag, DB writes, broker round-trip, order state transitions, and UI delivery.</w:t>
            </w:r>
          </w:p>
        </w:tc>
      </w:tr>
      <w:tr>
        <w:tc>
          <w:tcPr>
            <w:tcW w:type="dxa" w:w="2160"/>
            <w:vAlign w:val="top"/>
            <w:tcMar>
              <w:top w:w="80" w:type="dxa"/>
              <w:start w:w="80" w:type="dxa"/>
              <w:bottom w:w="80" w:type="dxa"/>
              <w:end w:w="80" w:type="dxa"/>
            </w:tcMar>
          </w:tcPr>
          <w:p>
            <w:r>
              <w:rPr>
                <w:sz w:val="17"/>
              </w:rPr>
            </w:r>
            <w:r>
              <w:rPr>
                <w:b w:val="0"/>
                <w:sz w:val="17"/>
              </w:rPr>
              <w:t>Security posture</w:t>
            </w:r>
          </w:p>
        </w:tc>
        <w:tc>
          <w:tcPr>
            <w:tcW w:type="dxa" w:w="1152"/>
            <w:vAlign w:val="top"/>
            <w:tcMar>
              <w:top w:w="80" w:type="dxa"/>
              <w:start w:w="80" w:type="dxa"/>
              <w:bottom w:w="80" w:type="dxa"/>
              <w:end w:w="80" w:type="dxa"/>
            </w:tcMar>
          </w:tcPr>
          <w:p>
            <w:r>
              <w:rPr>
                <w:sz w:val="17"/>
              </w:rPr>
            </w:r>
            <w:r>
              <w:rPr>
                <w:b w:val="0"/>
                <w:sz w:val="17"/>
              </w:rPr>
              <w:t>5/10</w:t>
            </w:r>
          </w:p>
        </w:tc>
        <w:tc>
          <w:tcPr>
            <w:tcW w:type="dxa" w:w="7488"/>
            <w:vAlign w:val="top"/>
            <w:tcMar>
              <w:top w:w="80" w:type="dxa"/>
              <w:start w:w="80" w:type="dxa"/>
              <w:bottom w:w="80" w:type="dxa"/>
              <w:end w:w="80" w:type="dxa"/>
            </w:tcMar>
          </w:tcPr>
          <w:p>
            <w:r>
              <w:rPr>
                <w:sz w:val="17"/>
              </w:rPr>
            </w:r>
            <w:r>
              <w:rPr>
                <w:b w:val="0"/>
                <w:sz w:val="17"/>
              </w:rPr>
              <w:t>JWT/RBAC and API keys are a good base. Broker credentials, refresh tokens, HTTPS/TLS, service-to-service trust, .env handling, audit logs, and WebSocket authorization need production-grade hardening.</w:t>
            </w:r>
          </w:p>
        </w:tc>
      </w:tr>
      <w:tr>
        <w:tc>
          <w:tcPr>
            <w:tcW w:type="dxa" w:w="2160"/>
            <w:vAlign w:val="top"/>
            <w:tcMar>
              <w:top w:w="80" w:type="dxa"/>
              <w:start w:w="80" w:type="dxa"/>
              <w:bottom w:w="80" w:type="dxa"/>
              <w:end w:w="80" w:type="dxa"/>
            </w:tcMar>
          </w:tcPr>
          <w:p>
            <w:r>
              <w:rPr>
                <w:sz w:val="17"/>
              </w:rPr>
            </w:r>
            <w:r>
              <w:rPr>
                <w:b w:val="0"/>
                <w:sz w:val="17"/>
              </w:rPr>
              <w:t>Backtest-live parity</w:t>
            </w:r>
          </w:p>
        </w:tc>
        <w:tc>
          <w:tcPr>
            <w:tcW w:type="dxa" w:w="1152"/>
            <w:vAlign w:val="top"/>
            <w:tcMar>
              <w:top w:w="80" w:type="dxa"/>
              <w:start w:w="80" w:type="dxa"/>
              <w:bottom w:w="80" w:type="dxa"/>
              <w:end w:w="80" w:type="dxa"/>
            </w:tcMar>
          </w:tcPr>
          <w:p>
            <w:r>
              <w:rPr>
                <w:sz w:val="17"/>
              </w:rPr>
            </w:r>
            <w:r>
              <w:rPr>
                <w:b w:val="0"/>
                <w:sz w:val="17"/>
              </w:rPr>
              <w:t>6/10</w:t>
            </w:r>
          </w:p>
        </w:tc>
        <w:tc>
          <w:tcPr>
            <w:tcW w:type="dxa" w:w="7488"/>
            <w:vAlign w:val="top"/>
            <w:tcMar>
              <w:top w:w="80" w:type="dxa"/>
              <w:start w:w="80" w:type="dxa"/>
              <w:bottom w:w="80" w:type="dxa"/>
              <w:end w:w="80" w:type="dxa"/>
            </w:tcMar>
          </w:tcPr>
          <w:p>
            <w:r>
              <w:rPr>
                <w:sz w:val="17"/>
              </w:rPr>
            </w:r>
            <w:r>
              <w:rPr>
                <w:b w:val="0"/>
                <w:sz w:val="17"/>
              </w:rPr>
              <w:t>Reusable Rust strategy crates are a strong choice. The missing proof is a documented parity harness showing the same market normalization, timezone, fees, slippage, order rules, and state transitions in backtest and live.</w:t>
            </w:r>
          </w:p>
        </w:tc>
      </w:tr>
    </w:tbl>
    <w:p>
      <w:r>
        <w:rPr>
          <w:b/>
        </w:rPr>
        <w:t xml:space="preserve">Most important architectural recommendation: </w:t>
      </w:r>
      <w:r>
        <w:t>treat live trading as a production runtime, not as another developer compose stack. Split the workstation role from the live server role, even if both are small machines initially. Then add an OMS/risk boundary, stream contracts, observability, backup/restore, and deployment discipline.</w:t>
      </w:r>
    </w:p>
    <w:p>
      <w:pPr>
        <w:pStyle w:val="Heading1"/>
      </w:pPr>
      <w:r>
        <w:t>2. What the Current Architecture Gets Right</w:t>
      </w:r>
    </w:p>
    <w:p>
      <w:pPr>
        <w:pStyle w:val="ListBullet"/>
      </w:pPr>
      <w:r>
        <w:rPr>
          <w:b/>
        </w:rPr>
        <w:t xml:space="preserve">Clear separation between control plane and runtime: </w:t>
      </w:r>
      <w:r>
        <w:t>Node/Express owns user workflows, deployments, auth, broker account operations, approvals, and maintenance jobs, while Rust services handle broker websocket ingestion and live strategy execution. This is a strong division because business workflows change faster than the latency-sensitive tick path.</w:t>
      </w:r>
    </w:p>
    <w:p>
      <w:pPr>
        <w:pStyle w:val="ListBullet"/>
      </w:pPr>
      <w:r>
        <w:rPr>
          <w:b/>
        </w:rPr>
        <w:t xml:space="preserve">Rust for live websocket and strategy engine: </w:t>
      </w:r>
      <w:r>
        <w:t>Using Rust/Tokio for market ingestion and live strategy evaluation is a strong choice because it reduces runtime overhead and makes concurrency, backpressure, and data ownership easier to reason about than a purely Node.js tick engine.</w:t>
      </w:r>
    </w:p>
    <w:p>
      <w:pPr>
        <w:pStyle w:val="ListBullet"/>
      </w:pPr>
      <w:r>
        <w:rPr>
          <w:b/>
        </w:rPr>
        <w:t xml:space="preserve">TimescaleDB/PostgreSQL as durable source of truth: </w:t>
      </w:r>
      <w:r>
        <w:t>Using PostgreSQL/TimescaleDB for deployments, signals, candles, trades, users, broker connections, and runtime state is a strong decision because relational consistency and time-series storage are both needed in this domain.</w:t>
      </w:r>
    </w:p>
    <w:p>
      <w:pPr>
        <w:pStyle w:val="ListBullet"/>
      </w:pPr>
      <w:r>
        <w:rPr>
          <w:b/>
        </w:rPr>
        <w:t xml:space="preserve">Redis Streams for realtime bridge: </w:t>
      </w:r>
      <w:r>
        <w:t>Using Redis Streams with consumer groups, pending-entry reclaim, and stream consumers is better than plain fire-and-forget pub/sub for important signals and execution updates because it gives you acknowledgement and recovery semantics.</w:t>
      </w:r>
    </w:p>
    <w:p>
      <w:pPr>
        <w:pStyle w:val="ListBullet"/>
      </w:pPr>
      <w:r>
        <w:rPr>
          <w:b/>
        </w:rPr>
        <w:t xml:space="preserve">Reusable strategy crates: </w:t>
      </w:r>
      <w:r>
        <w:t>Keeping strategy logic in Rust crates and using the same strategy ideas across live and backtest paths is one of the strongest parts of the design. It reduces the classic algo-trading problem where backtest logic and live logic silently diverge.</w:t>
      </w:r>
    </w:p>
    <w:p>
      <w:pPr>
        <w:pStyle w:val="ListBullet"/>
      </w:pPr>
      <w:r>
        <w:rPr>
          <w:b/>
        </w:rPr>
        <w:t xml:space="preserve">Backtest stack is separately modeled: </w:t>
      </w:r>
      <w:r>
        <w:t>A separate backtest control plane, Rust runner/engine, artifacts, and optional monitoring is a good design because backtests have different performance, determinism, and storage needs than live trading.</w:t>
      </w:r>
    </w:p>
    <w:p>
      <w:pPr>
        <w:pStyle w:val="ListBullet"/>
      </w:pPr>
      <w:r>
        <w:rPr>
          <w:b/>
        </w:rPr>
        <w:t xml:space="preserve">C4-style architecture documentation: </w:t>
      </w:r>
      <w:r>
        <w:t>The input document is already better than most internal codebase notes because it names containers, components, runtime flows, data ownership, operational notes, and follow-up risks. That makes review and onboarding much easier.</w:t>
      </w:r>
    </w:p>
    <w:p>
      <w:pPr>
        <w:pStyle w:val="Heading1"/>
      </w:pPr>
      <w:r>
        <w:t>3. Critical Risks and Criticism</w:t>
      </w:r>
    </w:p>
    <w:tbl>
      <w:tblPr>
        <w:tblStyle w:val="TableGrid"/>
        <w:tblW w:type="auto" w:w="0"/>
        <w:jc w:val="center"/>
        <w:tblLook w:firstColumn="1" w:firstRow="1" w:lastColumn="0" w:lastRow="0" w:noHBand="0" w:noVBand="1" w:val="04A0"/>
      </w:tblPr>
      <w:tblGrid>
        <w:gridCol w:w="10512"/>
      </w:tblGrid>
      <w:tr>
        <w:tc>
          <w:tcPr>
            <w:tcW w:type="dxa" w:w="10512"/>
            <w:shd w:fill="EAF2F8"/>
            <w:tcMar>
              <w:top w:w="80" w:type="dxa"/>
              <w:start w:w="80" w:type="dxa"/>
              <w:bottom w:w="80" w:type="dxa"/>
              <w:end w:w="80" w:type="dxa"/>
            </w:tcMar>
            <w:vAlign w:val="top"/>
          </w:tcPr>
          <w:p>
            <w:r>
              <w:rPr>
                <w:b/>
                <w:sz w:val="17"/>
              </w:rPr>
              <w:t>How to read priority labels</w:t>
            </w:r>
          </w:p>
          <w:p>
            <w:r>
              <w:rPr>
                <w:sz w:val="17"/>
              </w:rPr>
              <w:t>P0 = must fix before serious live capital or multi-user production. P1 = fix before scaling usage. P2 = important engineering hardening. P3 = quality and maintainability improvement.</w:t>
            </w:r>
          </w:p>
        </w:tc>
      </w:tr>
    </w:tbl>
    <w:tbl>
      <w:tblPr>
        <w:tblStyle w:val="TableGrid"/>
        <w:tblW w:type="auto" w:w="0"/>
        <w:jc w:val="center"/>
        <w:tblLook w:firstColumn="1" w:firstRow="1" w:lastColumn="0" w:lastRow="0" w:noHBand="0" w:noVBand="1" w:val="04A0"/>
      </w:tblPr>
      <w:tblGrid>
        <w:gridCol w:w="2628"/>
        <w:gridCol w:w="2628"/>
        <w:gridCol w:w="2628"/>
        <w:gridCol w:w="2628"/>
      </w:tblGrid>
      <w:tr>
        <w:tc>
          <w:tcPr>
            <w:tcW w:type="dxa" w:w="1008"/>
            <w:shd w:fill="1F4E79"/>
            <w:vAlign w:val="top"/>
            <w:tcMar>
              <w:top w:w="80" w:type="dxa"/>
              <w:start w:w="80" w:type="dxa"/>
              <w:bottom w:w="80" w:type="dxa"/>
              <w:end w:w="80" w:type="dxa"/>
            </w:tcMar>
          </w:tcPr>
          <w:p>
            <w:r>
              <w:rPr>
                <w:color w:val="FFFFFF"/>
                <w:sz w:val="17"/>
              </w:rPr>
            </w:r>
            <w:r>
              <w:rPr>
                <w:b/>
                <w:color w:val="FFFFFF"/>
                <w:sz w:val="17"/>
              </w:rPr>
              <w:t>Priority</w:t>
            </w:r>
          </w:p>
        </w:tc>
        <w:tc>
          <w:tcPr>
            <w:tcW w:type="dxa" w:w="2304"/>
            <w:shd w:fill="1F4E79"/>
            <w:vAlign w:val="top"/>
            <w:tcMar>
              <w:top w:w="80" w:type="dxa"/>
              <w:start w:w="80" w:type="dxa"/>
              <w:bottom w:w="80" w:type="dxa"/>
              <w:end w:w="80" w:type="dxa"/>
            </w:tcMar>
          </w:tcPr>
          <w:p>
            <w:r>
              <w:rPr>
                <w:color w:val="FFFFFF"/>
                <w:sz w:val="17"/>
              </w:rPr>
            </w:r>
            <w:r>
              <w:rPr>
                <w:b/>
                <w:color w:val="FFFFFF"/>
                <w:sz w:val="17"/>
              </w:rPr>
              <w:t>Finding</w:t>
            </w:r>
          </w:p>
        </w:tc>
        <w:tc>
          <w:tcPr>
            <w:tcW w:type="dxa" w:w="3888"/>
            <w:shd w:fill="1F4E79"/>
            <w:vAlign w:val="top"/>
            <w:tcMar>
              <w:top w:w="80" w:type="dxa"/>
              <w:start w:w="80" w:type="dxa"/>
              <w:bottom w:w="80" w:type="dxa"/>
              <w:end w:w="80" w:type="dxa"/>
            </w:tcMar>
          </w:tcPr>
          <w:p>
            <w:r>
              <w:rPr>
                <w:color w:val="FFFFFF"/>
                <w:sz w:val="17"/>
              </w:rPr>
            </w:r>
            <w:r>
              <w:rPr>
                <w:b/>
                <w:color w:val="FFFFFF"/>
                <w:sz w:val="17"/>
              </w:rPr>
              <w:t>Reason</w:t>
            </w:r>
          </w:p>
        </w:tc>
        <w:tc>
          <w:tcPr>
            <w:tcW w:type="dxa" w:w="3888"/>
            <w:shd w:fill="1F4E79"/>
            <w:vAlign w:val="top"/>
            <w:tcMar>
              <w:top w:w="80" w:type="dxa"/>
              <w:start w:w="80" w:type="dxa"/>
              <w:bottom w:w="80" w:type="dxa"/>
              <w:end w:w="80" w:type="dxa"/>
            </w:tcMar>
          </w:tcPr>
          <w:p>
            <w:r>
              <w:rPr>
                <w:color w:val="FFFFFF"/>
                <w:sz w:val="17"/>
              </w:rPr>
            </w:r>
            <w:r>
              <w:rPr>
                <w:b/>
                <w:color w:val="FFFFFF"/>
                <w:sz w:val="17"/>
              </w:rPr>
              <w:t>Recommended change</w:t>
            </w:r>
          </w:p>
        </w:tc>
      </w:tr>
      <w:tr>
        <w:tc>
          <w:tcPr>
            <w:tcW w:type="dxa" w:w="1008"/>
            <w:shd w:fill="F4CCCC"/>
            <w:vAlign w:val="top"/>
            <w:tcMar>
              <w:top w:w="80" w:type="dxa"/>
              <w:start w:w="80" w:type="dxa"/>
              <w:bottom w:w="80" w:type="dxa"/>
              <w:end w:w="80" w:type="dxa"/>
            </w:tcMar>
          </w:tcPr>
          <w:p>
            <w:r>
              <w:rPr>
                <w:sz w:val="17"/>
              </w:rPr>
            </w:r>
            <w:r>
              <w:rPr>
                <w:b w:val="0"/>
                <w:sz w:val="17"/>
              </w:rPr>
              <w:t>P0</w:t>
            </w:r>
          </w:p>
        </w:tc>
        <w:tc>
          <w:tcPr>
            <w:tcW w:type="dxa" w:w="2304"/>
            <w:vAlign w:val="top"/>
            <w:tcMar>
              <w:top w:w="80" w:type="dxa"/>
              <w:start w:w="80" w:type="dxa"/>
              <w:bottom w:w="80" w:type="dxa"/>
              <w:end w:w="80" w:type="dxa"/>
            </w:tcMar>
          </w:tcPr>
          <w:p>
            <w:r>
              <w:rPr>
                <w:sz w:val="17"/>
              </w:rPr>
            </w:r>
            <w:r>
              <w:rPr>
                <w:b w:val="0"/>
                <w:sz w:val="17"/>
              </w:rPr>
              <w:t>Single PC is a single point of failure</w:t>
            </w:r>
          </w:p>
        </w:tc>
        <w:tc>
          <w:tcPr>
            <w:tcW w:type="dxa" w:w="3888"/>
            <w:vAlign w:val="top"/>
            <w:tcMar>
              <w:top w:w="80" w:type="dxa"/>
              <w:start w:w="80" w:type="dxa"/>
              <w:bottom w:w="80" w:type="dxa"/>
              <w:end w:w="80" w:type="dxa"/>
            </w:tcMar>
          </w:tcPr>
          <w:p>
            <w:r>
              <w:rPr>
                <w:sz w:val="17"/>
              </w:rPr>
            </w:r>
            <w:r>
              <w:rPr>
                <w:b w:val="0"/>
                <w:sz w:val="17"/>
              </w:rPr>
              <w:t>A live trading stack hosted on the same PC used for coding can fail because of OS restart, sleep, Docker rebuilds, IDE memory spikes, browser tabs, build processes, accidental terminal commands, disk pressure, or network instability.</w:t>
            </w:r>
          </w:p>
        </w:tc>
        <w:tc>
          <w:tcPr>
            <w:tcW w:type="dxa" w:w="3888"/>
            <w:vAlign w:val="top"/>
            <w:tcMar>
              <w:top w:w="80" w:type="dxa"/>
              <w:start w:w="80" w:type="dxa"/>
              <w:bottom w:w="80" w:type="dxa"/>
              <w:end w:w="80" w:type="dxa"/>
            </w:tcMar>
          </w:tcPr>
          <w:p>
            <w:r>
              <w:rPr>
                <w:sz w:val="17"/>
              </w:rPr>
            </w:r>
            <w:r>
              <w:rPr>
                <w:b w:val="0"/>
                <w:sz w:val="17"/>
              </w:rPr>
              <w:t>Run live services on a dedicated machine/VPS; keep development on another machine or at least another compose profile and user account. Disable sleep, use wired network, UPS, and a strict market-hours change freeze.</w:t>
            </w:r>
          </w:p>
        </w:tc>
      </w:tr>
      <w:tr>
        <w:tc>
          <w:tcPr>
            <w:tcW w:type="dxa" w:w="1008"/>
            <w:shd w:fill="F4CCCC"/>
            <w:vAlign w:val="top"/>
            <w:tcMar>
              <w:top w:w="80" w:type="dxa"/>
              <w:start w:w="80" w:type="dxa"/>
              <w:bottom w:w="80" w:type="dxa"/>
              <w:end w:w="80" w:type="dxa"/>
            </w:tcMar>
          </w:tcPr>
          <w:p>
            <w:r>
              <w:rPr>
                <w:sz w:val="17"/>
              </w:rPr>
            </w:r>
            <w:r>
              <w:rPr>
                <w:b w:val="0"/>
                <w:sz w:val="17"/>
              </w:rPr>
              <w:t>P0</w:t>
            </w:r>
          </w:p>
        </w:tc>
        <w:tc>
          <w:tcPr>
            <w:tcW w:type="dxa" w:w="2304"/>
            <w:vAlign w:val="top"/>
            <w:tcMar>
              <w:top w:w="80" w:type="dxa"/>
              <w:start w:w="80" w:type="dxa"/>
              <w:bottom w:w="80" w:type="dxa"/>
              <w:end w:w="80" w:type="dxa"/>
            </w:tcMar>
          </w:tcPr>
          <w:p>
            <w:r>
              <w:rPr>
                <w:sz w:val="17"/>
              </w:rPr>
            </w:r>
            <w:r>
              <w:rPr>
                <w:b w:val="0"/>
                <w:sz w:val="17"/>
              </w:rPr>
              <w:t>No first-class OMS/risk boundary is visible</w:t>
            </w:r>
          </w:p>
        </w:tc>
        <w:tc>
          <w:tcPr>
            <w:tcW w:type="dxa" w:w="3888"/>
            <w:vAlign w:val="top"/>
            <w:tcMar>
              <w:top w:w="80" w:type="dxa"/>
              <w:start w:w="80" w:type="dxa"/>
              <w:bottom w:w="80" w:type="dxa"/>
              <w:end w:w="80" w:type="dxa"/>
            </w:tcMar>
          </w:tcPr>
          <w:p>
            <w:r>
              <w:rPr>
                <w:sz w:val="17"/>
              </w:rPr>
            </w:r>
            <w:r>
              <w:rPr>
                <w:b w:val="0"/>
                <w:sz w:val="17"/>
              </w:rPr>
              <w:t>The document mentions broker integration, paper/live execution jobs, approvals, and execution updates, but not a clearly isolated order-management/risk service. Without a single order gate, duplicate orders, stale signals, race conditions, and uncapped exposure become harder to prevent.</w:t>
            </w:r>
          </w:p>
        </w:tc>
        <w:tc>
          <w:tcPr>
            <w:tcW w:type="dxa" w:w="3888"/>
            <w:vAlign w:val="top"/>
            <w:tcMar>
              <w:top w:w="80" w:type="dxa"/>
              <w:start w:w="80" w:type="dxa"/>
              <w:bottom w:w="80" w:type="dxa"/>
              <w:end w:w="80" w:type="dxa"/>
            </w:tcMar>
          </w:tcPr>
          <w:p>
            <w:r>
              <w:rPr>
                <w:sz w:val="17"/>
              </w:rPr>
            </w:r>
            <w:r>
              <w:rPr>
                <w:b w:val="0"/>
                <w:sz w:val="17"/>
              </w:rPr>
              <w:t>Create an OMS/risk service that every live order must pass through. Add idempotency keys, position limits, max daily loss, max order value, strategy capital cap, exchange/session checks, kill switch, and broker reconciliation.</w:t>
            </w:r>
          </w:p>
        </w:tc>
      </w:tr>
      <w:tr>
        <w:tc>
          <w:tcPr>
            <w:tcW w:type="dxa" w:w="1008"/>
            <w:shd w:fill="F4CCCC"/>
            <w:vAlign w:val="top"/>
            <w:tcMar>
              <w:top w:w="80" w:type="dxa"/>
              <w:start w:w="80" w:type="dxa"/>
              <w:bottom w:w="80" w:type="dxa"/>
              <w:end w:w="80" w:type="dxa"/>
            </w:tcMar>
          </w:tcPr>
          <w:p>
            <w:r>
              <w:rPr>
                <w:sz w:val="17"/>
              </w:rPr>
            </w:r>
            <w:r>
              <w:rPr>
                <w:b w:val="0"/>
                <w:sz w:val="17"/>
              </w:rPr>
              <w:t>P0</w:t>
            </w:r>
          </w:p>
        </w:tc>
        <w:tc>
          <w:tcPr>
            <w:tcW w:type="dxa" w:w="2304"/>
            <w:vAlign w:val="top"/>
            <w:tcMar>
              <w:top w:w="80" w:type="dxa"/>
              <w:start w:w="80" w:type="dxa"/>
              <w:bottom w:w="80" w:type="dxa"/>
              <w:end w:w="80" w:type="dxa"/>
            </w:tcMar>
          </w:tcPr>
          <w:p>
            <w:r>
              <w:rPr>
                <w:sz w:val="17"/>
              </w:rPr>
            </w:r>
            <w:r>
              <w:rPr>
                <w:b w:val="0"/>
                <w:sz w:val="17"/>
              </w:rPr>
              <w:t>Redis stream contracts are implicit</w:t>
            </w:r>
          </w:p>
        </w:tc>
        <w:tc>
          <w:tcPr>
            <w:tcW w:type="dxa" w:w="3888"/>
            <w:vAlign w:val="top"/>
            <w:tcMar>
              <w:top w:w="80" w:type="dxa"/>
              <w:start w:w="80" w:type="dxa"/>
              <w:bottom w:w="80" w:type="dxa"/>
              <w:end w:w="80" w:type="dxa"/>
            </w:tcMar>
          </w:tcPr>
          <w:p>
            <w:r>
              <w:rPr>
                <w:sz w:val="17"/>
              </w:rPr>
            </w:r>
            <w:r>
              <w:rPr>
                <w:b w:val="0"/>
                <w:sz w:val="17"/>
              </w:rPr>
              <w:t>Stream names are listed, but schemas, required fields, ordering rules, idempotency keys, max length, retention, and backward compatibility rules are not documented. Implicit event contracts cause silent breakage when services evolve independently.</w:t>
            </w:r>
          </w:p>
        </w:tc>
        <w:tc>
          <w:tcPr>
            <w:tcW w:type="dxa" w:w="3888"/>
            <w:vAlign w:val="top"/>
            <w:tcMar>
              <w:top w:w="80" w:type="dxa"/>
              <w:start w:w="80" w:type="dxa"/>
              <w:bottom w:w="80" w:type="dxa"/>
              <w:end w:w="80" w:type="dxa"/>
            </w:tcMar>
          </w:tcPr>
          <w:p>
            <w:r>
              <w:rPr>
                <w:sz w:val="17"/>
              </w:rPr>
            </w:r>
            <w:r>
              <w:rPr>
                <w:b w:val="0"/>
                <w:sz w:val="17"/>
              </w:rPr>
              <w:t>Create a versioned Event Contract Reference for ticks, signals, approvals, executions, config updates, stats, and capital alerts. Validate payloads at producers and consumers.</w:t>
            </w:r>
          </w:p>
        </w:tc>
      </w:tr>
      <w:tr>
        <w:tc>
          <w:tcPr>
            <w:tcW w:type="dxa" w:w="1008"/>
            <w:shd w:fill="F4CCCC"/>
            <w:vAlign w:val="top"/>
            <w:tcMar>
              <w:top w:w="80" w:type="dxa"/>
              <w:start w:w="80" w:type="dxa"/>
              <w:bottom w:w="80" w:type="dxa"/>
              <w:end w:w="80" w:type="dxa"/>
            </w:tcMar>
          </w:tcPr>
          <w:p>
            <w:r>
              <w:rPr>
                <w:sz w:val="17"/>
              </w:rPr>
            </w:r>
            <w:r>
              <w:rPr>
                <w:b w:val="0"/>
                <w:sz w:val="17"/>
              </w:rPr>
              <w:t>P0</w:t>
            </w:r>
          </w:p>
        </w:tc>
        <w:tc>
          <w:tcPr>
            <w:tcW w:type="dxa" w:w="2304"/>
            <w:vAlign w:val="top"/>
            <w:tcMar>
              <w:top w:w="80" w:type="dxa"/>
              <w:start w:w="80" w:type="dxa"/>
              <w:bottom w:w="80" w:type="dxa"/>
              <w:end w:w="80" w:type="dxa"/>
            </w:tcMar>
          </w:tcPr>
          <w:p>
            <w:r>
              <w:rPr>
                <w:sz w:val="17"/>
              </w:rPr>
            </w:r>
            <w:r>
              <w:rPr>
                <w:b w:val="0"/>
                <w:sz w:val="17"/>
              </w:rPr>
              <w:t>Durable backup/restore plan is not visible</w:t>
            </w:r>
          </w:p>
        </w:tc>
        <w:tc>
          <w:tcPr>
            <w:tcW w:type="dxa" w:w="3888"/>
            <w:vAlign w:val="top"/>
            <w:tcMar>
              <w:top w:w="80" w:type="dxa"/>
              <w:start w:w="80" w:type="dxa"/>
              <w:bottom w:w="80" w:type="dxa"/>
              <w:end w:w="80" w:type="dxa"/>
            </w:tcMar>
          </w:tcPr>
          <w:p>
            <w:r>
              <w:rPr>
                <w:sz w:val="17"/>
              </w:rPr>
            </w:r>
            <w:r>
              <w:rPr>
                <w:b w:val="0"/>
                <w:sz w:val="17"/>
              </w:rPr>
              <w:t>Docker volumes are listed, but volume existence is not the same as a tested database recovery plan. For live trading, losing order/signals/runtime state can cause operational and audit problems.</w:t>
            </w:r>
          </w:p>
        </w:tc>
        <w:tc>
          <w:tcPr>
            <w:tcW w:type="dxa" w:w="3888"/>
            <w:vAlign w:val="top"/>
            <w:tcMar>
              <w:top w:w="80" w:type="dxa"/>
              <w:start w:w="80" w:type="dxa"/>
              <w:bottom w:w="80" w:type="dxa"/>
              <w:end w:w="80" w:type="dxa"/>
            </w:tcMar>
          </w:tcPr>
          <w:p>
            <w:r>
              <w:rPr>
                <w:sz w:val="17"/>
              </w:rPr>
            </w:r>
            <w:r>
              <w:rPr>
                <w:b w:val="0"/>
                <w:sz w:val="17"/>
              </w:rPr>
              <w:t>Implement pg_dump/WAL backup strategy, Redis persistence decision, encrypted off-host backups, restore drills, and a documented recovery time objective.</w:t>
            </w:r>
          </w:p>
        </w:tc>
      </w:tr>
      <w:tr>
        <w:tc>
          <w:tcPr>
            <w:tcW w:type="dxa" w:w="1008"/>
            <w:shd w:fill="FCE5CD"/>
            <w:vAlign w:val="top"/>
            <w:tcMar>
              <w:top w:w="80" w:type="dxa"/>
              <w:start w:w="80" w:type="dxa"/>
              <w:bottom w:w="80" w:type="dxa"/>
              <w:end w:w="80" w:type="dxa"/>
            </w:tcMar>
          </w:tcPr>
          <w:p>
            <w:r>
              <w:rPr>
                <w:sz w:val="17"/>
              </w:rPr>
            </w:r>
            <w:r>
              <w:rPr>
                <w:b w:val="0"/>
                <w:sz w:val="17"/>
              </w:rPr>
              <w:t>P1</w:t>
            </w:r>
          </w:p>
        </w:tc>
        <w:tc>
          <w:tcPr>
            <w:tcW w:type="dxa" w:w="2304"/>
            <w:vAlign w:val="top"/>
            <w:tcMar>
              <w:top w:w="80" w:type="dxa"/>
              <w:start w:w="80" w:type="dxa"/>
              <w:bottom w:w="80" w:type="dxa"/>
              <w:end w:w="80" w:type="dxa"/>
            </w:tcMar>
          </w:tcPr>
          <w:p>
            <w:r>
              <w:rPr>
                <w:sz w:val="17"/>
              </w:rPr>
            </w:r>
            <w:r>
              <w:rPr>
                <w:b w:val="0"/>
                <w:sz w:val="17"/>
              </w:rPr>
              <w:t>Nginx is present but routing is future-phase</w:t>
            </w:r>
          </w:p>
        </w:tc>
        <w:tc>
          <w:tcPr>
            <w:tcW w:type="dxa" w:w="3888"/>
            <w:vAlign w:val="top"/>
            <w:tcMar>
              <w:top w:w="80" w:type="dxa"/>
              <w:start w:w="80" w:type="dxa"/>
              <w:bottom w:w="80" w:type="dxa"/>
              <w:end w:w="80" w:type="dxa"/>
            </w:tcMar>
          </w:tcPr>
          <w:p>
            <w:r>
              <w:rPr>
                <w:sz w:val="17"/>
              </w:rPr>
            </w:r>
            <w:r>
              <w:rPr>
                <w:b w:val="0"/>
                <w:sz w:val="17"/>
              </w:rPr>
              <w:t>The document says nginx is a single HTTP entrypoint, but also says virtual hosts are future-phase. For Socket.IO, Web Push, REST, frontend, and HTTPS, incomplete routing is a production risk.</w:t>
            </w:r>
          </w:p>
        </w:tc>
        <w:tc>
          <w:tcPr>
            <w:tcW w:type="dxa" w:w="3888"/>
            <w:vAlign w:val="top"/>
            <w:tcMar>
              <w:top w:w="80" w:type="dxa"/>
              <w:start w:w="80" w:type="dxa"/>
              <w:bottom w:w="80" w:type="dxa"/>
              <w:end w:w="80" w:type="dxa"/>
            </w:tcMar>
          </w:tcPr>
          <w:p>
            <w:r>
              <w:rPr>
                <w:sz w:val="17"/>
              </w:rPr>
            </w:r>
            <w:r>
              <w:rPr>
                <w:b w:val="0"/>
                <w:sz w:val="17"/>
              </w:rPr>
              <w:t>Finalize nginx routes for /, /api, /socket.io or websocket paths, push endpoints, health endpoints, TLS, proxy headers, timeouts, and WebSocket Upgrade headers.</w:t>
            </w:r>
          </w:p>
        </w:tc>
      </w:tr>
      <w:tr>
        <w:tc>
          <w:tcPr>
            <w:tcW w:type="dxa" w:w="1008"/>
            <w:shd w:fill="FCE5CD"/>
            <w:vAlign w:val="top"/>
            <w:tcMar>
              <w:top w:w="80" w:type="dxa"/>
              <w:start w:w="80" w:type="dxa"/>
              <w:bottom w:w="80" w:type="dxa"/>
              <w:end w:w="80" w:type="dxa"/>
            </w:tcMar>
          </w:tcPr>
          <w:p>
            <w:r>
              <w:rPr>
                <w:sz w:val="17"/>
              </w:rPr>
            </w:r>
            <w:r>
              <w:rPr>
                <w:b w:val="0"/>
                <w:sz w:val="17"/>
              </w:rPr>
              <w:t>P1</w:t>
            </w:r>
          </w:p>
        </w:tc>
        <w:tc>
          <w:tcPr>
            <w:tcW w:type="dxa" w:w="2304"/>
            <w:vAlign w:val="top"/>
            <w:tcMar>
              <w:top w:w="80" w:type="dxa"/>
              <w:start w:w="80" w:type="dxa"/>
              <w:bottom w:w="80" w:type="dxa"/>
              <w:end w:w="80" w:type="dxa"/>
            </w:tcMar>
          </w:tcPr>
          <w:p>
            <w:r>
              <w:rPr>
                <w:sz w:val="17"/>
              </w:rPr>
            </w:r>
            <w:r>
              <w:rPr>
                <w:b w:val="0"/>
                <w:sz w:val="17"/>
              </w:rPr>
              <w:t>Tick stream volume may overload Redis/Postgres on 16 GB RAM</w:t>
            </w:r>
          </w:p>
        </w:tc>
        <w:tc>
          <w:tcPr>
            <w:tcW w:type="dxa" w:w="3888"/>
            <w:vAlign w:val="top"/>
            <w:tcMar>
              <w:top w:w="80" w:type="dxa"/>
              <w:start w:w="80" w:type="dxa"/>
              <w:bottom w:w="80" w:type="dxa"/>
              <w:end w:w="80" w:type="dxa"/>
            </w:tcMar>
          </w:tcPr>
          <w:p>
            <w:r>
              <w:rPr>
                <w:sz w:val="17"/>
              </w:rPr>
            </w:r>
            <w:r>
              <w:rPr>
                <w:b w:val="0"/>
                <w:sz w:val="17"/>
              </w:rPr>
              <w:t>Using Redis streams/cache for ticks is reasonable at small scale, but every tick as durable stream data can grow quickly. On a single 16 GB PC, Redis, TimescaleDB, Node services, Rust services, browser, IDE, and backtests will compete for memory.</w:t>
            </w:r>
          </w:p>
        </w:tc>
        <w:tc>
          <w:tcPr>
            <w:tcW w:type="dxa" w:w="3888"/>
            <w:vAlign w:val="top"/>
            <w:tcMar>
              <w:top w:w="80" w:type="dxa"/>
              <w:start w:w="80" w:type="dxa"/>
              <w:bottom w:w="80" w:type="dxa"/>
              <w:end w:w="80" w:type="dxa"/>
            </w:tcMar>
          </w:tcPr>
          <w:p>
            <w:r>
              <w:rPr>
                <w:sz w:val="17"/>
              </w:rPr>
            </w:r>
            <w:r>
              <w:rPr>
                <w:b w:val="0"/>
                <w:sz w:val="17"/>
              </w:rPr>
              <w:t>Separate ephemeral UI ticks from durable signals/orders. Use stream maxlen per instrument, downsample UI ticks, persist OHLC/candles instead of all ticks unless required, and add memory/CPU quotas.</w:t>
            </w:r>
          </w:p>
        </w:tc>
      </w:tr>
      <w:tr>
        <w:tc>
          <w:tcPr>
            <w:tcW w:type="dxa" w:w="1008"/>
            <w:shd w:fill="FCE5CD"/>
            <w:vAlign w:val="top"/>
            <w:tcMar>
              <w:top w:w="80" w:type="dxa"/>
              <w:start w:w="80" w:type="dxa"/>
              <w:bottom w:w="80" w:type="dxa"/>
              <w:end w:w="80" w:type="dxa"/>
            </w:tcMar>
          </w:tcPr>
          <w:p>
            <w:r>
              <w:rPr>
                <w:sz w:val="17"/>
              </w:rPr>
            </w:r>
            <w:r>
              <w:rPr>
                <w:b w:val="0"/>
                <w:sz w:val="17"/>
              </w:rPr>
              <w:t>P1</w:t>
            </w:r>
          </w:p>
        </w:tc>
        <w:tc>
          <w:tcPr>
            <w:tcW w:type="dxa" w:w="2304"/>
            <w:vAlign w:val="top"/>
            <w:tcMar>
              <w:top w:w="80" w:type="dxa"/>
              <w:start w:w="80" w:type="dxa"/>
              <w:bottom w:w="80" w:type="dxa"/>
              <w:end w:w="80" w:type="dxa"/>
            </w:tcMar>
          </w:tcPr>
          <w:p>
            <w:r>
              <w:rPr>
                <w:sz w:val="17"/>
              </w:rPr>
            </w:r>
            <w:r>
              <w:rPr>
                <w:b w:val="0"/>
                <w:sz w:val="17"/>
              </w:rPr>
              <w:t>Backtest workload can disturb live workload</w:t>
            </w:r>
          </w:p>
        </w:tc>
        <w:tc>
          <w:tcPr>
            <w:tcW w:type="dxa" w:w="3888"/>
            <w:vAlign w:val="top"/>
            <w:tcMar>
              <w:top w:w="80" w:type="dxa"/>
              <w:start w:w="80" w:type="dxa"/>
              <w:bottom w:w="80" w:type="dxa"/>
              <w:end w:w="80" w:type="dxa"/>
            </w:tcMar>
          </w:tcPr>
          <w:p>
            <w:r>
              <w:rPr>
                <w:sz w:val="17"/>
              </w:rPr>
            </w:r>
            <w:r>
              <w:rPr>
                <w:b w:val="0"/>
                <w:sz w:val="17"/>
              </w:rPr>
              <w:t>Backtests and optimizations can be CPU, memory, and disk intensive. Running them beside live ingestion and order execution on the same machine can add latency and missed ticks.</w:t>
            </w:r>
          </w:p>
        </w:tc>
        <w:tc>
          <w:tcPr>
            <w:tcW w:type="dxa" w:w="3888"/>
            <w:vAlign w:val="top"/>
            <w:tcMar>
              <w:top w:w="80" w:type="dxa"/>
              <w:start w:w="80" w:type="dxa"/>
              <w:bottom w:w="80" w:type="dxa"/>
              <w:end w:w="80" w:type="dxa"/>
            </w:tcMar>
          </w:tcPr>
          <w:p>
            <w:r>
              <w:rPr>
                <w:sz w:val="17"/>
              </w:rPr>
            </w:r>
            <w:r>
              <w:rPr>
                <w:b w:val="0"/>
                <w:sz w:val="17"/>
              </w:rPr>
              <w:t>Never run heavy backtests on the live host during market hours. Use compose profiles, resource limits, a job queue with scheduling windows, or a separate backtest machine.</w:t>
            </w:r>
          </w:p>
        </w:tc>
      </w:tr>
      <w:tr>
        <w:tc>
          <w:tcPr>
            <w:tcW w:type="dxa" w:w="1008"/>
            <w:shd w:fill="FCE5CD"/>
            <w:vAlign w:val="top"/>
            <w:tcMar>
              <w:top w:w="80" w:type="dxa"/>
              <w:start w:w="80" w:type="dxa"/>
              <w:bottom w:w="80" w:type="dxa"/>
              <w:end w:w="80" w:type="dxa"/>
            </w:tcMar>
          </w:tcPr>
          <w:p>
            <w:r>
              <w:rPr>
                <w:sz w:val="17"/>
              </w:rPr>
            </w:r>
            <w:r>
              <w:rPr>
                <w:b w:val="0"/>
                <w:sz w:val="17"/>
              </w:rPr>
              <w:t>P1</w:t>
            </w:r>
          </w:p>
        </w:tc>
        <w:tc>
          <w:tcPr>
            <w:tcW w:type="dxa" w:w="2304"/>
            <w:vAlign w:val="top"/>
            <w:tcMar>
              <w:top w:w="80" w:type="dxa"/>
              <w:start w:w="80" w:type="dxa"/>
              <w:bottom w:w="80" w:type="dxa"/>
              <w:end w:w="80" w:type="dxa"/>
            </w:tcMar>
          </w:tcPr>
          <w:p>
            <w:r>
              <w:rPr>
                <w:sz w:val="17"/>
              </w:rPr>
            </w:r>
            <w:r>
              <w:rPr>
                <w:b w:val="0"/>
                <w:sz w:val="17"/>
              </w:rPr>
              <w:t>Observability is partial and uneven</w:t>
            </w:r>
          </w:p>
        </w:tc>
        <w:tc>
          <w:tcPr>
            <w:tcW w:type="dxa" w:w="3888"/>
            <w:vAlign w:val="top"/>
            <w:tcMar>
              <w:top w:w="80" w:type="dxa"/>
              <w:start w:w="80" w:type="dxa"/>
              <w:bottom w:w="80" w:type="dxa"/>
              <w:end w:w="80" w:type="dxa"/>
            </w:tcMar>
          </w:tcPr>
          <w:p>
            <w:r>
              <w:rPr>
                <w:sz w:val="17"/>
              </w:rPr>
            </w:r>
            <w:r>
              <w:rPr>
                <w:b w:val="0"/>
                <w:sz w:val="17"/>
              </w:rPr>
              <w:t>Backtest has optional Prometheus/Grafana, but the live path needs trading-specific metrics. Logs alone cannot tell whether a strategy is late, a consumer is lagging, or broker order status reconciliation is stuck.</w:t>
            </w:r>
          </w:p>
        </w:tc>
        <w:tc>
          <w:tcPr>
            <w:tcW w:type="dxa" w:w="3888"/>
            <w:vAlign w:val="top"/>
            <w:tcMar>
              <w:top w:w="80" w:type="dxa"/>
              <w:start w:w="80" w:type="dxa"/>
              <w:bottom w:w="80" w:type="dxa"/>
              <w:end w:w="80" w:type="dxa"/>
            </w:tcMar>
          </w:tcPr>
          <w:p>
            <w:r>
              <w:rPr>
                <w:sz w:val="17"/>
              </w:rPr>
            </w:r>
            <w:r>
              <w:rPr>
                <w:b w:val="0"/>
                <w:sz w:val="17"/>
              </w:rPr>
              <w:t>Instrument every service with metrics and traces: tick ingest latency, stream lag, strategy eval duration, signal-to-order latency, order round trip, DB write latency, rejected orders, reconnects, and dropped ticks.</w:t>
            </w:r>
          </w:p>
        </w:tc>
      </w:tr>
      <w:tr>
        <w:tc>
          <w:tcPr>
            <w:tcW w:type="dxa" w:w="1008"/>
            <w:shd w:fill="FCE5CD"/>
            <w:vAlign w:val="top"/>
            <w:tcMar>
              <w:top w:w="80" w:type="dxa"/>
              <w:start w:w="80" w:type="dxa"/>
              <w:bottom w:w="80" w:type="dxa"/>
              <w:end w:w="80" w:type="dxa"/>
            </w:tcMar>
          </w:tcPr>
          <w:p>
            <w:r>
              <w:rPr>
                <w:sz w:val="17"/>
              </w:rPr>
            </w:r>
            <w:r>
              <w:rPr>
                <w:b w:val="0"/>
                <w:sz w:val="17"/>
              </w:rPr>
              <w:t>P1</w:t>
            </w:r>
          </w:p>
        </w:tc>
        <w:tc>
          <w:tcPr>
            <w:tcW w:type="dxa" w:w="2304"/>
            <w:vAlign w:val="top"/>
            <w:tcMar>
              <w:top w:w="80" w:type="dxa"/>
              <w:start w:w="80" w:type="dxa"/>
              <w:bottom w:w="80" w:type="dxa"/>
              <w:end w:w="80" w:type="dxa"/>
            </w:tcMar>
          </w:tcPr>
          <w:p>
            <w:r>
              <w:rPr>
                <w:sz w:val="17"/>
              </w:rPr>
            </w:r>
            <w:r>
              <w:rPr>
                <w:b w:val="0"/>
                <w:sz w:val="17"/>
              </w:rPr>
              <w:t>Security secrets appear environment-file based</w:t>
            </w:r>
          </w:p>
        </w:tc>
        <w:tc>
          <w:tcPr>
            <w:tcW w:type="dxa" w:w="3888"/>
            <w:vAlign w:val="top"/>
            <w:tcMar>
              <w:top w:w="80" w:type="dxa"/>
              <w:start w:w="80" w:type="dxa"/>
              <w:bottom w:w="80" w:type="dxa"/>
              <w:end w:w="80" w:type="dxa"/>
            </w:tcMar>
          </w:tcPr>
          <w:p>
            <w:r>
              <w:rPr>
                <w:sz w:val="17"/>
              </w:rPr>
            </w:r>
            <w:r>
              <w:rPr>
                <w:b w:val="0"/>
                <w:sz w:val="17"/>
              </w:rPr>
              <w:t>The architecture uses .env-driven configuration. This is fine for development, but broker credentials, JWT secrets, API keys, and database passwords need stronger handling in production.</w:t>
            </w:r>
          </w:p>
        </w:tc>
        <w:tc>
          <w:tcPr>
            <w:tcW w:type="dxa" w:w="3888"/>
            <w:vAlign w:val="top"/>
            <w:tcMar>
              <w:top w:w="80" w:type="dxa"/>
              <w:start w:w="80" w:type="dxa"/>
              <w:bottom w:w="80" w:type="dxa"/>
              <w:end w:w="80" w:type="dxa"/>
            </w:tcMar>
          </w:tcPr>
          <w:p>
            <w:r>
              <w:rPr>
                <w:sz w:val="17"/>
              </w:rPr>
            </w:r>
            <w:r>
              <w:rPr>
                <w:b w:val="0"/>
                <w:sz w:val="17"/>
              </w:rPr>
              <w:t>Use separate dev/prod envs, no credentials in repo, file permissions, encrypted secrets, key rotation, credential audit, and encrypted storage for broker tokens/refresh tokens.</w:t>
            </w:r>
          </w:p>
        </w:tc>
      </w:tr>
      <w:tr>
        <w:tc>
          <w:tcPr>
            <w:tcW w:type="dxa" w:w="1008"/>
            <w:shd w:fill="FCE5CD"/>
            <w:vAlign w:val="top"/>
            <w:tcMar>
              <w:top w:w="80" w:type="dxa"/>
              <w:start w:w="80" w:type="dxa"/>
              <w:bottom w:w="80" w:type="dxa"/>
              <w:end w:w="80" w:type="dxa"/>
            </w:tcMar>
          </w:tcPr>
          <w:p>
            <w:r>
              <w:rPr>
                <w:sz w:val="17"/>
              </w:rPr>
            </w:r>
            <w:r>
              <w:rPr>
                <w:b w:val="0"/>
                <w:sz w:val="17"/>
              </w:rPr>
              <w:t>P1</w:t>
            </w:r>
          </w:p>
        </w:tc>
        <w:tc>
          <w:tcPr>
            <w:tcW w:type="dxa" w:w="2304"/>
            <w:vAlign w:val="top"/>
            <w:tcMar>
              <w:top w:w="80" w:type="dxa"/>
              <w:start w:w="80" w:type="dxa"/>
              <w:bottom w:w="80" w:type="dxa"/>
              <w:end w:w="80" w:type="dxa"/>
            </w:tcMar>
          </w:tcPr>
          <w:p>
            <w:r>
              <w:rPr>
                <w:sz w:val="17"/>
              </w:rPr>
            </w:r>
            <w:r>
              <w:rPr>
                <w:b w:val="0"/>
                <w:sz w:val="17"/>
              </w:rPr>
              <w:t>Live/backtest parity is assumed, not proven</w:t>
            </w:r>
          </w:p>
        </w:tc>
        <w:tc>
          <w:tcPr>
            <w:tcW w:type="dxa" w:w="3888"/>
            <w:vAlign w:val="top"/>
            <w:tcMar>
              <w:top w:w="80" w:type="dxa"/>
              <w:start w:w="80" w:type="dxa"/>
              <w:bottom w:w="80" w:type="dxa"/>
              <w:end w:w="80" w:type="dxa"/>
            </w:tcMar>
          </w:tcPr>
          <w:p>
            <w:r>
              <w:rPr>
                <w:sz w:val="17"/>
              </w:rPr>
            </w:r>
            <w:r>
              <w:rPr>
                <w:b w:val="0"/>
                <w:sz w:val="17"/>
              </w:rPr>
              <w:t>Reusable strategy crates are strong, but parity also depends on market data normalization, timezone, fees, slippage, partial fills, order rejections, and state resets.</w:t>
            </w:r>
          </w:p>
        </w:tc>
        <w:tc>
          <w:tcPr>
            <w:tcW w:type="dxa" w:w="3888"/>
            <w:vAlign w:val="top"/>
            <w:tcMar>
              <w:top w:w="80" w:type="dxa"/>
              <w:start w:w="80" w:type="dxa"/>
              <w:bottom w:w="80" w:type="dxa"/>
              <w:end w:w="80" w:type="dxa"/>
            </w:tcMar>
          </w:tcPr>
          <w:p>
            <w:r>
              <w:rPr>
                <w:sz w:val="17"/>
              </w:rPr>
            </w:r>
            <w:r>
              <w:rPr>
                <w:b w:val="0"/>
                <w:sz w:val="17"/>
              </w:rPr>
              <w:t>Create golden replay tests: feed captured live ticks into both backtest/simulation and live engine in dry-run mode and compare decisions, orders, and state transitions.</w:t>
            </w:r>
          </w:p>
        </w:tc>
      </w:tr>
      <w:tr>
        <w:tc>
          <w:tcPr>
            <w:tcW w:type="dxa" w:w="1008"/>
            <w:shd w:fill="FFF2CC"/>
            <w:vAlign w:val="top"/>
            <w:tcMar>
              <w:top w:w="80" w:type="dxa"/>
              <w:start w:w="80" w:type="dxa"/>
              <w:bottom w:w="80" w:type="dxa"/>
              <w:end w:w="80" w:type="dxa"/>
            </w:tcMar>
          </w:tcPr>
          <w:p>
            <w:r>
              <w:rPr>
                <w:sz w:val="17"/>
              </w:rPr>
            </w:r>
            <w:r>
              <w:rPr>
                <w:b w:val="0"/>
                <w:sz w:val="17"/>
              </w:rPr>
              <w:t>P2</w:t>
            </w:r>
          </w:p>
        </w:tc>
        <w:tc>
          <w:tcPr>
            <w:tcW w:type="dxa" w:w="2304"/>
            <w:vAlign w:val="top"/>
            <w:tcMar>
              <w:top w:w="80" w:type="dxa"/>
              <w:start w:w="80" w:type="dxa"/>
              <w:bottom w:w="80" w:type="dxa"/>
              <w:end w:w="80" w:type="dxa"/>
            </w:tcMar>
          </w:tcPr>
          <w:p>
            <w:r>
              <w:rPr>
                <w:sz w:val="17"/>
              </w:rPr>
            </w:r>
            <w:r>
              <w:rPr>
                <w:b w:val="0"/>
                <w:sz w:val="17"/>
              </w:rPr>
              <w:t>API server supports multiple modes but compose starts one service</w:t>
            </w:r>
          </w:p>
        </w:tc>
        <w:tc>
          <w:tcPr>
            <w:tcW w:type="dxa" w:w="3888"/>
            <w:vAlign w:val="top"/>
            <w:tcMar>
              <w:top w:w="80" w:type="dxa"/>
              <w:start w:w="80" w:type="dxa"/>
              <w:bottom w:w="80" w:type="dxa"/>
              <w:end w:w="80" w:type="dxa"/>
            </w:tcMar>
          </w:tcPr>
          <w:p>
            <w:r>
              <w:rPr>
                <w:sz w:val="17"/>
              </w:rPr>
            </w:r>
            <w:r>
              <w:rPr>
                <w:b w:val="0"/>
                <w:sz w:val="17"/>
              </w:rPr>
              <w:t>A single combined API/worker service increases blast radius. Cron jobs, market maintenance, and broker operations can compete with REST requests.</w:t>
            </w:r>
          </w:p>
        </w:tc>
        <w:tc>
          <w:tcPr>
            <w:tcW w:type="dxa" w:w="3888"/>
            <w:vAlign w:val="top"/>
            <w:tcMar>
              <w:top w:w="80" w:type="dxa"/>
              <w:start w:w="80" w:type="dxa"/>
              <w:bottom w:w="80" w:type="dxa"/>
              <w:end w:w="80" w:type="dxa"/>
            </w:tcMar>
          </w:tcPr>
          <w:p>
            <w:r>
              <w:rPr>
                <w:sz w:val="17"/>
              </w:rPr>
            </w:r>
            <w:r>
              <w:rPr>
                <w:b w:val="0"/>
                <w:sz w:val="17"/>
              </w:rPr>
              <w:t>Split API, scheduler/worker, and broker-maintenance roles into separate containers using the existing NODE_APP_MODE design.</w:t>
            </w:r>
          </w:p>
        </w:tc>
      </w:tr>
      <w:tr>
        <w:tc>
          <w:tcPr>
            <w:tcW w:type="dxa" w:w="1008"/>
            <w:shd w:fill="FFF2CC"/>
            <w:vAlign w:val="top"/>
            <w:tcMar>
              <w:top w:w="80" w:type="dxa"/>
              <w:start w:w="80" w:type="dxa"/>
              <w:bottom w:w="80" w:type="dxa"/>
              <w:end w:w="80" w:type="dxa"/>
            </w:tcMar>
          </w:tcPr>
          <w:p>
            <w:r>
              <w:rPr>
                <w:sz w:val="17"/>
              </w:rPr>
            </w:r>
            <w:r>
              <w:rPr>
                <w:b w:val="0"/>
                <w:sz w:val="17"/>
              </w:rPr>
              <w:t>P2</w:t>
            </w:r>
          </w:p>
        </w:tc>
        <w:tc>
          <w:tcPr>
            <w:tcW w:type="dxa" w:w="2304"/>
            <w:vAlign w:val="top"/>
            <w:tcMar>
              <w:top w:w="80" w:type="dxa"/>
              <w:start w:w="80" w:type="dxa"/>
              <w:bottom w:w="80" w:type="dxa"/>
              <w:end w:w="80" w:type="dxa"/>
            </w:tcMar>
          </w:tcPr>
          <w:p>
            <w:r>
              <w:rPr>
                <w:sz w:val="17"/>
              </w:rPr>
            </w:r>
            <w:r>
              <w:rPr>
                <w:b w:val="0"/>
                <w:sz w:val="17"/>
              </w:rPr>
              <w:t>Generated/vendor directories dominate graph size</w:t>
            </w:r>
          </w:p>
        </w:tc>
        <w:tc>
          <w:tcPr>
            <w:tcW w:type="dxa" w:w="3888"/>
            <w:vAlign w:val="top"/>
            <w:tcMar>
              <w:top w:w="80" w:type="dxa"/>
              <w:start w:w="80" w:type="dxa"/>
              <w:bottom w:w="80" w:type="dxa"/>
              <w:end w:w="80" w:type="dxa"/>
            </w:tcMar>
          </w:tcPr>
          <w:p>
            <w:r>
              <w:rPr>
                <w:sz w:val="17"/>
              </w:rPr>
            </w:r>
            <w:r>
              <w:rPr>
                <w:b w:val="0"/>
                <w:sz w:val="17"/>
              </w:rPr>
              <w:t>The architecture report says graphify includes 90k nodes and generated folders dominate. This reduces signal quality in analysis and onboarding.</w:t>
            </w:r>
          </w:p>
        </w:tc>
        <w:tc>
          <w:tcPr>
            <w:tcW w:type="dxa" w:w="3888"/>
            <w:vAlign w:val="top"/>
            <w:tcMar>
              <w:top w:w="80" w:type="dxa"/>
              <w:start w:w="80" w:type="dxa"/>
              <w:bottom w:w="80" w:type="dxa"/>
              <w:end w:w="80" w:type="dxa"/>
            </w:tcMar>
          </w:tcPr>
          <w:p>
            <w:r>
              <w:rPr>
                <w:sz w:val="17"/>
              </w:rPr>
            </w:r>
            <w:r>
              <w:rPr>
                <w:b w:val="0"/>
                <w:sz w:val="17"/>
              </w:rPr>
              <w:t>Exclude node_modules, target, .next, graphify cache, vendor, old-software, and Trash from architecture scans and CI analysis.</w:t>
            </w:r>
          </w:p>
        </w:tc>
      </w:tr>
    </w:tbl>
    <w:p>
      <w:pPr>
        <w:pStyle w:val="Heading1"/>
      </w:pPr>
      <w:r>
        <w:t>4. Recommended Target Architecture</w:t>
      </w:r>
    </w:p>
    <w:p>
      <w:r>
        <w:t>The immediate target should not be Kubernetes. The immediate target should be a hardened single-live-host architecture with clear boundaries, resource isolation, backups, and observability. Kubernetes becomes useful only after you need multi-node scheduling, automated rollouts, service discovery, and higher operational scale.</w:t>
      </w:r>
    </w:p>
    <w:p>
      <w:pPr>
        <w:pStyle w:val="CodeBlock"/>
      </w:pPr>
      <w:r>
        <w:t>Recommended near-term topology</w:t>
        <w:br/>
        <w:br/>
        <w:t>Developer laptop/desktop</w:t>
        <w:br/>
        <w:t xml:space="preserve">  - Code, tests, local paper mode, backtest experiments</w:t>
        <w:br/>
        <w:t xml:space="preserve">  - No real broker credentials used for production capital</w:t>
        <w:br/>
        <w:br/>
        <w:t>Dedicated live host / VPS / mini server</w:t>
        <w:br/>
        <w:t xml:space="preserve">  - nginx/TLS entrypoint</w:t>
        <w:br/>
        <w:t xml:space="preserve">  - frontend static/standalone Next.js</w:t>
        <w:br/>
        <w:t xml:space="preserve">  - api-server container</w:t>
        <w:br/>
        <w:t xml:space="preserve">  - worker/scheduler container</w:t>
        <w:br/>
        <w:t xml:space="preserve">  - notification container</w:t>
        <w:br/>
        <w:t xml:space="preserve">  - rust-ws market data container</w:t>
        <w:br/>
        <w:t xml:space="preserve">  - rust-engine strategy runtime container</w:t>
        <w:br/>
        <w:t xml:space="preserve">  - oms-risk container (new)</w:t>
        <w:br/>
        <w:t xml:space="preserve">  - postgres/timescale volume with backup job</w:t>
        <w:br/>
        <w:t xml:space="preserve">  - redis with explicit persistence/retention policy</w:t>
        <w:br/>
        <w:t xml:space="preserve">  - prometheus + grafana + alertmanager</w:t>
        <w:br/>
        <w:br/>
        <w:t>External</w:t>
        <w:br/>
        <w:t xml:space="preserve">  - Broker/market data provider</w:t>
        <w:br/>
        <w:t xml:space="preserve">  - Off-host encrypted backups</w:t>
        <w:br/>
        <w:t xml:space="preserve">  - Optional second data source / broker status probe</w:t>
        <w:br/>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1728"/>
            <w:shd w:fill="1F4E79"/>
            <w:vAlign w:val="top"/>
            <w:tcMar>
              <w:top w:w="80" w:type="dxa"/>
              <w:start w:w="80" w:type="dxa"/>
              <w:bottom w:w="80" w:type="dxa"/>
              <w:end w:w="80" w:type="dxa"/>
            </w:tcMar>
          </w:tcPr>
          <w:p>
            <w:r>
              <w:rPr>
                <w:color w:val="FFFFFF"/>
                <w:sz w:val="17"/>
              </w:rPr>
            </w:r>
            <w:r>
              <w:rPr>
                <w:b/>
                <w:color w:val="FFFFFF"/>
                <w:sz w:val="17"/>
              </w:rPr>
              <w:t>Boundary</w:t>
            </w:r>
          </w:p>
        </w:tc>
        <w:tc>
          <w:tcPr>
            <w:tcW w:type="dxa" w:w="2880"/>
            <w:shd w:fill="1F4E79"/>
            <w:vAlign w:val="top"/>
            <w:tcMar>
              <w:top w:w="80" w:type="dxa"/>
              <w:start w:w="80" w:type="dxa"/>
              <w:bottom w:w="80" w:type="dxa"/>
              <w:end w:w="80" w:type="dxa"/>
            </w:tcMar>
          </w:tcPr>
          <w:p>
            <w:r>
              <w:rPr>
                <w:color w:val="FFFFFF"/>
                <w:sz w:val="17"/>
              </w:rPr>
            </w:r>
            <w:r>
              <w:rPr>
                <w:b/>
                <w:color w:val="FFFFFF"/>
                <w:sz w:val="17"/>
              </w:rPr>
              <w:t>Should own</w:t>
            </w:r>
          </w:p>
        </w:tc>
        <w:tc>
          <w:tcPr>
            <w:tcW w:type="dxa" w:w="2880"/>
            <w:shd w:fill="1F4E79"/>
            <w:vAlign w:val="top"/>
            <w:tcMar>
              <w:top w:w="80" w:type="dxa"/>
              <w:start w:w="80" w:type="dxa"/>
              <w:bottom w:w="80" w:type="dxa"/>
              <w:end w:w="80" w:type="dxa"/>
            </w:tcMar>
          </w:tcPr>
          <w:p>
            <w:r>
              <w:rPr>
                <w:color w:val="FFFFFF"/>
                <w:sz w:val="17"/>
              </w:rPr>
            </w:r>
            <w:r>
              <w:rPr>
                <w:b/>
                <w:color w:val="FFFFFF"/>
                <w:sz w:val="17"/>
              </w:rPr>
              <w:t>Should not own</w:t>
            </w:r>
          </w:p>
        </w:tc>
        <w:tc>
          <w:tcPr>
            <w:tcW w:type="dxa" w:w="3168"/>
            <w:shd w:fill="1F4E79"/>
            <w:vAlign w:val="top"/>
            <w:tcMar>
              <w:top w:w="80" w:type="dxa"/>
              <w:start w:w="80" w:type="dxa"/>
              <w:bottom w:w="80" w:type="dxa"/>
              <w:end w:w="80" w:type="dxa"/>
            </w:tcMar>
          </w:tcPr>
          <w:p>
            <w:r>
              <w:rPr>
                <w:color w:val="FFFFFF"/>
                <w:sz w:val="17"/>
              </w:rPr>
            </w:r>
            <w:r>
              <w:rPr>
                <w:b/>
                <w:color w:val="FFFFFF"/>
                <w:sz w:val="17"/>
              </w:rPr>
              <w:t>Reason</w:t>
            </w:r>
          </w:p>
        </w:tc>
      </w:tr>
      <w:tr>
        <w:tc>
          <w:tcPr>
            <w:tcW w:type="dxa" w:w="1728"/>
            <w:vAlign w:val="top"/>
            <w:tcMar>
              <w:top w:w="80" w:type="dxa"/>
              <w:start w:w="80" w:type="dxa"/>
              <w:bottom w:w="80" w:type="dxa"/>
              <w:end w:w="80" w:type="dxa"/>
            </w:tcMar>
          </w:tcPr>
          <w:p>
            <w:r>
              <w:rPr>
                <w:sz w:val="17"/>
              </w:rPr>
            </w:r>
            <w:r>
              <w:rPr>
                <w:b w:val="0"/>
                <w:sz w:val="17"/>
              </w:rPr>
              <w:t>Frontend</w:t>
            </w:r>
          </w:p>
        </w:tc>
        <w:tc>
          <w:tcPr>
            <w:tcW w:type="dxa" w:w="2880"/>
            <w:vAlign w:val="top"/>
            <w:tcMar>
              <w:top w:w="80" w:type="dxa"/>
              <w:start w:w="80" w:type="dxa"/>
              <w:bottom w:w="80" w:type="dxa"/>
              <w:end w:w="80" w:type="dxa"/>
            </w:tcMar>
          </w:tcPr>
          <w:p>
            <w:r>
              <w:rPr>
                <w:sz w:val="17"/>
              </w:rPr>
            </w:r>
            <w:r>
              <w:rPr>
                <w:b w:val="0"/>
                <w:sz w:val="17"/>
              </w:rPr>
              <w:t>User workflows, dashboards, realtime display, stale-data indicators, approvals UI.</w:t>
            </w:r>
          </w:p>
        </w:tc>
        <w:tc>
          <w:tcPr>
            <w:tcW w:type="dxa" w:w="2880"/>
            <w:vAlign w:val="top"/>
            <w:tcMar>
              <w:top w:w="80" w:type="dxa"/>
              <w:start w:w="80" w:type="dxa"/>
              <w:bottom w:w="80" w:type="dxa"/>
              <w:end w:w="80" w:type="dxa"/>
            </w:tcMar>
          </w:tcPr>
          <w:p>
            <w:r>
              <w:rPr>
                <w:sz w:val="17"/>
              </w:rPr>
            </w:r>
            <w:r>
              <w:rPr>
                <w:b w:val="0"/>
                <w:sz w:val="17"/>
              </w:rPr>
              <w:t>Trading safety decisions or hidden business rules.</w:t>
            </w:r>
          </w:p>
        </w:tc>
        <w:tc>
          <w:tcPr>
            <w:tcW w:type="dxa" w:w="3168"/>
            <w:vAlign w:val="top"/>
            <w:tcMar>
              <w:top w:w="80" w:type="dxa"/>
              <w:start w:w="80" w:type="dxa"/>
              <w:bottom w:w="80" w:type="dxa"/>
              <w:end w:w="80" w:type="dxa"/>
            </w:tcMar>
          </w:tcPr>
          <w:p>
            <w:r>
              <w:rPr>
                <w:sz w:val="17"/>
              </w:rPr>
            </w:r>
            <w:r>
              <w:rPr>
                <w:b w:val="0"/>
                <w:sz w:val="17"/>
              </w:rPr>
              <w:t>The UI can disconnect or become stale; safety must live server-side.</w:t>
            </w:r>
          </w:p>
        </w:tc>
      </w:tr>
      <w:tr>
        <w:tc>
          <w:tcPr>
            <w:tcW w:type="dxa" w:w="1728"/>
            <w:vAlign w:val="top"/>
            <w:tcMar>
              <w:top w:w="80" w:type="dxa"/>
              <w:start w:w="80" w:type="dxa"/>
              <w:bottom w:w="80" w:type="dxa"/>
              <w:end w:w="80" w:type="dxa"/>
            </w:tcMar>
          </w:tcPr>
          <w:p>
            <w:r>
              <w:rPr>
                <w:sz w:val="17"/>
              </w:rPr>
            </w:r>
            <w:r>
              <w:rPr>
                <w:b w:val="0"/>
                <w:sz w:val="17"/>
              </w:rPr>
              <w:t>API control plane</w:t>
            </w:r>
          </w:p>
        </w:tc>
        <w:tc>
          <w:tcPr>
            <w:tcW w:type="dxa" w:w="2880"/>
            <w:vAlign w:val="top"/>
            <w:tcMar>
              <w:top w:w="80" w:type="dxa"/>
              <w:start w:w="80" w:type="dxa"/>
              <w:bottom w:w="80" w:type="dxa"/>
              <w:end w:w="80" w:type="dxa"/>
            </w:tcMar>
          </w:tcPr>
          <w:p>
            <w:r>
              <w:rPr>
                <w:sz w:val="17"/>
              </w:rPr>
            </w:r>
            <w:r>
              <w:rPr>
                <w:b w:val="0"/>
                <w:sz w:val="17"/>
              </w:rPr>
              <w:t>Auth, RBAC, strategy deployment CRUD, broker account setup, approval actions, admin views.</w:t>
            </w:r>
          </w:p>
        </w:tc>
        <w:tc>
          <w:tcPr>
            <w:tcW w:type="dxa" w:w="2880"/>
            <w:vAlign w:val="top"/>
            <w:tcMar>
              <w:top w:w="80" w:type="dxa"/>
              <w:start w:w="80" w:type="dxa"/>
              <w:bottom w:w="80" w:type="dxa"/>
              <w:end w:w="80" w:type="dxa"/>
            </w:tcMar>
          </w:tcPr>
          <w:p>
            <w:r>
              <w:rPr>
                <w:sz w:val="17"/>
              </w:rPr>
            </w:r>
            <w:r>
              <w:rPr>
                <w:b w:val="0"/>
                <w:sz w:val="17"/>
              </w:rPr>
              <w:t>Direct live order placement bypassing OMS/risk.</w:t>
            </w:r>
          </w:p>
        </w:tc>
        <w:tc>
          <w:tcPr>
            <w:tcW w:type="dxa" w:w="3168"/>
            <w:vAlign w:val="top"/>
            <w:tcMar>
              <w:top w:w="80" w:type="dxa"/>
              <w:start w:w="80" w:type="dxa"/>
              <w:bottom w:w="80" w:type="dxa"/>
              <w:end w:w="80" w:type="dxa"/>
            </w:tcMar>
          </w:tcPr>
          <w:p>
            <w:r>
              <w:rPr>
                <w:sz w:val="17"/>
              </w:rPr>
            </w:r>
            <w:r>
              <w:rPr>
                <w:b w:val="0"/>
                <w:sz w:val="17"/>
              </w:rPr>
              <w:t>Keeps user workflows separate from capital-risk operations.</w:t>
            </w:r>
          </w:p>
        </w:tc>
      </w:tr>
      <w:tr>
        <w:tc>
          <w:tcPr>
            <w:tcW w:type="dxa" w:w="1728"/>
            <w:vAlign w:val="top"/>
            <w:tcMar>
              <w:top w:w="80" w:type="dxa"/>
              <w:start w:w="80" w:type="dxa"/>
              <w:bottom w:w="80" w:type="dxa"/>
              <w:end w:w="80" w:type="dxa"/>
            </w:tcMar>
          </w:tcPr>
          <w:p>
            <w:r>
              <w:rPr>
                <w:sz w:val="17"/>
              </w:rPr>
            </w:r>
            <w:r>
              <w:rPr>
                <w:b w:val="0"/>
                <w:sz w:val="17"/>
              </w:rPr>
              <w:t>rust-ws</w:t>
            </w:r>
          </w:p>
        </w:tc>
        <w:tc>
          <w:tcPr>
            <w:tcW w:type="dxa" w:w="2880"/>
            <w:vAlign w:val="top"/>
            <w:tcMar>
              <w:top w:w="80" w:type="dxa"/>
              <w:start w:w="80" w:type="dxa"/>
              <w:bottom w:w="80" w:type="dxa"/>
              <w:end w:w="80" w:type="dxa"/>
            </w:tcMar>
          </w:tcPr>
          <w:p>
            <w:r>
              <w:rPr>
                <w:sz w:val="17"/>
              </w:rPr>
            </w:r>
            <w:r>
              <w:rPr>
                <w:b w:val="0"/>
                <w:sz w:val="17"/>
              </w:rPr>
              <w:t>Broker session, websocket connection, subscription management, tick normalization, tick publish.</w:t>
            </w:r>
          </w:p>
        </w:tc>
        <w:tc>
          <w:tcPr>
            <w:tcW w:type="dxa" w:w="2880"/>
            <w:vAlign w:val="top"/>
            <w:tcMar>
              <w:top w:w="80" w:type="dxa"/>
              <w:start w:w="80" w:type="dxa"/>
              <w:bottom w:w="80" w:type="dxa"/>
              <w:end w:w="80" w:type="dxa"/>
            </w:tcMar>
          </w:tcPr>
          <w:p>
            <w:r>
              <w:rPr>
                <w:sz w:val="17"/>
              </w:rPr>
            </w:r>
            <w:r>
              <w:rPr>
                <w:b w:val="0"/>
                <w:sz w:val="17"/>
              </w:rPr>
              <w:t>Strategy decisions or order placement.</w:t>
            </w:r>
          </w:p>
        </w:tc>
        <w:tc>
          <w:tcPr>
            <w:tcW w:type="dxa" w:w="3168"/>
            <w:vAlign w:val="top"/>
            <w:tcMar>
              <w:top w:w="80" w:type="dxa"/>
              <w:start w:w="80" w:type="dxa"/>
              <w:bottom w:w="80" w:type="dxa"/>
              <w:end w:w="80" w:type="dxa"/>
            </w:tcMar>
          </w:tcPr>
          <w:p>
            <w:r>
              <w:rPr>
                <w:sz w:val="17"/>
              </w:rPr>
            </w:r>
            <w:r>
              <w:rPr>
                <w:b w:val="0"/>
                <w:sz w:val="17"/>
              </w:rPr>
              <w:t>Market data ingestion should be independently observable and restartable.</w:t>
            </w:r>
          </w:p>
        </w:tc>
      </w:tr>
      <w:tr>
        <w:tc>
          <w:tcPr>
            <w:tcW w:type="dxa" w:w="1728"/>
            <w:vAlign w:val="top"/>
            <w:tcMar>
              <w:top w:w="80" w:type="dxa"/>
              <w:start w:w="80" w:type="dxa"/>
              <w:bottom w:w="80" w:type="dxa"/>
              <w:end w:w="80" w:type="dxa"/>
            </w:tcMar>
          </w:tcPr>
          <w:p>
            <w:r>
              <w:rPr>
                <w:sz w:val="17"/>
              </w:rPr>
            </w:r>
            <w:r>
              <w:rPr>
                <w:b w:val="0"/>
                <w:sz w:val="17"/>
              </w:rPr>
              <w:t>rust-engine</w:t>
            </w:r>
          </w:p>
        </w:tc>
        <w:tc>
          <w:tcPr>
            <w:tcW w:type="dxa" w:w="2880"/>
            <w:vAlign w:val="top"/>
            <w:tcMar>
              <w:top w:w="80" w:type="dxa"/>
              <w:start w:w="80" w:type="dxa"/>
              <w:bottom w:w="80" w:type="dxa"/>
              <w:end w:w="80" w:type="dxa"/>
            </w:tcMar>
          </w:tcPr>
          <w:p>
            <w:r>
              <w:rPr>
                <w:sz w:val="17"/>
              </w:rPr>
            </w:r>
            <w:r>
              <w:rPr>
                <w:b w:val="0"/>
                <w:sz w:val="17"/>
              </w:rPr>
              <w:t>Strategy instances, tick consumption, decision generation, signal persistence, runtime state.</w:t>
            </w:r>
          </w:p>
        </w:tc>
        <w:tc>
          <w:tcPr>
            <w:tcW w:type="dxa" w:w="2880"/>
            <w:vAlign w:val="top"/>
            <w:tcMar>
              <w:top w:w="80" w:type="dxa"/>
              <w:start w:w="80" w:type="dxa"/>
              <w:bottom w:w="80" w:type="dxa"/>
              <w:end w:w="80" w:type="dxa"/>
            </w:tcMar>
          </w:tcPr>
          <w:p>
            <w:r>
              <w:rPr>
                <w:sz w:val="17"/>
              </w:rPr>
            </w:r>
            <w:r>
              <w:rPr>
                <w:b w:val="0"/>
                <w:sz w:val="17"/>
              </w:rPr>
              <w:t>Broker-specific order placement without risk gate.</w:t>
            </w:r>
          </w:p>
        </w:tc>
        <w:tc>
          <w:tcPr>
            <w:tcW w:type="dxa" w:w="3168"/>
            <w:vAlign w:val="top"/>
            <w:tcMar>
              <w:top w:w="80" w:type="dxa"/>
              <w:start w:w="80" w:type="dxa"/>
              <w:bottom w:w="80" w:type="dxa"/>
              <w:end w:w="80" w:type="dxa"/>
            </w:tcMar>
          </w:tcPr>
          <w:p>
            <w:r>
              <w:rPr>
                <w:sz w:val="17"/>
              </w:rPr>
            </w:r>
            <w:r>
              <w:rPr>
                <w:b w:val="0"/>
                <w:sz w:val="17"/>
              </w:rPr>
              <w:t>Strategy runtime produces intent; OMS/risk decides whether/how it reaches broker.</w:t>
            </w:r>
          </w:p>
        </w:tc>
      </w:tr>
      <w:tr>
        <w:tc>
          <w:tcPr>
            <w:tcW w:type="dxa" w:w="1728"/>
            <w:vAlign w:val="top"/>
            <w:tcMar>
              <w:top w:w="80" w:type="dxa"/>
              <w:start w:w="80" w:type="dxa"/>
              <w:bottom w:w="80" w:type="dxa"/>
              <w:end w:w="80" w:type="dxa"/>
            </w:tcMar>
          </w:tcPr>
          <w:p>
            <w:r>
              <w:rPr>
                <w:sz w:val="17"/>
              </w:rPr>
            </w:r>
            <w:r>
              <w:rPr>
                <w:b w:val="0"/>
                <w:sz w:val="17"/>
              </w:rPr>
              <w:t>OMS/risk service</w:t>
            </w:r>
          </w:p>
        </w:tc>
        <w:tc>
          <w:tcPr>
            <w:tcW w:type="dxa" w:w="2880"/>
            <w:vAlign w:val="top"/>
            <w:tcMar>
              <w:top w:w="80" w:type="dxa"/>
              <w:start w:w="80" w:type="dxa"/>
              <w:bottom w:w="80" w:type="dxa"/>
              <w:end w:w="80" w:type="dxa"/>
            </w:tcMar>
          </w:tcPr>
          <w:p>
            <w:r>
              <w:rPr>
                <w:sz w:val="17"/>
              </w:rPr>
            </w:r>
            <w:r>
              <w:rPr>
                <w:b w:val="0"/>
                <w:sz w:val="17"/>
              </w:rPr>
              <w:t>Pre-trade checks, idempotent order request state machine, broker adapter calls, order reconciliation, kill switch, exposure limits.</w:t>
            </w:r>
          </w:p>
        </w:tc>
        <w:tc>
          <w:tcPr>
            <w:tcW w:type="dxa" w:w="2880"/>
            <w:vAlign w:val="top"/>
            <w:tcMar>
              <w:top w:w="80" w:type="dxa"/>
              <w:start w:w="80" w:type="dxa"/>
              <w:bottom w:w="80" w:type="dxa"/>
              <w:end w:w="80" w:type="dxa"/>
            </w:tcMar>
          </w:tcPr>
          <w:p>
            <w:r>
              <w:rPr>
                <w:sz w:val="17"/>
              </w:rPr>
            </w:r>
            <w:r>
              <w:rPr>
                <w:b w:val="0"/>
                <w:sz w:val="17"/>
              </w:rPr>
              <w:t>Strategy-specific alpha logic.</w:t>
            </w:r>
          </w:p>
        </w:tc>
        <w:tc>
          <w:tcPr>
            <w:tcW w:type="dxa" w:w="3168"/>
            <w:vAlign w:val="top"/>
            <w:tcMar>
              <w:top w:w="80" w:type="dxa"/>
              <w:start w:w="80" w:type="dxa"/>
              <w:bottom w:w="80" w:type="dxa"/>
              <w:end w:w="80" w:type="dxa"/>
            </w:tcMar>
          </w:tcPr>
          <w:p>
            <w:r>
              <w:rPr>
                <w:sz w:val="17"/>
              </w:rPr>
            </w:r>
            <w:r>
              <w:rPr>
                <w:b w:val="0"/>
                <w:sz w:val="17"/>
              </w:rPr>
              <w:t>Separates alpha generation from capital protection.</w:t>
            </w:r>
          </w:p>
        </w:tc>
      </w:tr>
      <w:tr>
        <w:tc>
          <w:tcPr>
            <w:tcW w:type="dxa" w:w="1728"/>
            <w:vAlign w:val="top"/>
            <w:tcMar>
              <w:top w:w="80" w:type="dxa"/>
              <w:start w:w="80" w:type="dxa"/>
              <w:bottom w:w="80" w:type="dxa"/>
              <w:end w:w="80" w:type="dxa"/>
            </w:tcMar>
          </w:tcPr>
          <w:p>
            <w:r>
              <w:rPr>
                <w:sz w:val="17"/>
              </w:rPr>
            </w:r>
            <w:r>
              <w:rPr>
                <w:b w:val="0"/>
                <w:sz w:val="17"/>
              </w:rPr>
              <w:t>Notification service</w:t>
            </w:r>
          </w:p>
        </w:tc>
        <w:tc>
          <w:tcPr>
            <w:tcW w:type="dxa" w:w="2880"/>
            <w:vAlign w:val="top"/>
            <w:tcMar>
              <w:top w:w="80" w:type="dxa"/>
              <w:start w:w="80" w:type="dxa"/>
              <w:bottom w:w="80" w:type="dxa"/>
              <w:end w:w="80" w:type="dxa"/>
            </w:tcMar>
          </w:tcPr>
          <w:p>
            <w:r>
              <w:rPr>
                <w:sz w:val="17"/>
              </w:rPr>
            </w:r>
            <w:r>
              <w:rPr>
                <w:b w:val="0"/>
                <w:sz w:val="17"/>
              </w:rPr>
              <w:t>Socket.IO rooms, web push, user-specific fan-out, event catch-up.</w:t>
            </w:r>
          </w:p>
        </w:tc>
        <w:tc>
          <w:tcPr>
            <w:tcW w:type="dxa" w:w="2880"/>
            <w:vAlign w:val="top"/>
            <w:tcMar>
              <w:top w:w="80" w:type="dxa"/>
              <w:start w:w="80" w:type="dxa"/>
              <w:bottom w:w="80" w:type="dxa"/>
              <w:end w:w="80" w:type="dxa"/>
            </w:tcMar>
          </w:tcPr>
          <w:p>
            <w:r>
              <w:rPr>
                <w:sz w:val="17"/>
              </w:rPr>
            </w:r>
            <w:r>
              <w:rPr>
                <w:b w:val="0"/>
                <w:sz w:val="17"/>
              </w:rPr>
              <w:t>Authoritative trading state.</w:t>
            </w:r>
          </w:p>
        </w:tc>
        <w:tc>
          <w:tcPr>
            <w:tcW w:type="dxa" w:w="3168"/>
            <w:vAlign w:val="top"/>
            <w:tcMar>
              <w:top w:w="80" w:type="dxa"/>
              <w:start w:w="80" w:type="dxa"/>
              <w:bottom w:w="80" w:type="dxa"/>
              <w:end w:w="80" w:type="dxa"/>
            </w:tcMar>
          </w:tcPr>
          <w:p>
            <w:r>
              <w:rPr>
                <w:sz w:val="17"/>
              </w:rPr>
            </w:r>
            <w:r>
              <w:rPr>
                <w:b w:val="0"/>
                <w:sz w:val="17"/>
              </w:rPr>
              <w:t>Notifications are delivery mechanisms; database/event log remains truth.</w:t>
            </w:r>
          </w:p>
        </w:tc>
      </w:tr>
      <w:tr>
        <w:tc>
          <w:tcPr>
            <w:tcW w:type="dxa" w:w="1728"/>
            <w:vAlign w:val="top"/>
            <w:tcMar>
              <w:top w:w="80" w:type="dxa"/>
              <w:start w:w="80" w:type="dxa"/>
              <w:bottom w:w="80" w:type="dxa"/>
              <w:end w:w="80" w:type="dxa"/>
            </w:tcMar>
          </w:tcPr>
          <w:p>
            <w:r>
              <w:rPr>
                <w:sz w:val="17"/>
              </w:rPr>
            </w:r>
            <w:r>
              <w:rPr>
                <w:b w:val="0"/>
                <w:sz w:val="17"/>
              </w:rPr>
              <w:t>PostgreSQL/TimescaleDB</w:t>
            </w:r>
          </w:p>
        </w:tc>
        <w:tc>
          <w:tcPr>
            <w:tcW w:type="dxa" w:w="2880"/>
            <w:vAlign w:val="top"/>
            <w:tcMar>
              <w:top w:w="80" w:type="dxa"/>
              <w:start w:w="80" w:type="dxa"/>
              <w:bottom w:w="80" w:type="dxa"/>
              <w:end w:w="80" w:type="dxa"/>
            </w:tcMar>
          </w:tcPr>
          <w:p>
            <w:r>
              <w:rPr>
                <w:sz w:val="17"/>
              </w:rPr>
            </w:r>
            <w:r>
              <w:rPr>
                <w:b w:val="0"/>
                <w:sz w:val="17"/>
              </w:rPr>
              <w:t>Source of truth for users, deployments, signals, orders, runtime state, candles, audit trail.</w:t>
            </w:r>
          </w:p>
        </w:tc>
        <w:tc>
          <w:tcPr>
            <w:tcW w:type="dxa" w:w="2880"/>
            <w:vAlign w:val="top"/>
            <w:tcMar>
              <w:top w:w="80" w:type="dxa"/>
              <w:start w:w="80" w:type="dxa"/>
              <w:bottom w:w="80" w:type="dxa"/>
              <w:end w:w="80" w:type="dxa"/>
            </w:tcMar>
          </w:tcPr>
          <w:p>
            <w:r>
              <w:rPr>
                <w:sz w:val="17"/>
              </w:rPr>
            </w:r>
            <w:r>
              <w:rPr>
                <w:b w:val="0"/>
                <w:sz w:val="17"/>
              </w:rPr>
              <w:t>Transient high-frequency UI fan-out.</w:t>
            </w:r>
          </w:p>
        </w:tc>
        <w:tc>
          <w:tcPr>
            <w:tcW w:type="dxa" w:w="3168"/>
            <w:vAlign w:val="top"/>
            <w:tcMar>
              <w:top w:w="80" w:type="dxa"/>
              <w:start w:w="80" w:type="dxa"/>
              <w:bottom w:w="80" w:type="dxa"/>
              <w:end w:w="80" w:type="dxa"/>
            </w:tcMar>
          </w:tcPr>
          <w:p>
            <w:r>
              <w:rPr>
                <w:sz w:val="17"/>
              </w:rPr>
            </w:r>
            <w:r>
              <w:rPr>
                <w:b w:val="0"/>
                <w:sz w:val="17"/>
              </w:rPr>
              <w:t>Durable state should be queryable and recoverable; ephemeral updates need separate handling.</w:t>
            </w:r>
          </w:p>
        </w:tc>
      </w:tr>
      <w:tr>
        <w:tc>
          <w:tcPr>
            <w:tcW w:type="dxa" w:w="1728"/>
            <w:vAlign w:val="top"/>
            <w:tcMar>
              <w:top w:w="80" w:type="dxa"/>
              <w:start w:w="80" w:type="dxa"/>
              <w:bottom w:w="80" w:type="dxa"/>
              <w:end w:w="80" w:type="dxa"/>
            </w:tcMar>
          </w:tcPr>
          <w:p>
            <w:r>
              <w:rPr>
                <w:sz w:val="17"/>
              </w:rPr>
            </w:r>
            <w:r>
              <w:rPr>
                <w:b w:val="0"/>
                <w:sz w:val="17"/>
              </w:rPr>
              <w:t>Redis</w:t>
            </w:r>
          </w:p>
        </w:tc>
        <w:tc>
          <w:tcPr>
            <w:tcW w:type="dxa" w:w="2880"/>
            <w:vAlign w:val="top"/>
            <w:tcMar>
              <w:top w:w="80" w:type="dxa"/>
              <w:start w:w="80" w:type="dxa"/>
              <w:bottom w:w="80" w:type="dxa"/>
              <w:end w:w="80" w:type="dxa"/>
            </w:tcMar>
          </w:tcPr>
          <w:p>
            <w:r>
              <w:rPr>
                <w:sz w:val="17"/>
              </w:rPr>
            </w:r>
            <w:r>
              <w:rPr>
                <w:b w:val="0"/>
                <w:sz w:val="17"/>
              </w:rPr>
              <w:t>Short-lived cache, streams for events/commands, consumer coordination, rate limit counters.</w:t>
            </w:r>
          </w:p>
        </w:tc>
        <w:tc>
          <w:tcPr>
            <w:tcW w:type="dxa" w:w="2880"/>
            <w:vAlign w:val="top"/>
            <w:tcMar>
              <w:top w:w="80" w:type="dxa"/>
              <w:start w:w="80" w:type="dxa"/>
              <w:bottom w:w="80" w:type="dxa"/>
              <w:end w:w="80" w:type="dxa"/>
            </w:tcMar>
          </w:tcPr>
          <w:p>
            <w:r>
              <w:rPr>
                <w:sz w:val="17"/>
              </w:rPr>
            </w:r>
            <w:r>
              <w:rPr>
                <w:b w:val="0"/>
                <w:sz w:val="17"/>
              </w:rPr>
              <w:t>Only copy of critical order/signal truth.</w:t>
            </w:r>
          </w:p>
        </w:tc>
        <w:tc>
          <w:tcPr>
            <w:tcW w:type="dxa" w:w="3168"/>
            <w:vAlign w:val="top"/>
            <w:tcMar>
              <w:top w:w="80" w:type="dxa"/>
              <w:start w:w="80" w:type="dxa"/>
              <w:bottom w:w="80" w:type="dxa"/>
              <w:end w:w="80" w:type="dxa"/>
            </w:tcMar>
          </w:tcPr>
          <w:p>
            <w:r>
              <w:rPr>
                <w:sz w:val="17"/>
              </w:rPr>
            </w:r>
            <w:r>
              <w:rPr>
                <w:b w:val="0"/>
                <w:sz w:val="17"/>
              </w:rPr>
              <w:t>Redis is excellent for speed; critical records must also be persisted transactionally.</w:t>
            </w:r>
          </w:p>
        </w:tc>
      </w:tr>
    </w:tbl>
    <w:p>
      <w:pPr>
        <w:pStyle w:val="Heading1"/>
      </w:pPr>
      <w:r>
        <w:t>5. Component-by-Component Recommendations</w:t>
      </w:r>
    </w:p>
    <w:p>
      <w:pPr>
        <w:pStyle w:val="Heading2"/>
      </w:pPr>
      <w:r>
        <w:t>5.1 Deployment and machine isolation</w:t>
      </w:r>
    </w:p>
    <w:p>
      <w:pPr>
        <w:pStyle w:val="ListBullet"/>
      </w:pPr>
      <w:r>
        <w:rPr>
          <w:b/>
        </w:rPr>
        <w:t xml:space="preserve">Keep development and live production separate: </w:t>
      </w:r>
      <w:r>
        <w:t>Reason: build tools, IDEs, browsers, npm installs, cargo builds, and accidental restarts can introduce latency or downtime in live trading.</w:t>
      </w:r>
    </w:p>
    <w:p>
      <w:pPr>
        <w:pStyle w:val="ListBullet"/>
      </w:pPr>
      <w:r>
        <w:rPr>
          <w:b/>
        </w:rPr>
        <w:t xml:space="preserve">Use Ubuntu Server or harden Ubuntu Desktop: </w:t>
      </w:r>
      <w:r>
        <w:t>Reason: desktop power management, sleep/lock behavior, GUI services, auto-updates, and casual usage patterns are risky for a headless live service.</w:t>
      </w:r>
    </w:p>
    <w:p>
      <w:pPr>
        <w:pStyle w:val="ListBullet"/>
      </w:pPr>
      <w:r>
        <w:rPr>
          <w:b/>
        </w:rPr>
        <w:t xml:space="preserve">Add Docker restart policies and log rotation: </w:t>
      </w:r>
      <w:r>
        <w:t>Reason: Docker supports restart policies such as always/on-failure/unless-stopped, and Docker logging can grow until disk exhaustion if not capped.</w:t>
      </w:r>
    </w:p>
    <w:p>
      <w:pPr>
        <w:pStyle w:val="ListBullet"/>
      </w:pPr>
      <w:r>
        <w:rPr>
          <w:b/>
        </w:rPr>
        <w:t xml:space="preserve">Use compose profiles: live, backtest, monitoring, dev: </w:t>
      </w:r>
      <w:r>
        <w:t>Reason: profiles prevent accidentally running heavy backtests or dev services on the live market runtime.</w:t>
      </w:r>
    </w:p>
    <w:p>
      <w:pPr>
        <w:pStyle w:val="ListBullet"/>
      </w:pPr>
      <w:r>
        <w:rPr>
          <w:b/>
        </w:rPr>
        <w:t xml:space="preserve">Pin image versions and build immutable images: </w:t>
      </w:r>
      <w:r>
        <w:t>Reason: production should run a known artifact, not a mutable working directory with node_modules, target, and local code edits.</w:t>
      </w:r>
    </w:p>
    <w:p>
      <w:pPr>
        <w:pStyle w:val="Heading2"/>
      </w:pPr>
      <w:r>
        <w:t>5.2 Nginx, frontend, and realtime UX</w:t>
      </w:r>
    </w:p>
    <w:p>
      <w:pPr>
        <w:pStyle w:val="ListBullet"/>
      </w:pPr>
      <w:r>
        <w:rPr>
          <w:b/>
        </w:rPr>
        <w:t xml:space="preserve">Finalize reverse proxy routes before production: </w:t>
      </w:r>
      <w:r>
        <w:t>Reason: the architecture currently says nginx routing is future-phase, but REST, Socket.IO/WebSocket, Web Push, static assets, and health endpoints need exact routing and timeout behavior.</w:t>
      </w:r>
    </w:p>
    <w:p>
      <w:pPr>
        <w:pStyle w:val="ListBullet"/>
      </w:pPr>
      <w:r>
        <w:rPr>
          <w:b/>
        </w:rPr>
        <w:t xml:space="preserve">Use HTTPS/TLS for all browser-facing routes: </w:t>
      </w:r>
      <w:r>
        <w:t>Reason: browser push/service-worker features and credential transport require a secure origin in real deployments; JWTs/API keys should never cross plain HTTP outside localhost.</w:t>
      </w:r>
    </w:p>
    <w:p>
      <w:pPr>
        <w:pStyle w:val="ListBullet"/>
      </w:pPr>
      <w:r>
        <w:rPr>
          <w:b/>
        </w:rPr>
        <w:t xml:space="preserve">Add UI stale-state indicators: </w:t>
      </w:r>
      <w:r>
        <w:t>Reason: in trading UX, a live dashboard must clearly show when market data, broker status, or order updates are delayed or disconnected.</w:t>
      </w:r>
    </w:p>
    <w:p>
      <w:pPr>
        <w:pStyle w:val="ListBullet"/>
      </w:pPr>
      <w:r>
        <w:rPr>
          <w:b/>
        </w:rPr>
        <w:t xml:space="preserve">Implement reconnect catch-up: </w:t>
      </w:r>
      <w:r>
        <w:t>Reason: Socket.IO events can be missed during browser disconnects; the frontend should reconnect with last seen event ID/time and refresh authoritative state through REST.</w:t>
      </w:r>
    </w:p>
    <w:p>
      <w:pPr>
        <w:pStyle w:val="Heading2"/>
      </w:pPr>
      <w:r>
        <w:t>5.3 Redis Streams and event contracts</w:t>
      </w:r>
    </w:p>
    <w:p>
      <w:pPr>
        <w:pStyle w:val="ListBullet"/>
      </w:pPr>
      <w:r>
        <w:rPr>
          <w:b/>
        </w:rPr>
        <w:t xml:space="preserve">Define every stream schema: </w:t>
      </w:r>
      <w:r>
        <w:t>Reason: independent Node and Rust services need a stable contract for fields, types, units, timestamps, IDs, and versioning.</w:t>
      </w:r>
    </w:p>
    <w:p>
      <w:pPr>
        <w:pStyle w:val="ListBullet"/>
      </w:pPr>
      <w:r>
        <w:rPr>
          <w:b/>
        </w:rPr>
        <w:t xml:space="preserve">Acknowledge only after durable side effects succeed: </w:t>
      </w:r>
      <w:r>
        <w:t>Reason: acknowledging a stream message before DB persistence or broker state update creates data loss on crash.</w:t>
      </w:r>
    </w:p>
    <w:p>
      <w:pPr>
        <w:pStyle w:val="ListBullet"/>
      </w:pPr>
      <w:r>
        <w:rPr>
          <w:b/>
        </w:rPr>
        <w:t xml:space="preserve">Use idempotency keys everywhere: </w:t>
      </w:r>
      <w:r>
        <w:t>Reason: Redis consumer re-delivery, process restarts, and broker retries can cause duplicate processing unless each signal/order/config event has a unique deterministic key.</w:t>
      </w:r>
    </w:p>
    <w:p>
      <w:pPr>
        <w:pStyle w:val="ListBullet"/>
      </w:pPr>
      <w:r>
        <w:rPr>
          <w:b/>
        </w:rPr>
        <w:t xml:space="preserve">Add dead-letter streams: </w:t>
      </w:r>
      <w:r>
        <w:t>Reason: poison messages should not permanently block consumers or be silently dropped.</w:t>
      </w:r>
    </w:p>
    <w:p>
      <w:pPr>
        <w:pStyle w:val="ListBullet"/>
      </w:pPr>
      <w:r>
        <w:rPr>
          <w:b/>
        </w:rPr>
        <w:t xml:space="preserve">Track XPENDING/XAUTOCLAIM lag: </w:t>
      </w:r>
      <w:r>
        <w:t>Reason: pending entries reveal stuck consumers; official Redis stream tooling exists for pending-entry inspection and ownership transfer.</w:t>
      </w:r>
    </w:p>
    <w:p>
      <w:pPr>
        <w:pStyle w:val="Heading2"/>
      </w:pPr>
      <w:r>
        <w:t>5.4 PostgreSQL/TimescaleDB</w:t>
      </w:r>
    </w:p>
    <w:p>
      <w:pPr>
        <w:pStyle w:val="ListBullet"/>
      </w:pPr>
      <w:r>
        <w:rPr>
          <w:b/>
        </w:rPr>
        <w:t xml:space="preserve">Separate schemas by domain: </w:t>
      </w:r>
      <w:r>
        <w:t>Reason: identity, broker, live trading, market data, runtime state, audit, and backtest tables have different retention and access patterns.</w:t>
      </w:r>
    </w:p>
    <w:p>
      <w:pPr>
        <w:pStyle w:val="ListBullet"/>
      </w:pPr>
      <w:r>
        <w:rPr>
          <w:b/>
        </w:rPr>
        <w:t xml:space="preserve">Use hypertables only where time-series access benefits: </w:t>
      </w:r>
      <w:r>
        <w:t>Reason: market candles and high-frequency event tables benefit from chunking/retention; static strategy definitions and users do not.</w:t>
      </w:r>
    </w:p>
    <w:p>
      <w:pPr>
        <w:pStyle w:val="ListBullet"/>
      </w:pPr>
      <w:r>
        <w:rPr>
          <w:b/>
        </w:rPr>
        <w:t xml:space="preserve">Add retention/compression policies: </w:t>
      </w:r>
      <w:r>
        <w:t>Reason: tick/candle tables can grow fast and eventually affect SSD capacity and query performance.</w:t>
      </w:r>
    </w:p>
    <w:p>
      <w:pPr>
        <w:pStyle w:val="ListBullet"/>
      </w:pPr>
      <w:r>
        <w:rPr>
          <w:b/>
        </w:rPr>
        <w:t xml:space="preserve">Use PgBouncer or strict pool sizing: </w:t>
      </w:r>
      <w:r>
        <w:t>Reason: multiple Node services, Rust services, backtest backend, Grafana, and scripts can exhaust PostgreSQL connections on a small host.</w:t>
      </w:r>
    </w:p>
    <w:p>
      <w:pPr>
        <w:pStyle w:val="ListBullet"/>
      </w:pPr>
      <w:r>
        <w:rPr>
          <w:b/>
        </w:rPr>
        <w:t xml:space="preserve">Run restore drills, not just backups: </w:t>
      </w:r>
      <w:r>
        <w:t>Reason: a backup that has never been restored is not a reliable recovery plan.</w:t>
      </w:r>
    </w:p>
    <w:p>
      <w:pPr>
        <w:pStyle w:val="Heading2"/>
      </w:pPr>
      <w:r>
        <w:t>5.5 Broker adapter and OMS/risk</w:t>
      </w:r>
    </w:p>
    <w:p>
      <w:pPr>
        <w:pStyle w:val="ListBullet"/>
      </w:pPr>
      <w:r>
        <w:rPr>
          <w:b/>
        </w:rPr>
        <w:t xml:space="preserve">Introduce a strict order state machine: </w:t>
      </w:r>
      <w:r>
        <w:t>Reason: signals, approvals, order requests, broker acknowledgement, partial fills, rejection, cancellation, and reconciliation need explicit transitions.</w:t>
      </w:r>
    </w:p>
    <w:p>
      <w:pPr>
        <w:pStyle w:val="ListBullet"/>
      </w:pPr>
      <w:r>
        <w:rPr>
          <w:b/>
        </w:rPr>
        <w:t xml:space="preserve">Centralize broker API rate limiting: </w:t>
      </w:r>
      <w:r>
        <w:t>Reason: broker APIs publish rate-limit changes and market data modes; multiple services independently calling broker endpoints can hit limits or create inconsistent state.</w:t>
      </w:r>
    </w:p>
    <w:p>
      <w:pPr>
        <w:pStyle w:val="ListBullet"/>
      </w:pPr>
      <w:r>
        <w:rPr>
          <w:b/>
        </w:rPr>
        <w:t xml:space="preserve">Add kill switches at multiple layers: </w:t>
      </w:r>
      <w:r>
        <w:t>Reason: you need one global kill switch, one user/account kill switch, and one strategy/deployment kill switch to stop runaway behavior quickly.</w:t>
      </w:r>
    </w:p>
    <w:p>
      <w:pPr>
        <w:pStyle w:val="ListBullet"/>
      </w:pPr>
      <w:r>
        <w:rPr>
          <w:b/>
        </w:rPr>
        <w:t xml:space="preserve">Persist broker request/response envelopes: </w:t>
      </w:r>
      <w:r>
        <w:t>Reason: when orders mismatch, raw broker request/response metadata is needed for debugging and audit.</w:t>
      </w:r>
    </w:p>
    <w:p>
      <w:pPr>
        <w:pStyle w:val="ListBullet"/>
      </w:pPr>
      <w:r>
        <w:rPr>
          <w:b/>
        </w:rPr>
        <w:t xml:space="preserve">Reconcile orders from broker after reconnect: </w:t>
      </w:r>
      <w:r>
        <w:t>Reason: order WebSocket/API status may be missed during disconnection; local state must be corrected from broker truth.</w:t>
      </w:r>
    </w:p>
    <w:p>
      <w:pPr>
        <w:pStyle w:val="Heading2"/>
      </w:pPr>
      <w:r>
        <w:t>5.6 Strategy and backtest-live parity</w:t>
      </w:r>
    </w:p>
    <w:p>
      <w:pPr>
        <w:pStyle w:val="ListBullet"/>
      </w:pPr>
      <w:r>
        <w:rPr>
          <w:b/>
        </w:rPr>
        <w:t xml:space="preserve">Make strategy versions immutable: </w:t>
      </w:r>
      <w:r>
        <w:t>Reason: a backtest result is meaningless if the strategy_id points to code that later changed without versioning.</w:t>
      </w:r>
    </w:p>
    <w:p>
      <w:pPr>
        <w:pStyle w:val="ListBullet"/>
      </w:pPr>
      <w:r>
        <w:rPr>
          <w:b/>
        </w:rPr>
        <w:t xml:space="preserve">Create golden market replay tests: </w:t>
      </w:r>
      <w:r>
        <w:t>Reason: captured tick/candle sequences should produce identical decisions across backtest, live dry-run, and paper trading modes.</w:t>
      </w:r>
    </w:p>
    <w:p>
      <w:pPr>
        <w:pStyle w:val="ListBullet"/>
      </w:pPr>
      <w:r>
        <w:rPr>
          <w:b/>
        </w:rPr>
        <w:t xml:space="preserve">Model fees, slippage, and fill rules explicitly: </w:t>
      </w:r>
      <w:r>
        <w:t>Reason: otherwise backtest performance will overstate live behavior.</w:t>
      </w:r>
    </w:p>
    <w:p>
      <w:pPr>
        <w:pStyle w:val="ListBullet"/>
      </w:pPr>
      <w:r>
        <w:rPr>
          <w:b/>
        </w:rPr>
        <w:t xml:space="preserve">Use India-market timezone and session calendar consistently: </w:t>
      </w:r>
      <w:r>
        <w:t>Reason: candle boundaries, daily resets, expiry logic, and market holidays can create hidden mismatches.</w:t>
      </w:r>
    </w:p>
    <w:p>
      <w:pPr>
        <w:pStyle w:val="ListBullet"/>
      </w:pPr>
      <w:r>
        <w:rPr>
          <w:b/>
        </w:rPr>
        <w:t xml:space="preserve">Require pre-deploy strategy checklist: </w:t>
      </w:r>
      <w:r>
        <w:t>Reason: every strategy should pass schema validation, unit tests, replay tests, max-risk limits, and rollback planning before it is enabled live.</w:t>
      </w:r>
    </w:p>
    <w:p>
      <w:pPr>
        <w:pStyle w:val="Heading2"/>
      </w:pPr>
      <w:r>
        <w:t>5.7 Observability and incident response</w:t>
      </w:r>
    </w:p>
    <w:p>
      <w:pPr>
        <w:pStyle w:val="ListBullet"/>
      </w:pPr>
      <w:r>
        <w:rPr>
          <w:b/>
        </w:rPr>
        <w:t xml:space="preserve">Instrument the live path with Prometheus metrics: </w:t>
      </w:r>
      <w:r>
        <w:t>Reason: official Prometheus guidance recommends instrumenting subsystems so operators can quickly see where performance or failures occur.</w:t>
      </w:r>
    </w:p>
    <w:p>
      <w:pPr>
        <w:pStyle w:val="ListBullet"/>
      </w:pPr>
      <w:r>
        <w:rPr>
          <w:b/>
        </w:rPr>
        <w:t xml:space="preserve">Add distributed trace/correlation IDs: </w:t>
      </w:r>
      <w:r>
        <w:t>Reason: one signal crosses browser, API, Redis, Rust engine, database, OMS, broker, Redis again, notification, and frontend; logs are hard to join without correlation.</w:t>
      </w:r>
    </w:p>
    <w:p>
      <w:pPr>
        <w:pStyle w:val="ListBullet"/>
      </w:pPr>
      <w:r>
        <w:rPr>
          <w:b/>
        </w:rPr>
        <w:t xml:space="preserve">Define trading SLOs: </w:t>
      </w:r>
      <w:r>
        <w:t>Reason: for example, tick-to-strategy latency, signal-to-order-request latency, order reconciliation freshness, and UI update delay should have thresholds.</w:t>
      </w:r>
    </w:p>
    <w:p>
      <w:pPr>
        <w:pStyle w:val="ListBullet"/>
      </w:pPr>
      <w:r>
        <w:rPr>
          <w:b/>
        </w:rPr>
        <w:t xml:space="preserve">Add alerting, not just dashboards: </w:t>
      </w:r>
      <w:r>
        <w:t>Reason: dashboards help when someone is watching; alerts are required when websocket disconnects, consumers lag, DB is full, or kill switch activates.</w:t>
      </w:r>
    </w:p>
    <w:p>
      <w:pPr>
        <w:pStyle w:val="Heading2"/>
      </w:pPr>
      <w:r>
        <w:t>5.8 Security</w:t>
      </w:r>
    </w:p>
    <w:p>
      <w:pPr>
        <w:pStyle w:val="ListBullet"/>
      </w:pPr>
      <w:r>
        <w:rPr>
          <w:b/>
        </w:rPr>
        <w:t xml:space="preserve">Use secure cookie strategy or carefully hardened token storage: </w:t>
      </w:r>
      <w:r>
        <w:t>Reason: OWASP guidance warns to secure JWT storage/transmission and avoid sensitive data in token payloads.</w:t>
      </w:r>
    </w:p>
    <w:p>
      <w:pPr>
        <w:pStyle w:val="ListBullet"/>
      </w:pPr>
      <w:r>
        <w:rPr>
          <w:b/>
        </w:rPr>
        <w:t xml:space="preserve">Encrypt broker credentials at rest: </w:t>
      </w:r>
      <w:r>
        <w:t>Reason: broker credentials/API tokens are high-impact secrets; database compromise should not expose plaintext trading access.</w:t>
      </w:r>
    </w:p>
    <w:p>
      <w:pPr>
        <w:pStyle w:val="ListBullet"/>
      </w:pPr>
      <w:r>
        <w:rPr>
          <w:b/>
        </w:rPr>
        <w:t xml:space="preserve">Add audit logs for critical actions: </w:t>
      </w:r>
      <w:r>
        <w:t>Reason: strategy activation, approval, broker connection changes, kill-switch changes, and order actions must be attributable.</w:t>
      </w:r>
    </w:p>
    <w:p>
      <w:pPr>
        <w:pStyle w:val="ListBullet"/>
      </w:pPr>
      <w:r>
        <w:rPr>
          <w:b/>
        </w:rPr>
        <w:t xml:space="preserve">Separate service credentials: </w:t>
      </w:r>
      <w:r>
        <w:t>Reason: each service should have only the database/Redis/broker permissions it needs.</w:t>
      </w:r>
    </w:p>
    <w:p>
      <w:pPr>
        <w:pStyle w:val="Heading1"/>
      </w:pPr>
      <w:r>
        <w:t>6. Prioritized Roadmap</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1728"/>
            <w:shd w:fill="1F4E79"/>
            <w:vAlign w:val="top"/>
            <w:tcMar>
              <w:top w:w="80" w:type="dxa"/>
              <w:start w:w="80" w:type="dxa"/>
              <w:bottom w:w="80" w:type="dxa"/>
              <w:end w:w="80" w:type="dxa"/>
            </w:tcMar>
          </w:tcPr>
          <w:p>
            <w:r>
              <w:rPr>
                <w:color w:val="FFFFFF"/>
                <w:sz w:val="17"/>
              </w:rPr>
            </w:r>
            <w:r>
              <w:rPr>
                <w:b/>
                <w:color w:val="FFFFFF"/>
                <w:sz w:val="17"/>
              </w:rPr>
              <w:t>Phase</w:t>
            </w:r>
          </w:p>
        </w:tc>
        <w:tc>
          <w:tcPr>
            <w:tcW w:type="dxa" w:w="1872"/>
            <w:shd w:fill="1F4E79"/>
            <w:vAlign w:val="top"/>
            <w:tcMar>
              <w:top w:w="80" w:type="dxa"/>
              <w:start w:w="80" w:type="dxa"/>
              <w:bottom w:w="80" w:type="dxa"/>
              <w:end w:w="80" w:type="dxa"/>
            </w:tcMar>
          </w:tcPr>
          <w:p>
            <w:r>
              <w:rPr>
                <w:color w:val="FFFFFF"/>
                <w:sz w:val="17"/>
              </w:rPr>
            </w:r>
            <w:r>
              <w:rPr>
                <w:b/>
                <w:color w:val="FFFFFF"/>
                <w:sz w:val="17"/>
              </w:rPr>
              <w:t>Goal</w:t>
            </w:r>
          </w:p>
        </w:tc>
        <w:tc>
          <w:tcPr>
            <w:tcW w:type="dxa" w:w="4896"/>
            <w:shd w:fill="1F4E79"/>
            <w:vAlign w:val="top"/>
            <w:tcMar>
              <w:top w:w="80" w:type="dxa"/>
              <w:start w:w="80" w:type="dxa"/>
              <w:bottom w:w="80" w:type="dxa"/>
              <w:end w:w="80" w:type="dxa"/>
            </w:tcMar>
          </w:tcPr>
          <w:p>
            <w:r>
              <w:rPr>
                <w:color w:val="FFFFFF"/>
                <w:sz w:val="17"/>
              </w:rPr>
            </w:r>
            <w:r>
              <w:rPr>
                <w:b/>
                <w:color w:val="FFFFFF"/>
                <w:sz w:val="17"/>
              </w:rPr>
              <w:t>Concrete work</w:t>
            </w:r>
          </w:p>
        </w:tc>
        <w:tc>
          <w:tcPr>
            <w:tcW w:type="dxa" w:w="3456"/>
            <w:shd w:fill="1F4E79"/>
            <w:vAlign w:val="top"/>
            <w:tcMar>
              <w:top w:w="80" w:type="dxa"/>
              <w:start w:w="80" w:type="dxa"/>
              <w:bottom w:w="80" w:type="dxa"/>
              <w:end w:w="80" w:type="dxa"/>
            </w:tcMar>
          </w:tcPr>
          <w:p>
            <w:r>
              <w:rPr>
                <w:color w:val="FFFFFF"/>
                <w:sz w:val="17"/>
              </w:rPr>
            </w:r>
            <w:r>
              <w:rPr>
                <w:b/>
                <w:color w:val="FFFFFF"/>
                <w:sz w:val="17"/>
              </w:rPr>
              <w:t>Exit criteria</w:t>
            </w:r>
          </w:p>
        </w:tc>
      </w:tr>
      <w:tr>
        <w:tc>
          <w:tcPr>
            <w:tcW w:type="dxa" w:w="1728"/>
            <w:vAlign w:val="top"/>
            <w:tcMar>
              <w:top w:w="80" w:type="dxa"/>
              <w:start w:w="80" w:type="dxa"/>
              <w:bottom w:w="80" w:type="dxa"/>
              <w:end w:w="80" w:type="dxa"/>
            </w:tcMar>
          </w:tcPr>
          <w:p>
            <w:r>
              <w:rPr>
                <w:sz w:val="17"/>
              </w:rPr>
            </w:r>
            <w:r>
              <w:rPr>
                <w:b w:val="0"/>
                <w:sz w:val="17"/>
              </w:rPr>
              <w:t>Phase 0: Before serious live capital</w:t>
            </w:r>
          </w:p>
        </w:tc>
        <w:tc>
          <w:tcPr>
            <w:tcW w:type="dxa" w:w="1872"/>
            <w:vAlign w:val="top"/>
            <w:tcMar>
              <w:top w:w="80" w:type="dxa"/>
              <w:start w:w="80" w:type="dxa"/>
              <w:bottom w:w="80" w:type="dxa"/>
              <w:end w:w="80" w:type="dxa"/>
            </w:tcMar>
          </w:tcPr>
          <w:p>
            <w:r>
              <w:rPr>
                <w:sz w:val="17"/>
              </w:rPr>
            </w:r>
            <w:r>
              <w:rPr>
                <w:b w:val="0"/>
                <w:sz w:val="17"/>
              </w:rPr>
              <w:t>Remove catastrophic risk</w:t>
            </w:r>
          </w:p>
        </w:tc>
        <w:tc>
          <w:tcPr>
            <w:tcW w:type="dxa" w:w="4896"/>
            <w:vAlign w:val="top"/>
            <w:tcMar>
              <w:top w:w="80" w:type="dxa"/>
              <w:start w:w="80" w:type="dxa"/>
              <w:bottom w:w="80" w:type="dxa"/>
              <w:end w:w="80" w:type="dxa"/>
            </w:tcMar>
          </w:tcPr>
          <w:p>
            <w:r>
              <w:rPr>
                <w:sz w:val="17"/>
              </w:rPr>
            </w:r>
            <w:r>
              <w:rPr>
                <w:b w:val="0"/>
                <w:sz w:val="17"/>
              </w:rPr>
              <w:t>Dedicated live host or strict isolated live environment; disable sleep/auto-restart during market; backups; global kill switch; order idempotency; broker reconciliation; nginx TLS routes; logs rotation.</w:t>
            </w:r>
          </w:p>
        </w:tc>
        <w:tc>
          <w:tcPr>
            <w:tcW w:type="dxa" w:w="3456"/>
            <w:vAlign w:val="top"/>
            <w:tcMar>
              <w:top w:w="80" w:type="dxa"/>
              <w:start w:w="80" w:type="dxa"/>
              <w:bottom w:w="80" w:type="dxa"/>
              <w:end w:w="80" w:type="dxa"/>
            </w:tcMar>
          </w:tcPr>
          <w:p>
            <w:r>
              <w:rPr>
                <w:sz w:val="17"/>
              </w:rPr>
            </w:r>
            <w:r>
              <w:rPr>
                <w:b w:val="0"/>
                <w:sz w:val="17"/>
              </w:rPr>
              <w:t>You can restart any single app container without losing order/signal truth, and you can stop all trading within seconds.</w:t>
            </w:r>
          </w:p>
        </w:tc>
      </w:tr>
      <w:tr>
        <w:tc>
          <w:tcPr>
            <w:tcW w:type="dxa" w:w="1728"/>
            <w:vAlign w:val="top"/>
            <w:tcMar>
              <w:top w:w="80" w:type="dxa"/>
              <w:start w:w="80" w:type="dxa"/>
              <w:bottom w:w="80" w:type="dxa"/>
              <w:end w:w="80" w:type="dxa"/>
            </w:tcMar>
          </w:tcPr>
          <w:p>
            <w:r>
              <w:rPr>
                <w:sz w:val="17"/>
              </w:rPr>
            </w:r>
            <w:r>
              <w:rPr>
                <w:b w:val="0"/>
                <w:sz w:val="17"/>
              </w:rPr>
              <w:t>Phase 1: Production hardening</w:t>
            </w:r>
          </w:p>
        </w:tc>
        <w:tc>
          <w:tcPr>
            <w:tcW w:type="dxa" w:w="1872"/>
            <w:vAlign w:val="top"/>
            <w:tcMar>
              <w:top w:w="80" w:type="dxa"/>
              <w:start w:w="80" w:type="dxa"/>
              <w:bottom w:w="80" w:type="dxa"/>
              <w:end w:w="80" w:type="dxa"/>
            </w:tcMar>
          </w:tcPr>
          <w:p>
            <w:r>
              <w:rPr>
                <w:sz w:val="17"/>
              </w:rPr>
            </w:r>
            <w:r>
              <w:rPr>
                <w:b w:val="0"/>
                <w:sz w:val="17"/>
              </w:rPr>
              <w:t>Make runtime observable and recoverable</w:t>
            </w:r>
          </w:p>
        </w:tc>
        <w:tc>
          <w:tcPr>
            <w:tcW w:type="dxa" w:w="4896"/>
            <w:vAlign w:val="top"/>
            <w:tcMar>
              <w:top w:w="80" w:type="dxa"/>
              <w:start w:w="80" w:type="dxa"/>
              <w:bottom w:w="80" w:type="dxa"/>
              <w:end w:w="80" w:type="dxa"/>
            </w:tcMar>
          </w:tcPr>
          <w:p>
            <w:r>
              <w:rPr>
                <w:sz w:val="17"/>
              </w:rPr>
            </w:r>
            <w:r>
              <w:rPr>
                <w:b w:val="0"/>
                <w:sz w:val="17"/>
              </w:rPr>
              <w:t>Live Prometheus metrics; Redis stream contracts; dead-letter streams; DB restore drill; resource limits; API/worker split; WebSocket reconnect catch-up.</w:t>
            </w:r>
          </w:p>
        </w:tc>
        <w:tc>
          <w:tcPr>
            <w:tcW w:type="dxa" w:w="3456"/>
            <w:vAlign w:val="top"/>
            <w:tcMar>
              <w:top w:w="80" w:type="dxa"/>
              <w:start w:w="80" w:type="dxa"/>
              <w:bottom w:w="80" w:type="dxa"/>
              <w:end w:w="80" w:type="dxa"/>
            </w:tcMar>
          </w:tcPr>
          <w:p>
            <w:r>
              <w:rPr>
                <w:sz w:val="17"/>
              </w:rPr>
            </w:r>
            <w:r>
              <w:rPr>
                <w:b w:val="0"/>
                <w:sz w:val="17"/>
              </w:rPr>
              <w:t>You can answer: Is data fresh? Are consumers lagging? What orders are pending? Can we restore yesterday state?</w:t>
            </w:r>
          </w:p>
        </w:tc>
      </w:tr>
      <w:tr>
        <w:tc>
          <w:tcPr>
            <w:tcW w:type="dxa" w:w="1728"/>
            <w:vAlign w:val="top"/>
            <w:tcMar>
              <w:top w:w="80" w:type="dxa"/>
              <w:start w:w="80" w:type="dxa"/>
              <w:bottom w:w="80" w:type="dxa"/>
              <w:end w:w="80" w:type="dxa"/>
            </w:tcMar>
          </w:tcPr>
          <w:p>
            <w:r>
              <w:rPr>
                <w:sz w:val="17"/>
              </w:rPr>
            </w:r>
            <w:r>
              <w:rPr>
                <w:b w:val="0"/>
                <w:sz w:val="17"/>
              </w:rPr>
              <w:t>Phase 2: Trading safety and parity</w:t>
            </w:r>
          </w:p>
        </w:tc>
        <w:tc>
          <w:tcPr>
            <w:tcW w:type="dxa" w:w="1872"/>
            <w:vAlign w:val="top"/>
            <w:tcMar>
              <w:top w:w="80" w:type="dxa"/>
              <w:start w:w="80" w:type="dxa"/>
              <w:bottom w:w="80" w:type="dxa"/>
              <w:end w:w="80" w:type="dxa"/>
            </w:tcMar>
          </w:tcPr>
          <w:p>
            <w:r>
              <w:rPr>
                <w:sz w:val="17"/>
              </w:rPr>
            </w:r>
            <w:r>
              <w:rPr>
                <w:b w:val="0"/>
                <w:sz w:val="17"/>
              </w:rPr>
              <w:t>Reduce strategy/live mismatch</w:t>
            </w:r>
          </w:p>
        </w:tc>
        <w:tc>
          <w:tcPr>
            <w:tcW w:type="dxa" w:w="4896"/>
            <w:vAlign w:val="top"/>
            <w:tcMar>
              <w:top w:w="80" w:type="dxa"/>
              <w:start w:w="80" w:type="dxa"/>
              <w:bottom w:w="80" w:type="dxa"/>
              <w:end w:w="80" w:type="dxa"/>
            </w:tcMar>
          </w:tcPr>
          <w:p>
            <w:r>
              <w:rPr>
                <w:sz w:val="17"/>
              </w:rPr>
            </w:r>
            <w:r>
              <w:rPr>
                <w:b w:val="0"/>
                <w:sz w:val="17"/>
              </w:rPr>
              <w:t>OMS/risk service; immutable strategy versions; replay tests; fee/slippage model; paper/live shared order path; approval expiry state machine.</w:t>
            </w:r>
          </w:p>
        </w:tc>
        <w:tc>
          <w:tcPr>
            <w:tcW w:type="dxa" w:w="3456"/>
            <w:vAlign w:val="top"/>
            <w:tcMar>
              <w:top w:w="80" w:type="dxa"/>
              <w:start w:w="80" w:type="dxa"/>
              <w:bottom w:w="80" w:type="dxa"/>
              <w:end w:w="80" w:type="dxa"/>
            </w:tcMar>
          </w:tcPr>
          <w:p>
            <w:r>
              <w:rPr>
                <w:sz w:val="17"/>
              </w:rPr>
            </w:r>
            <w:r>
              <w:rPr>
                <w:b w:val="0"/>
                <w:sz w:val="17"/>
              </w:rPr>
              <w:t>A strategy can be replayed and compared, and every live order goes through the same risk gate.</w:t>
            </w:r>
          </w:p>
        </w:tc>
      </w:tr>
      <w:tr>
        <w:tc>
          <w:tcPr>
            <w:tcW w:type="dxa" w:w="1728"/>
            <w:vAlign w:val="top"/>
            <w:tcMar>
              <w:top w:w="80" w:type="dxa"/>
              <w:start w:w="80" w:type="dxa"/>
              <w:bottom w:w="80" w:type="dxa"/>
              <w:end w:w="80" w:type="dxa"/>
            </w:tcMar>
          </w:tcPr>
          <w:p>
            <w:r>
              <w:rPr>
                <w:sz w:val="17"/>
              </w:rPr>
            </w:r>
            <w:r>
              <w:rPr>
                <w:b w:val="0"/>
                <w:sz w:val="17"/>
              </w:rPr>
              <w:t>Phase 3: Scale and resilience</w:t>
            </w:r>
          </w:p>
        </w:tc>
        <w:tc>
          <w:tcPr>
            <w:tcW w:type="dxa" w:w="1872"/>
            <w:vAlign w:val="top"/>
            <w:tcMar>
              <w:top w:w="80" w:type="dxa"/>
              <w:start w:w="80" w:type="dxa"/>
              <w:bottom w:w="80" w:type="dxa"/>
              <w:end w:w="80" w:type="dxa"/>
            </w:tcMar>
          </w:tcPr>
          <w:p>
            <w:r>
              <w:rPr>
                <w:sz w:val="17"/>
              </w:rPr>
            </w:r>
            <w:r>
              <w:rPr>
                <w:b w:val="0"/>
                <w:sz w:val="17"/>
              </w:rPr>
              <w:t>Prepare for more users/strategies</w:t>
            </w:r>
          </w:p>
        </w:tc>
        <w:tc>
          <w:tcPr>
            <w:tcW w:type="dxa" w:w="4896"/>
            <w:vAlign w:val="top"/>
            <w:tcMar>
              <w:top w:w="80" w:type="dxa"/>
              <w:start w:w="80" w:type="dxa"/>
              <w:bottom w:w="80" w:type="dxa"/>
              <w:end w:w="80" w:type="dxa"/>
            </w:tcMar>
          </w:tcPr>
          <w:p>
            <w:r>
              <w:rPr>
                <w:sz w:val="17"/>
              </w:rPr>
            </w:r>
            <w:r>
              <w:rPr>
                <w:b w:val="0"/>
                <w:sz w:val="17"/>
              </w:rPr>
              <w:t>Separate backtest machine; read replicas or managed Postgres if needed; multi-broker abstraction; deployment pipeline; canary/shadow strategies.</w:t>
            </w:r>
          </w:p>
        </w:tc>
        <w:tc>
          <w:tcPr>
            <w:tcW w:type="dxa" w:w="3456"/>
            <w:vAlign w:val="top"/>
            <w:tcMar>
              <w:top w:w="80" w:type="dxa"/>
              <w:start w:w="80" w:type="dxa"/>
              <w:bottom w:w="80" w:type="dxa"/>
              <w:end w:w="80" w:type="dxa"/>
            </w:tcMar>
          </w:tcPr>
          <w:p>
            <w:r>
              <w:rPr>
                <w:sz w:val="17"/>
              </w:rPr>
            </w:r>
            <w:r>
              <w:rPr>
                <w:b w:val="0"/>
                <w:sz w:val="17"/>
              </w:rPr>
              <w:t>Backtests no longer affect live runtime; deployments are repeatable and rollbackable.</w:t>
            </w:r>
          </w:p>
        </w:tc>
      </w:tr>
      <w:tr>
        <w:tc>
          <w:tcPr>
            <w:tcW w:type="dxa" w:w="1728"/>
            <w:vAlign w:val="top"/>
            <w:tcMar>
              <w:top w:w="80" w:type="dxa"/>
              <w:start w:w="80" w:type="dxa"/>
              <w:bottom w:w="80" w:type="dxa"/>
              <w:end w:w="80" w:type="dxa"/>
            </w:tcMar>
          </w:tcPr>
          <w:p>
            <w:r>
              <w:rPr>
                <w:sz w:val="17"/>
              </w:rPr>
            </w:r>
            <w:r>
              <w:rPr>
                <w:b w:val="0"/>
                <w:sz w:val="17"/>
              </w:rPr>
              <w:t>Phase 4: Advanced infrastructure</w:t>
            </w:r>
          </w:p>
        </w:tc>
        <w:tc>
          <w:tcPr>
            <w:tcW w:type="dxa" w:w="1872"/>
            <w:vAlign w:val="top"/>
            <w:tcMar>
              <w:top w:w="80" w:type="dxa"/>
              <w:start w:w="80" w:type="dxa"/>
              <w:bottom w:w="80" w:type="dxa"/>
              <w:end w:w="80" w:type="dxa"/>
            </w:tcMar>
          </w:tcPr>
          <w:p>
            <w:r>
              <w:rPr>
                <w:sz w:val="17"/>
              </w:rPr>
            </w:r>
            <w:r>
              <w:rPr>
                <w:b w:val="0"/>
                <w:sz w:val="17"/>
              </w:rPr>
              <w:t>Only if needed</w:t>
            </w:r>
          </w:p>
        </w:tc>
        <w:tc>
          <w:tcPr>
            <w:tcW w:type="dxa" w:w="4896"/>
            <w:vAlign w:val="top"/>
            <w:tcMar>
              <w:top w:w="80" w:type="dxa"/>
              <w:start w:w="80" w:type="dxa"/>
              <w:bottom w:w="80" w:type="dxa"/>
              <w:end w:w="80" w:type="dxa"/>
            </w:tcMar>
          </w:tcPr>
          <w:p>
            <w:r>
              <w:rPr>
                <w:sz w:val="17"/>
              </w:rPr>
            </w:r>
            <w:r>
              <w:rPr>
                <w:b w:val="0"/>
                <w:sz w:val="17"/>
              </w:rPr>
              <w:t>Kubernetes/Nomad, HA Redis/Postgres, blue-green deploys, distributed tracing backend, multi-region backups.</w:t>
            </w:r>
          </w:p>
        </w:tc>
        <w:tc>
          <w:tcPr>
            <w:tcW w:type="dxa" w:w="3456"/>
            <w:vAlign w:val="top"/>
            <w:tcMar>
              <w:top w:w="80" w:type="dxa"/>
              <w:start w:w="80" w:type="dxa"/>
              <w:bottom w:w="80" w:type="dxa"/>
              <w:end w:w="80" w:type="dxa"/>
            </w:tcMar>
          </w:tcPr>
          <w:p>
            <w:r>
              <w:rPr>
                <w:sz w:val="17"/>
              </w:rPr>
            </w:r>
            <w:r>
              <w:rPr>
                <w:b w:val="0"/>
                <w:sz w:val="17"/>
              </w:rPr>
              <w:t>Operational complexity is justified by user count, capital, uptime requirements, and team maturity.</w:t>
            </w:r>
          </w:p>
        </w:tc>
      </w:tr>
    </w:tbl>
    <w:p>
      <w:pPr>
        <w:pStyle w:val="Heading1"/>
      </w:pPr>
      <w:r>
        <w:t>7. Production Readiness Checklist</w:t>
      </w:r>
    </w:p>
    <w:p>
      <w:pPr>
        <w:pStyle w:val="Heading2"/>
      </w:pPr>
      <w:r>
        <w:t>Host and deployment</w:t>
      </w:r>
    </w:p>
    <w:tbl>
      <w:tblPr>
        <w:tblStyle w:val="TableGrid"/>
        <w:tblW w:type="auto" w:w="0"/>
        <w:jc w:val="center"/>
        <w:tblLook w:firstColumn="1" w:firstRow="1" w:lastColumn="0" w:lastRow="0" w:noHBand="0" w:noVBand="1" w:val="04A0"/>
      </w:tblPr>
      <w:tblGrid>
        <w:gridCol w:w="5256"/>
        <w:gridCol w:w="5256"/>
      </w:tblGrid>
      <w:tr>
        <w:tc>
          <w:tcPr>
            <w:tcW w:type="dxa" w:w="5256"/>
            <w:vAlign w:val="top"/>
            <w:tcMar>
              <w:top w:w="80" w:type="dxa"/>
              <w:start w:w="80" w:type="dxa"/>
              <w:bottom w:w="80" w:type="dxa"/>
              <w:end w:w="80" w:type="dxa"/>
            </w:tcMar>
          </w:tcPr>
          <w:p>
            <w:r>
              <w:rPr>
                <w:sz w:val="17"/>
              </w:rPr>
            </w:r>
            <w:r>
              <w:rPr>
                <w:b w:val="0"/>
                <w:sz w:val="17"/>
              </w:rPr>
              <w:t>☐ Dedicated live host</w:t>
            </w:r>
          </w:p>
        </w:tc>
        <w:tc>
          <w:tcPr>
            <w:tcW w:type="dxa" w:w="5256"/>
            <w:vAlign w:val="top"/>
            <w:tcMar>
              <w:top w:w="80" w:type="dxa"/>
              <w:start w:w="80" w:type="dxa"/>
              <w:bottom w:w="80" w:type="dxa"/>
              <w:end w:w="80" w:type="dxa"/>
            </w:tcMar>
          </w:tcPr>
          <w:p>
            <w:r>
              <w:rPr>
                <w:sz w:val="17"/>
              </w:rPr>
            </w:r>
            <w:r>
              <w:rPr>
                <w:b w:val="0"/>
                <w:sz w:val="17"/>
              </w:rPr>
              <w:t>☐ No coding/IDE/browser workload on live host during market</w:t>
            </w:r>
          </w:p>
        </w:tc>
      </w:tr>
      <w:tr>
        <w:tc>
          <w:tcPr>
            <w:tcW w:type="dxa" w:w="5256"/>
            <w:vAlign w:val="top"/>
            <w:tcMar>
              <w:top w:w="80" w:type="dxa"/>
              <w:start w:w="80" w:type="dxa"/>
              <w:bottom w:w="80" w:type="dxa"/>
              <w:end w:w="80" w:type="dxa"/>
            </w:tcMar>
          </w:tcPr>
          <w:p>
            <w:r>
              <w:rPr>
                <w:sz w:val="17"/>
              </w:rPr>
            </w:r>
            <w:r>
              <w:rPr>
                <w:b w:val="0"/>
                <w:sz w:val="17"/>
              </w:rPr>
              <w:t>☐ UPS or reliable power</w:t>
            </w:r>
          </w:p>
        </w:tc>
        <w:tc>
          <w:tcPr>
            <w:tcW w:type="dxa" w:w="5256"/>
            <w:vAlign w:val="top"/>
            <w:tcMar>
              <w:top w:w="80" w:type="dxa"/>
              <w:start w:w="80" w:type="dxa"/>
              <w:bottom w:w="80" w:type="dxa"/>
              <w:end w:w="80" w:type="dxa"/>
            </w:tcMar>
          </w:tcPr>
          <w:p>
            <w:r>
              <w:rPr>
                <w:sz w:val="17"/>
              </w:rPr>
            </w:r>
            <w:r>
              <w:rPr>
                <w:b w:val="0"/>
                <w:sz w:val="17"/>
              </w:rPr>
              <w:t>☐ Wired network or redundant network path</w:t>
            </w:r>
          </w:p>
        </w:tc>
      </w:tr>
      <w:tr>
        <w:tc>
          <w:tcPr>
            <w:tcW w:type="dxa" w:w="5256"/>
            <w:vAlign w:val="top"/>
            <w:tcMar>
              <w:top w:w="80" w:type="dxa"/>
              <w:start w:w="80" w:type="dxa"/>
              <w:bottom w:w="80" w:type="dxa"/>
              <w:end w:w="80" w:type="dxa"/>
            </w:tcMar>
          </w:tcPr>
          <w:p>
            <w:r>
              <w:rPr>
                <w:sz w:val="17"/>
              </w:rPr>
            </w:r>
            <w:r>
              <w:rPr>
                <w:b w:val="0"/>
                <w:sz w:val="17"/>
              </w:rPr>
              <w:t>☐ Docker restart policies</w:t>
            </w:r>
          </w:p>
        </w:tc>
        <w:tc>
          <w:tcPr>
            <w:tcW w:type="dxa" w:w="5256"/>
            <w:vAlign w:val="top"/>
            <w:tcMar>
              <w:top w:w="80" w:type="dxa"/>
              <w:start w:w="80" w:type="dxa"/>
              <w:bottom w:w="80" w:type="dxa"/>
              <w:end w:w="80" w:type="dxa"/>
            </w:tcMar>
          </w:tcPr>
          <w:p>
            <w:r>
              <w:rPr>
                <w:sz w:val="17"/>
              </w:rPr>
            </w:r>
            <w:r>
              <w:rPr>
                <w:b w:val="0"/>
                <w:sz w:val="17"/>
              </w:rPr>
              <w:t>☐ Docker log rotation</w:t>
            </w:r>
          </w:p>
        </w:tc>
      </w:tr>
      <w:tr>
        <w:tc>
          <w:tcPr>
            <w:tcW w:type="dxa" w:w="5256"/>
            <w:vAlign w:val="top"/>
            <w:tcMar>
              <w:top w:w="80" w:type="dxa"/>
              <w:start w:w="80" w:type="dxa"/>
              <w:bottom w:w="80" w:type="dxa"/>
              <w:end w:w="80" w:type="dxa"/>
            </w:tcMar>
          </w:tcPr>
          <w:p>
            <w:r>
              <w:rPr>
                <w:sz w:val="17"/>
              </w:rPr>
            </w:r>
            <w:r>
              <w:rPr>
                <w:b w:val="0"/>
                <w:sz w:val="17"/>
              </w:rPr>
              <w:t>☐ Separate dev/prod env files</w:t>
            </w:r>
          </w:p>
        </w:tc>
        <w:tc>
          <w:tcPr>
            <w:tcW w:type="dxa" w:w="5256"/>
            <w:vAlign w:val="top"/>
            <w:tcMar>
              <w:top w:w="80" w:type="dxa"/>
              <w:start w:w="80" w:type="dxa"/>
              <w:bottom w:w="80" w:type="dxa"/>
              <w:end w:w="80" w:type="dxa"/>
            </w:tcMar>
          </w:tcPr>
          <w:p>
            <w:r>
              <w:rPr>
                <w:sz w:val="17"/>
              </w:rPr>
            </w:r>
            <w:r>
              <w:rPr>
                <w:b w:val="0"/>
                <w:sz w:val="17"/>
              </w:rPr>
              <w:t>☐ Pinned image tags</w:t>
            </w:r>
          </w:p>
        </w:tc>
      </w:tr>
      <w:tr>
        <w:tc>
          <w:tcPr>
            <w:tcW w:type="dxa" w:w="5256"/>
            <w:vAlign w:val="top"/>
            <w:tcMar>
              <w:top w:w="80" w:type="dxa"/>
              <w:start w:w="80" w:type="dxa"/>
              <w:bottom w:w="80" w:type="dxa"/>
              <w:end w:w="80" w:type="dxa"/>
            </w:tcMar>
          </w:tcPr>
          <w:p>
            <w:r>
              <w:rPr>
                <w:sz w:val="17"/>
              </w:rPr>
            </w:r>
            <w:r>
              <w:rPr>
                <w:b w:val="0"/>
                <w:sz w:val="17"/>
              </w:rPr>
              <w:t>☐ Rollback command documented</w:t>
            </w:r>
          </w:p>
        </w:tc>
        <w:tc>
          <w:tcPr>
            <w:tcW w:type="dxa" w:w="5256"/>
            <w:vAlign w:val="top"/>
            <w:tcMar>
              <w:top w:w="80" w:type="dxa"/>
              <w:start w:w="80" w:type="dxa"/>
              <w:bottom w:w="80" w:type="dxa"/>
              <w:end w:w="80" w:type="dxa"/>
            </w:tcMar>
          </w:tcPr>
          <w:p/>
        </w:tc>
      </w:tr>
    </w:tbl>
    <w:p>
      <w:pPr>
        <w:pStyle w:val="Heading2"/>
      </w:pPr>
      <w:r>
        <w:t>Database and storage</w:t>
      </w:r>
    </w:p>
    <w:tbl>
      <w:tblPr>
        <w:tblStyle w:val="TableGrid"/>
        <w:tblW w:type="auto" w:w="0"/>
        <w:jc w:val="center"/>
        <w:tblLook w:firstColumn="1" w:firstRow="1" w:lastColumn="0" w:lastRow="0" w:noHBand="0" w:noVBand="1" w:val="04A0"/>
      </w:tblPr>
      <w:tblGrid>
        <w:gridCol w:w="5256"/>
        <w:gridCol w:w="5256"/>
      </w:tblGrid>
      <w:tr>
        <w:tc>
          <w:tcPr>
            <w:tcW w:type="dxa" w:w="5256"/>
            <w:vAlign w:val="top"/>
            <w:tcMar>
              <w:top w:w="80" w:type="dxa"/>
              <w:start w:w="80" w:type="dxa"/>
              <w:bottom w:w="80" w:type="dxa"/>
              <w:end w:w="80" w:type="dxa"/>
            </w:tcMar>
          </w:tcPr>
          <w:p>
            <w:r>
              <w:rPr>
                <w:sz w:val="17"/>
              </w:rPr>
            </w:r>
            <w:r>
              <w:rPr>
                <w:b w:val="0"/>
                <w:sz w:val="17"/>
              </w:rPr>
              <w:t>☐ Postgres backup job</w:t>
            </w:r>
          </w:p>
        </w:tc>
        <w:tc>
          <w:tcPr>
            <w:tcW w:type="dxa" w:w="5256"/>
            <w:vAlign w:val="top"/>
            <w:tcMar>
              <w:top w:w="80" w:type="dxa"/>
              <w:start w:w="80" w:type="dxa"/>
              <w:bottom w:w="80" w:type="dxa"/>
              <w:end w:w="80" w:type="dxa"/>
            </w:tcMar>
          </w:tcPr>
          <w:p>
            <w:r>
              <w:rPr>
                <w:sz w:val="17"/>
              </w:rPr>
            </w:r>
            <w:r>
              <w:rPr>
                <w:b w:val="0"/>
                <w:sz w:val="17"/>
              </w:rPr>
              <w:t>☐ Restore drill completed</w:t>
            </w:r>
          </w:p>
        </w:tc>
      </w:tr>
      <w:tr>
        <w:tc>
          <w:tcPr>
            <w:tcW w:type="dxa" w:w="5256"/>
            <w:vAlign w:val="top"/>
            <w:tcMar>
              <w:top w:w="80" w:type="dxa"/>
              <w:start w:w="80" w:type="dxa"/>
              <w:bottom w:w="80" w:type="dxa"/>
              <w:end w:w="80" w:type="dxa"/>
            </w:tcMar>
          </w:tcPr>
          <w:p>
            <w:r>
              <w:rPr>
                <w:sz w:val="17"/>
              </w:rPr>
            </w:r>
            <w:r>
              <w:rPr>
                <w:b w:val="0"/>
                <w:sz w:val="17"/>
              </w:rPr>
              <w:t>☐ Off-host encrypted backup</w:t>
            </w:r>
          </w:p>
        </w:tc>
        <w:tc>
          <w:tcPr>
            <w:tcW w:type="dxa" w:w="5256"/>
            <w:vAlign w:val="top"/>
            <w:tcMar>
              <w:top w:w="80" w:type="dxa"/>
              <w:start w:w="80" w:type="dxa"/>
              <w:bottom w:w="80" w:type="dxa"/>
              <w:end w:w="80" w:type="dxa"/>
            </w:tcMar>
          </w:tcPr>
          <w:p>
            <w:r>
              <w:rPr>
                <w:sz w:val="17"/>
              </w:rPr>
            </w:r>
            <w:r>
              <w:rPr>
                <w:b w:val="0"/>
                <w:sz w:val="17"/>
              </w:rPr>
              <w:t>☐ Disk space alert</w:t>
            </w:r>
          </w:p>
        </w:tc>
      </w:tr>
      <w:tr>
        <w:tc>
          <w:tcPr>
            <w:tcW w:type="dxa" w:w="5256"/>
            <w:vAlign w:val="top"/>
            <w:tcMar>
              <w:top w:w="80" w:type="dxa"/>
              <w:start w:w="80" w:type="dxa"/>
              <w:bottom w:w="80" w:type="dxa"/>
              <w:end w:w="80" w:type="dxa"/>
            </w:tcMar>
          </w:tcPr>
          <w:p>
            <w:r>
              <w:rPr>
                <w:sz w:val="17"/>
              </w:rPr>
            </w:r>
            <w:r>
              <w:rPr>
                <w:b w:val="0"/>
                <w:sz w:val="17"/>
              </w:rPr>
              <w:t>☐ Timescale retention/compression policy</w:t>
            </w:r>
          </w:p>
        </w:tc>
        <w:tc>
          <w:tcPr>
            <w:tcW w:type="dxa" w:w="5256"/>
            <w:vAlign w:val="top"/>
            <w:tcMar>
              <w:top w:w="80" w:type="dxa"/>
              <w:start w:w="80" w:type="dxa"/>
              <w:bottom w:w="80" w:type="dxa"/>
              <w:end w:w="80" w:type="dxa"/>
            </w:tcMar>
          </w:tcPr>
          <w:p>
            <w:r>
              <w:rPr>
                <w:sz w:val="17"/>
              </w:rPr>
            </w:r>
            <w:r>
              <w:rPr>
                <w:b w:val="0"/>
                <w:sz w:val="17"/>
              </w:rPr>
              <w:t>☐ Connection pool sizing</w:t>
            </w:r>
          </w:p>
        </w:tc>
      </w:tr>
      <w:tr>
        <w:tc>
          <w:tcPr>
            <w:tcW w:type="dxa" w:w="5256"/>
            <w:vAlign w:val="top"/>
            <w:tcMar>
              <w:top w:w="80" w:type="dxa"/>
              <w:start w:w="80" w:type="dxa"/>
              <w:bottom w:w="80" w:type="dxa"/>
              <w:end w:w="80" w:type="dxa"/>
            </w:tcMar>
          </w:tcPr>
          <w:p>
            <w:r>
              <w:rPr>
                <w:sz w:val="17"/>
              </w:rPr>
            </w:r>
            <w:r>
              <w:rPr>
                <w:b w:val="0"/>
                <w:sz w:val="17"/>
              </w:rPr>
              <w:t>☐ Migration rollback plan</w:t>
            </w:r>
          </w:p>
        </w:tc>
        <w:tc>
          <w:tcPr>
            <w:tcW w:type="dxa" w:w="5256"/>
            <w:vAlign w:val="top"/>
            <w:tcMar>
              <w:top w:w="80" w:type="dxa"/>
              <w:start w:w="80" w:type="dxa"/>
              <w:bottom w:w="80" w:type="dxa"/>
              <w:end w:w="80" w:type="dxa"/>
            </w:tcMar>
          </w:tcPr>
          <w:p>
            <w:r>
              <w:rPr>
                <w:sz w:val="17"/>
              </w:rPr>
            </w:r>
            <w:r>
              <w:rPr>
                <w:b w:val="0"/>
                <w:sz w:val="17"/>
              </w:rPr>
              <w:t>☐ Audit tables for order/signal actions</w:t>
            </w:r>
          </w:p>
        </w:tc>
      </w:tr>
    </w:tbl>
    <w:p>
      <w:pPr>
        <w:pStyle w:val="Heading2"/>
      </w:pPr>
      <w:r>
        <w:t>Redis and eventing</w:t>
      </w:r>
    </w:p>
    <w:tbl>
      <w:tblPr>
        <w:tblStyle w:val="TableGrid"/>
        <w:tblW w:type="auto" w:w="0"/>
        <w:jc w:val="center"/>
        <w:tblLook w:firstColumn="1" w:firstRow="1" w:lastColumn="0" w:lastRow="0" w:noHBand="0" w:noVBand="1" w:val="04A0"/>
      </w:tblPr>
      <w:tblGrid>
        <w:gridCol w:w="5256"/>
        <w:gridCol w:w="5256"/>
      </w:tblGrid>
      <w:tr>
        <w:tc>
          <w:tcPr>
            <w:tcW w:type="dxa" w:w="5256"/>
            <w:vAlign w:val="top"/>
            <w:tcMar>
              <w:top w:w="80" w:type="dxa"/>
              <w:start w:w="80" w:type="dxa"/>
              <w:bottom w:w="80" w:type="dxa"/>
              <w:end w:w="80" w:type="dxa"/>
            </w:tcMar>
          </w:tcPr>
          <w:p>
            <w:r>
              <w:rPr>
                <w:sz w:val="17"/>
              </w:rPr>
            </w:r>
            <w:r>
              <w:rPr>
                <w:b w:val="0"/>
                <w:sz w:val="17"/>
              </w:rPr>
              <w:t>☐ Stream schema document</w:t>
            </w:r>
          </w:p>
        </w:tc>
        <w:tc>
          <w:tcPr>
            <w:tcW w:type="dxa" w:w="5256"/>
            <w:vAlign w:val="top"/>
            <w:tcMar>
              <w:top w:w="80" w:type="dxa"/>
              <w:start w:w="80" w:type="dxa"/>
              <w:bottom w:w="80" w:type="dxa"/>
              <w:end w:w="80" w:type="dxa"/>
            </w:tcMar>
          </w:tcPr>
          <w:p>
            <w:r>
              <w:rPr>
                <w:sz w:val="17"/>
              </w:rPr>
            </w:r>
            <w:r>
              <w:rPr>
                <w:b w:val="0"/>
                <w:sz w:val="17"/>
              </w:rPr>
              <w:t>☐ Maxlen/retention per stream</w:t>
            </w:r>
          </w:p>
        </w:tc>
      </w:tr>
      <w:tr>
        <w:tc>
          <w:tcPr>
            <w:tcW w:type="dxa" w:w="5256"/>
            <w:vAlign w:val="top"/>
            <w:tcMar>
              <w:top w:w="80" w:type="dxa"/>
              <w:start w:w="80" w:type="dxa"/>
              <w:bottom w:w="80" w:type="dxa"/>
              <w:end w:w="80" w:type="dxa"/>
            </w:tcMar>
          </w:tcPr>
          <w:p>
            <w:r>
              <w:rPr>
                <w:sz w:val="17"/>
              </w:rPr>
            </w:r>
            <w:r>
              <w:rPr>
                <w:b w:val="0"/>
                <w:sz w:val="17"/>
              </w:rPr>
              <w:t>☐ Dead-letter stream per critical consumer</w:t>
            </w:r>
          </w:p>
        </w:tc>
        <w:tc>
          <w:tcPr>
            <w:tcW w:type="dxa" w:w="5256"/>
            <w:vAlign w:val="top"/>
            <w:tcMar>
              <w:top w:w="80" w:type="dxa"/>
              <w:start w:w="80" w:type="dxa"/>
              <w:bottom w:w="80" w:type="dxa"/>
              <w:end w:w="80" w:type="dxa"/>
            </w:tcMar>
          </w:tcPr>
          <w:p>
            <w:r>
              <w:rPr>
                <w:sz w:val="17"/>
              </w:rPr>
            </w:r>
            <w:r>
              <w:rPr>
                <w:b w:val="0"/>
                <w:sz w:val="17"/>
              </w:rPr>
              <w:t>☐ Consumer lag metrics</w:t>
            </w:r>
          </w:p>
        </w:tc>
      </w:tr>
      <w:tr>
        <w:tc>
          <w:tcPr>
            <w:tcW w:type="dxa" w:w="5256"/>
            <w:vAlign w:val="top"/>
            <w:tcMar>
              <w:top w:w="80" w:type="dxa"/>
              <w:start w:w="80" w:type="dxa"/>
              <w:bottom w:w="80" w:type="dxa"/>
              <w:end w:w="80" w:type="dxa"/>
            </w:tcMar>
          </w:tcPr>
          <w:p>
            <w:r>
              <w:rPr>
                <w:sz w:val="17"/>
              </w:rPr>
            </w:r>
            <w:r>
              <w:rPr>
                <w:b w:val="0"/>
                <w:sz w:val="17"/>
              </w:rPr>
              <w:t>☐ Idempotency keys</w:t>
            </w:r>
          </w:p>
        </w:tc>
        <w:tc>
          <w:tcPr>
            <w:tcW w:type="dxa" w:w="5256"/>
            <w:vAlign w:val="top"/>
            <w:tcMar>
              <w:top w:w="80" w:type="dxa"/>
              <w:start w:w="80" w:type="dxa"/>
              <w:bottom w:w="80" w:type="dxa"/>
              <w:end w:w="80" w:type="dxa"/>
            </w:tcMar>
          </w:tcPr>
          <w:p>
            <w:r>
              <w:rPr>
                <w:sz w:val="17"/>
              </w:rPr>
            </w:r>
            <w:r>
              <w:rPr>
                <w:b w:val="0"/>
                <w:sz w:val="17"/>
              </w:rPr>
              <w:t>☐ Ack after DB/broker side effect</w:t>
            </w:r>
          </w:p>
        </w:tc>
      </w:tr>
      <w:tr>
        <w:tc>
          <w:tcPr>
            <w:tcW w:type="dxa" w:w="5256"/>
            <w:vAlign w:val="top"/>
            <w:tcMar>
              <w:top w:w="80" w:type="dxa"/>
              <w:start w:w="80" w:type="dxa"/>
              <w:bottom w:w="80" w:type="dxa"/>
              <w:end w:w="80" w:type="dxa"/>
            </w:tcMar>
          </w:tcPr>
          <w:p>
            <w:r>
              <w:rPr>
                <w:sz w:val="17"/>
              </w:rPr>
            </w:r>
            <w:r>
              <w:rPr>
                <w:b w:val="0"/>
                <w:sz w:val="17"/>
              </w:rPr>
              <w:t>☐ Replay/catch-up behavior documented</w:t>
            </w:r>
          </w:p>
        </w:tc>
        <w:tc>
          <w:tcPr>
            <w:tcW w:type="dxa" w:w="5256"/>
            <w:vAlign w:val="top"/>
            <w:tcMar>
              <w:top w:w="80" w:type="dxa"/>
              <w:start w:w="80" w:type="dxa"/>
              <w:bottom w:w="80" w:type="dxa"/>
              <w:end w:w="80" w:type="dxa"/>
            </w:tcMar>
          </w:tcPr>
          <w:p/>
        </w:tc>
      </w:tr>
    </w:tbl>
    <w:p>
      <w:pPr>
        <w:pStyle w:val="Heading2"/>
      </w:pPr>
      <w:r>
        <w:t>Trading safety</w:t>
      </w:r>
    </w:p>
    <w:tbl>
      <w:tblPr>
        <w:tblStyle w:val="TableGrid"/>
        <w:tblW w:type="auto" w:w="0"/>
        <w:jc w:val="center"/>
        <w:tblLook w:firstColumn="1" w:firstRow="1" w:lastColumn="0" w:lastRow="0" w:noHBand="0" w:noVBand="1" w:val="04A0"/>
      </w:tblPr>
      <w:tblGrid>
        <w:gridCol w:w="5256"/>
        <w:gridCol w:w="5256"/>
      </w:tblGrid>
      <w:tr>
        <w:tc>
          <w:tcPr>
            <w:tcW w:type="dxa" w:w="5256"/>
            <w:vAlign w:val="top"/>
            <w:tcMar>
              <w:top w:w="80" w:type="dxa"/>
              <w:start w:w="80" w:type="dxa"/>
              <w:bottom w:w="80" w:type="dxa"/>
              <w:end w:w="80" w:type="dxa"/>
            </w:tcMar>
          </w:tcPr>
          <w:p>
            <w:r>
              <w:rPr>
                <w:sz w:val="17"/>
              </w:rPr>
            </w:r>
            <w:r>
              <w:rPr>
                <w:b w:val="0"/>
                <w:sz w:val="17"/>
              </w:rPr>
              <w:t>☐ Global kill switch</w:t>
            </w:r>
          </w:p>
        </w:tc>
        <w:tc>
          <w:tcPr>
            <w:tcW w:type="dxa" w:w="5256"/>
            <w:vAlign w:val="top"/>
            <w:tcMar>
              <w:top w:w="80" w:type="dxa"/>
              <w:start w:w="80" w:type="dxa"/>
              <w:bottom w:w="80" w:type="dxa"/>
              <w:end w:w="80" w:type="dxa"/>
            </w:tcMar>
          </w:tcPr>
          <w:p>
            <w:r>
              <w:rPr>
                <w:sz w:val="17"/>
              </w:rPr>
            </w:r>
            <w:r>
              <w:rPr>
                <w:b w:val="0"/>
                <w:sz w:val="17"/>
              </w:rPr>
              <w:t>☐ Account kill switch</w:t>
            </w:r>
          </w:p>
        </w:tc>
      </w:tr>
      <w:tr>
        <w:tc>
          <w:tcPr>
            <w:tcW w:type="dxa" w:w="5256"/>
            <w:vAlign w:val="top"/>
            <w:tcMar>
              <w:top w:w="80" w:type="dxa"/>
              <w:start w:w="80" w:type="dxa"/>
              <w:bottom w:w="80" w:type="dxa"/>
              <w:end w:w="80" w:type="dxa"/>
            </w:tcMar>
          </w:tcPr>
          <w:p>
            <w:r>
              <w:rPr>
                <w:sz w:val="17"/>
              </w:rPr>
            </w:r>
            <w:r>
              <w:rPr>
                <w:b w:val="0"/>
                <w:sz w:val="17"/>
              </w:rPr>
              <w:t>☐ Strategy kill switch</w:t>
            </w:r>
          </w:p>
        </w:tc>
        <w:tc>
          <w:tcPr>
            <w:tcW w:type="dxa" w:w="5256"/>
            <w:vAlign w:val="top"/>
            <w:tcMar>
              <w:top w:w="80" w:type="dxa"/>
              <w:start w:w="80" w:type="dxa"/>
              <w:bottom w:w="80" w:type="dxa"/>
              <w:end w:w="80" w:type="dxa"/>
            </w:tcMar>
          </w:tcPr>
          <w:p>
            <w:r>
              <w:rPr>
                <w:sz w:val="17"/>
              </w:rPr>
            </w:r>
            <w:r>
              <w:rPr>
                <w:b w:val="0"/>
                <w:sz w:val="17"/>
              </w:rPr>
              <w:t>☐ Max order value</w:t>
            </w:r>
          </w:p>
        </w:tc>
      </w:tr>
      <w:tr>
        <w:tc>
          <w:tcPr>
            <w:tcW w:type="dxa" w:w="5256"/>
            <w:vAlign w:val="top"/>
            <w:tcMar>
              <w:top w:w="80" w:type="dxa"/>
              <w:start w:w="80" w:type="dxa"/>
              <w:bottom w:w="80" w:type="dxa"/>
              <w:end w:w="80" w:type="dxa"/>
            </w:tcMar>
          </w:tcPr>
          <w:p>
            <w:r>
              <w:rPr>
                <w:sz w:val="17"/>
              </w:rPr>
            </w:r>
            <w:r>
              <w:rPr>
                <w:b w:val="0"/>
                <w:sz w:val="17"/>
              </w:rPr>
              <w:t>☐ Max daily loss</w:t>
            </w:r>
          </w:p>
        </w:tc>
        <w:tc>
          <w:tcPr>
            <w:tcW w:type="dxa" w:w="5256"/>
            <w:vAlign w:val="top"/>
            <w:tcMar>
              <w:top w:w="80" w:type="dxa"/>
              <w:start w:w="80" w:type="dxa"/>
              <w:bottom w:w="80" w:type="dxa"/>
              <w:end w:w="80" w:type="dxa"/>
            </w:tcMar>
          </w:tcPr>
          <w:p>
            <w:r>
              <w:rPr>
                <w:sz w:val="17"/>
              </w:rPr>
            </w:r>
            <w:r>
              <w:rPr>
                <w:b w:val="0"/>
                <w:sz w:val="17"/>
              </w:rPr>
              <w:t>☐ Max open positions</w:t>
            </w:r>
          </w:p>
        </w:tc>
      </w:tr>
      <w:tr>
        <w:tc>
          <w:tcPr>
            <w:tcW w:type="dxa" w:w="5256"/>
            <w:vAlign w:val="top"/>
            <w:tcMar>
              <w:top w:w="80" w:type="dxa"/>
              <w:start w:w="80" w:type="dxa"/>
              <w:bottom w:w="80" w:type="dxa"/>
              <w:end w:w="80" w:type="dxa"/>
            </w:tcMar>
          </w:tcPr>
          <w:p>
            <w:r>
              <w:rPr>
                <w:sz w:val="17"/>
              </w:rPr>
            </w:r>
            <w:r>
              <w:rPr>
                <w:b w:val="0"/>
                <w:sz w:val="17"/>
              </w:rPr>
              <w:t>☐ Duplicate order protection</w:t>
            </w:r>
          </w:p>
        </w:tc>
        <w:tc>
          <w:tcPr>
            <w:tcW w:type="dxa" w:w="5256"/>
            <w:vAlign w:val="top"/>
            <w:tcMar>
              <w:top w:w="80" w:type="dxa"/>
              <w:start w:w="80" w:type="dxa"/>
              <w:bottom w:w="80" w:type="dxa"/>
              <w:end w:w="80" w:type="dxa"/>
            </w:tcMar>
          </w:tcPr>
          <w:p>
            <w:r>
              <w:rPr>
                <w:sz w:val="17"/>
              </w:rPr>
            </w:r>
            <w:r>
              <w:rPr>
                <w:b w:val="0"/>
                <w:sz w:val="17"/>
              </w:rPr>
              <w:t>☐ Broker reconciliation loop</w:t>
            </w:r>
          </w:p>
        </w:tc>
      </w:tr>
      <w:tr>
        <w:tc>
          <w:tcPr>
            <w:tcW w:type="dxa" w:w="5256"/>
            <w:vAlign w:val="top"/>
            <w:tcMar>
              <w:top w:w="80" w:type="dxa"/>
              <w:start w:w="80" w:type="dxa"/>
              <w:bottom w:w="80" w:type="dxa"/>
              <w:end w:w="80" w:type="dxa"/>
            </w:tcMar>
          </w:tcPr>
          <w:p>
            <w:r>
              <w:rPr>
                <w:sz w:val="17"/>
              </w:rPr>
            </w:r>
            <w:r>
              <w:rPr>
                <w:b w:val="0"/>
                <w:sz w:val="17"/>
              </w:rPr>
              <w:t>☐ Order state machine documented</w:t>
            </w:r>
          </w:p>
        </w:tc>
        <w:tc>
          <w:tcPr>
            <w:tcW w:type="dxa" w:w="5256"/>
            <w:vAlign w:val="top"/>
            <w:tcMar>
              <w:top w:w="80" w:type="dxa"/>
              <w:start w:w="80" w:type="dxa"/>
              <w:bottom w:w="80" w:type="dxa"/>
              <w:end w:w="80" w:type="dxa"/>
            </w:tcMar>
          </w:tcPr>
          <w:p/>
        </w:tc>
      </w:tr>
    </w:tbl>
    <w:p>
      <w:pPr>
        <w:pStyle w:val="Heading2"/>
      </w:pPr>
      <w:r>
        <w:t>Observability</w:t>
      </w:r>
    </w:p>
    <w:tbl>
      <w:tblPr>
        <w:tblStyle w:val="TableGrid"/>
        <w:tblW w:type="auto" w:w="0"/>
        <w:jc w:val="center"/>
        <w:tblLook w:firstColumn="1" w:firstRow="1" w:lastColumn="0" w:lastRow="0" w:noHBand="0" w:noVBand="1" w:val="04A0"/>
      </w:tblPr>
      <w:tblGrid>
        <w:gridCol w:w="5256"/>
        <w:gridCol w:w="5256"/>
      </w:tblGrid>
      <w:tr>
        <w:tc>
          <w:tcPr>
            <w:tcW w:type="dxa" w:w="5256"/>
            <w:vAlign w:val="top"/>
            <w:tcMar>
              <w:top w:w="80" w:type="dxa"/>
              <w:start w:w="80" w:type="dxa"/>
              <w:bottom w:w="80" w:type="dxa"/>
              <w:end w:w="80" w:type="dxa"/>
            </w:tcMar>
          </w:tcPr>
          <w:p>
            <w:r>
              <w:rPr>
                <w:sz w:val="17"/>
              </w:rPr>
            </w:r>
            <w:r>
              <w:rPr>
                <w:b w:val="0"/>
                <w:sz w:val="17"/>
              </w:rPr>
              <w:t>☐ Live Prometheus metrics</w:t>
            </w:r>
          </w:p>
        </w:tc>
        <w:tc>
          <w:tcPr>
            <w:tcW w:type="dxa" w:w="5256"/>
            <w:vAlign w:val="top"/>
            <w:tcMar>
              <w:top w:w="80" w:type="dxa"/>
              <w:start w:w="80" w:type="dxa"/>
              <w:bottom w:w="80" w:type="dxa"/>
              <w:end w:w="80" w:type="dxa"/>
            </w:tcMar>
          </w:tcPr>
          <w:p>
            <w:r>
              <w:rPr>
                <w:sz w:val="17"/>
              </w:rPr>
            </w:r>
            <w:r>
              <w:rPr>
                <w:b w:val="0"/>
                <w:sz w:val="17"/>
              </w:rPr>
              <w:t>☐ Grafana dashboard for live path</w:t>
            </w:r>
          </w:p>
        </w:tc>
      </w:tr>
      <w:tr>
        <w:tc>
          <w:tcPr>
            <w:tcW w:type="dxa" w:w="5256"/>
            <w:vAlign w:val="top"/>
            <w:tcMar>
              <w:top w:w="80" w:type="dxa"/>
              <w:start w:w="80" w:type="dxa"/>
              <w:bottom w:w="80" w:type="dxa"/>
              <w:end w:w="80" w:type="dxa"/>
            </w:tcMar>
          </w:tcPr>
          <w:p>
            <w:r>
              <w:rPr>
                <w:sz w:val="17"/>
              </w:rPr>
            </w:r>
            <w:r>
              <w:rPr>
                <w:b w:val="0"/>
                <w:sz w:val="17"/>
              </w:rPr>
              <w:t>☐ Alertmanager or notification alerts</w:t>
            </w:r>
          </w:p>
        </w:tc>
        <w:tc>
          <w:tcPr>
            <w:tcW w:type="dxa" w:w="5256"/>
            <w:vAlign w:val="top"/>
            <w:tcMar>
              <w:top w:w="80" w:type="dxa"/>
              <w:start w:w="80" w:type="dxa"/>
              <w:bottom w:w="80" w:type="dxa"/>
              <w:end w:w="80" w:type="dxa"/>
            </w:tcMar>
          </w:tcPr>
          <w:p>
            <w:r>
              <w:rPr>
                <w:sz w:val="17"/>
              </w:rPr>
            </w:r>
            <w:r>
              <w:rPr>
                <w:b w:val="0"/>
                <w:sz w:val="17"/>
              </w:rPr>
              <w:t>☐ Trace/correlation ID across services</w:t>
            </w:r>
          </w:p>
        </w:tc>
      </w:tr>
      <w:tr>
        <w:tc>
          <w:tcPr>
            <w:tcW w:type="dxa" w:w="5256"/>
            <w:vAlign w:val="top"/>
            <w:tcMar>
              <w:top w:w="80" w:type="dxa"/>
              <w:start w:w="80" w:type="dxa"/>
              <w:bottom w:w="80" w:type="dxa"/>
              <w:end w:w="80" w:type="dxa"/>
            </w:tcMar>
          </w:tcPr>
          <w:p>
            <w:r>
              <w:rPr>
                <w:sz w:val="17"/>
              </w:rPr>
            </w:r>
            <w:r>
              <w:rPr>
                <w:b w:val="0"/>
                <w:sz w:val="17"/>
              </w:rPr>
              <w:t>☐ Tick freshness indicator</w:t>
            </w:r>
          </w:p>
        </w:tc>
        <w:tc>
          <w:tcPr>
            <w:tcW w:type="dxa" w:w="5256"/>
            <w:vAlign w:val="top"/>
            <w:tcMar>
              <w:top w:w="80" w:type="dxa"/>
              <w:start w:w="80" w:type="dxa"/>
              <w:bottom w:w="80" w:type="dxa"/>
              <w:end w:w="80" w:type="dxa"/>
            </w:tcMar>
          </w:tcPr>
          <w:p>
            <w:r>
              <w:rPr>
                <w:sz w:val="17"/>
              </w:rPr>
            </w:r>
            <w:r>
              <w:rPr>
                <w:b w:val="0"/>
                <w:sz w:val="17"/>
              </w:rPr>
              <w:t>☐ Broker health indicator</w:t>
            </w:r>
          </w:p>
        </w:tc>
      </w:tr>
      <w:tr>
        <w:tc>
          <w:tcPr>
            <w:tcW w:type="dxa" w:w="5256"/>
            <w:vAlign w:val="top"/>
            <w:tcMar>
              <w:top w:w="80" w:type="dxa"/>
              <w:start w:w="80" w:type="dxa"/>
              <w:bottom w:w="80" w:type="dxa"/>
              <w:end w:w="80" w:type="dxa"/>
            </w:tcMar>
          </w:tcPr>
          <w:p>
            <w:r>
              <w:rPr>
                <w:sz w:val="17"/>
              </w:rPr>
            </w:r>
            <w:r>
              <w:rPr>
                <w:b w:val="0"/>
                <w:sz w:val="17"/>
              </w:rPr>
              <w:t>☐ DB/Redis latency metrics</w:t>
            </w:r>
          </w:p>
        </w:tc>
        <w:tc>
          <w:tcPr>
            <w:tcW w:type="dxa" w:w="5256"/>
            <w:vAlign w:val="top"/>
            <w:tcMar>
              <w:top w:w="80" w:type="dxa"/>
              <w:start w:w="80" w:type="dxa"/>
              <w:bottom w:w="80" w:type="dxa"/>
              <w:end w:w="80" w:type="dxa"/>
            </w:tcMar>
          </w:tcPr>
          <w:p>
            <w:r>
              <w:rPr>
                <w:sz w:val="17"/>
              </w:rPr>
            </w:r>
            <w:r>
              <w:rPr>
                <w:b w:val="0"/>
                <w:sz w:val="17"/>
              </w:rPr>
              <w:t>☐ Incident runbook</w:t>
            </w:r>
          </w:p>
        </w:tc>
      </w:tr>
    </w:tbl>
    <w:p>
      <w:pPr>
        <w:pStyle w:val="Heading2"/>
      </w:pPr>
      <w:r>
        <w:t>Security</w:t>
      </w:r>
    </w:p>
    <w:tbl>
      <w:tblPr>
        <w:tblStyle w:val="TableGrid"/>
        <w:tblW w:type="auto" w:w="0"/>
        <w:jc w:val="center"/>
        <w:tblLook w:firstColumn="1" w:firstRow="1" w:lastColumn="0" w:lastRow="0" w:noHBand="0" w:noVBand="1" w:val="04A0"/>
      </w:tblPr>
      <w:tblGrid>
        <w:gridCol w:w="5256"/>
        <w:gridCol w:w="5256"/>
      </w:tblGrid>
      <w:tr>
        <w:tc>
          <w:tcPr>
            <w:tcW w:type="dxa" w:w="5256"/>
            <w:vAlign w:val="top"/>
            <w:tcMar>
              <w:top w:w="80" w:type="dxa"/>
              <w:start w:w="80" w:type="dxa"/>
              <w:bottom w:w="80" w:type="dxa"/>
              <w:end w:w="80" w:type="dxa"/>
            </w:tcMar>
          </w:tcPr>
          <w:p>
            <w:r>
              <w:rPr>
                <w:sz w:val="17"/>
              </w:rPr>
            </w:r>
            <w:r>
              <w:rPr>
                <w:b w:val="0"/>
                <w:sz w:val="17"/>
              </w:rPr>
              <w:t>☐ HTTPS/TLS</w:t>
            </w:r>
          </w:p>
        </w:tc>
        <w:tc>
          <w:tcPr>
            <w:tcW w:type="dxa" w:w="5256"/>
            <w:vAlign w:val="top"/>
            <w:tcMar>
              <w:top w:w="80" w:type="dxa"/>
              <w:start w:w="80" w:type="dxa"/>
              <w:bottom w:w="80" w:type="dxa"/>
              <w:end w:w="80" w:type="dxa"/>
            </w:tcMar>
          </w:tcPr>
          <w:p>
            <w:r>
              <w:rPr>
                <w:sz w:val="17"/>
              </w:rPr>
            </w:r>
            <w:r>
              <w:rPr>
                <w:b w:val="0"/>
                <w:sz w:val="17"/>
              </w:rPr>
              <w:t>☐ Secure JWT/session handling</w:t>
            </w:r>
          </w:p>
        </w:tc>
      </w:tr>
      <w:tr>
        <w:tc>
          <w:tcPr>
            <w:tcW w:type="dxa" w:w="5256"/>
            <w:vAlign w:val="top"/>
            <w:tcMar>
              <w:top w:w="80" w:type="dxa"/>
              <w:start w:w="80" w:type="dxa"/>
              <w:bottom w:w="80" w:type="dxa"/>
              <w:end w:w="80" w:type="dxa"/>
            </w:tcMar>
          </w:tcPr>
          <w:p>
            <w:r>
              <w:rPr>
                <w:sz w:val="17"/>
              </w:rPr>
            </w:r>
            <w:r>
              <w:rPr>
                <w:b w:val="0"/>
                <w:sz w:val="17"/>
              </w:rPr>
              <w:t>☐ RBAC tested</w:t>
            </w:r>
          </w:p>
        </w:tc>
        <w:tc>
          <w:tcPr>
            <w:tcW w:type="dxa" w:w="5256"/>
            <w:vAlign w:val="top"/>
            <w:tcMar>
              <w:top w:w="80" w:type="dxa"/>
              <w:start w:w="80" w:type="dxa"/>
              <w:bottom w:w="80" w:type="dxa"/>
              <w:end w:w="80" w:type="dxa"/>
            </w:tcMar>
          </w:tcPr>
          <w:p>
            <w:r>
              <w:rPr>
                <w:sz w:val="17"/>
              </w:rPr>
            </w:r>
            <w:r>
              <w:rPr>
                <w:b w:val="0"/>
                <w:sz w:val="17"/>
              </w:rPr>
              <w:t>☐ Broker credentials encrypted</w:t>
            </w:r>
          </w:p>
        </w:tc>
      </w:tr>
      <w:tr>
        <w:tc>
          <w:tcPr>
            <w:tcW w:type="dxa" w:w="5256"/>
            <w:vAlign w:val="top"/>
            <w:tcMar>
              <w:top w:w="80" w:type="dxa"/>
              <w:start w:w="80" w:type="dxa"/>
              <w:bottom w:w="80" w:type="dxa"/>
              <w:end w:w="80" w:type="dxa"/>
            </w:tcMar>
          </w:tcPr>
          <w:p>
            <w:r>
              <w:rPr>
                <w:sz w:val="17"/>
              </w:rPr>
            </w:r>
            <w:r>
              <w:rPr>
                <w:b w:val="0"/>
                <w:sz w:val="17"/>
              </w:rPr>
              <w:t>☐ No secrets in repo</w:t>
            </w:r>
          </w:p>
        </w:tc>
        <w:tc>
          <w:tcPr>
            <w:tcW w:type="dxa" w:w="5256"/>
            <w:vAlign w:val="top"/>
            <w:tcMar>
              <w:top w:w="80" w:type="dxa"/>
              <w:start w:w="80" w:type="dxa"/>
              <w:bottom w:w="80" w:type="dxa"/>
              <w:end w:w="80" w:type="dxa"/>
            </w:tcMar>
          </w:tcPr>
          <w:p>
            <w:r>
              <w:rPr>
                <w:sz w:val="17"/>
              </w:rPr>
            </w:r>
            <w:r>
              <w:rPr>
                <w:b w:val="0"/>
                <w:sz w:val="17"/>
              </w:rPr>
              <w:t>☐ Service-specific credentials</w:t>
            </w:r>
          </w:p>
        </w:tc>
      </w:tr>
      <w:tr>
        <w:tc>
          <w:tcPr>
            <w:tcW w:type="dxa" w:w="5256"/>
            <w:vAlign w:val="top"/>
            <w:tcMar>
              <w:top w:w="80" w:type="dxa"/>
              <w:start w:w="80" w:type="dxa"/>
              <w:bottom w:w="80" w:type="dxa"/>
              <w:end w:w="80" w:type="dxa"/>
            </w:tcMar>
          </w:tcPr>
          <w:p>
            <w:r>
              <w:rPr>
                <w:sz w:val="17"/>
              </w:rPr>
            </w:r>
            <w:r>
              <w:rPr>
                <w:b w:val="0"/>
                <w:sz w:val="17"/>
              </w:rPr>
              <w:t>☐ Admin actions audit log</w:t>
            </w:r>
          </w:p>
        </w:tc>
        <w:tc>
          <w:tcPr>
            <w:tcW w:type="dxa" w:w="5256"/>
            <w:vAlign w:val="top"/>
            <w:tcMar>
              <w:top w:w="80" w:type="dxa"/>
              <w:start w:w="80" w:type="dxa"/>
              <w:bottom w:w="80" w:type="dxa"/>
              <w:end w:w="80" w:type="dxa"/>
            </w:tcMar>
          </w:tcPr>
          <w:p>
            <w:r>
              <w:rPr>
                <w:sz w:val="17"/>
              </w:rPr>
            </w:r>
            <w:r>
              <w:rPr>
                <w:b w:val="0"/>
                <w:sz w:val="17"/>
              </w:rPr>
              <w:t>☐ Dependency vulnerability scan</w:t>
            </w:r>
          </w:p>
        </w:tc>
      </w:tr>
    </w:tbl>
    <w:p>
      <w:pPr>
        <w:pStyle w:val="Heading2"/>
      </w:pPr>
      <w:r>
        <w:t>Testing</w:t>
      </w:r>
    </w:p>
    <w:tbl>
      <w:tblPr>
        <w:tblStyle w:val="TableGrid"/>
        <w:tblW w:type="auto" w:w="0"/>
        <w:jc w:val="center"/>
        <w:tblLook w:firstColumn="1" w:firstRow="1" w:lastColumn="0" w:lastRow="0" w:noHBand="0" w:noVBand="1" w:val="04A0"/>
      </w:tblPr>
      <w:tblGrid>
        <w:gridCol w:w="5256"/>
        <w:gridCol w:w="5256"/>
      </w:tblGrid>
      <w:tr>
        <w:tc>
          <w:tcPr>
            <w:tcW w:type="dxa" w:w="5256"/>
            <w:vAlign w:val="top"/>
            <w:tcMar>
              <w:top w:w="80" w:type="dxa"/>
              <w:start w:w="80" w:type="dxa"/>
              <w:bottom w:w="80" w:type="dxa"/>
              <w:end w:w="80" w:type="dxa"/>
            </w:tcMar>
          </w:tcPr>
          <w:p>
            <w:r>
              <w:rPr>
                <w:sz w:val="17"/>
              </w:rPr>
            </w:r>
            <w:r>
              <w:rPr>
                <w:b w:val="0"/>
                <w:sz w:val="17"/>
              </w:rPr>
              <w:t>☐ Unit tests</w:t>
            </w:r>
          </w:p>
        </w:tc>
        <w:tc>
          <w:tcPr>
            <w:tcW w:type="dxa" w:w="5256"/>
            <w:vAlign w:val="top"/>
            <w:tcMar>
              <w:top w:w="80" w:type="dxa"/>
              <w:start w:w="80" w:type="dxa"/>
              <w:bottom w:w="80" w:type="dxa"/>
              <w:end w:w="80" w:type="dxa"/>
            </w:tcMar>
          </w:tcPr>
          <w:p>
            <w:r>
              <w:rPr>
                <w:sz w:val="17"/>
              </w:rPr>
            </w:r>
            <w:r>
              <w:rPr>
                <w:b w:val="0"/>
                <w:sz w:val="17"/>
              </w:rPr>
              <w:t>☐ Integration tests</w:t>
            </w:r>
          </w:p>
        </w:tc>
      </w:tr>
      <w:tr>
        <w:tc>
          <w:tcPr>
            <w:tcW w:type="dxa" w:w="5256"/>
            <w:vAlign w:val="top"/>
            <w:tcMar>
              <w:top w:w="80" w:type="dxa"/>
              <w:start w:w="80" w:type="dxa"/>
              <w:bottom w:w="80" w:type="dxa"/>
              <w:end w:w="80" w:type="dxa"/>
            </w:tcMar>
          </w:tcPr>
          <w:p>
            <w:r>
              <w:rPr>
                <w:sz w:val="17"/>
              </w:rPr>
            </w:r>
            <w:r>
              <w:rPr>
                <w:b w:val="0"/>
                <w:sz w:val="17"/>
              </w:rPr>
              <w:t>☐ Captured tick replay tests</w:t>
            </w:r>
          </w:p>
        </w:tc>
        <w:tc>
          <w:tcPr>
            <w:tcW w:type="dxa" w:w="5256"/>
            <w:vAlign w:val="top"/>
            <w:tcMar>
              <w:top w:w="80" w:type="dxa"/>
              <w:start w:w="80" w:type="dxa"/>
              <w:bottom w:w="80" w:type="dxa"/>
              <w:end w:w="80" w:type="dxa"/>
            </w:tcMar>
          </w:tcPr>
          <w:p>
            <w:r>
              <w:rPr>
                <w:sz w:val="17"/>
              </w:rPr>
            </w:r>
            <w:r>
              <w:rPr>
                <w:b w:val="0"/>
                <w:sz w:val="17"/>
              </w:rPr>
              <w:t>☐ Broker mock/sandbox tests</w:t>
            </w:r>
          </w:p>
        </w:tc>
      </w:tr>
      <w:tr>
        <w:tc>
          <w:tcPr>
            <w:tcW w:type="dxa" w:w="5256"/>
            <w:vAlign w:val="top"/>
            <w:tcMar>
              <w:top w:w="80" w:type="dxa"/>
              <w:start w:w="80" w:type="dxa"/>
              <w:bottom w:w="80" w:type="dxa"/>
              <w:end w:w="80" w:type="dxa"/>
            </w:tcMar>
          </w:tcPr>
          <w:p>
            <w:r>
              <w:rPr>
                <w:sz w:val="17"/>
              </w:rPr>
            </w:r>
            <w:r>
              <w:rPr>
                <w:b w:val="0"/>
                <w:sz w:val="17"/>
              </w:rPr>
              <w:t>☐ Chaos/restart tests</w:t>
            </w:r>
          </w:p>
        </w:tc>
        <w:tc>
          <w:tcPr>
            <w:tcW w:type="dxa" w:w="5256"/>
            <w:vAlign w:val="top"/>
            <w:tcMar>
              <w:top w:w="80" w:type="dxa"/>
              <w:start w:w="80" w:type="dxa"/>
              <w:bottom w:w="80" w:type="dxa"/>
              <w:end w:w="80" w:type="dxa"/>
            </w:tcMar>
          </w:tcPr>
          <w:p>
            <w:r>
              <w:rPr>
                <w:sz w:val="17"/>
              </w:rPr>
            </w:r>
            <w:r>
              <w:rPr>
                <w:b w:val="0"/>
                <w:sz w:val="17"/>
              </w:rPr>
              <w:t>☐ Backtest/live parity tests</w:t>
            </w:r>
          </w:p>
        </w:tc>
      </w:tr>
      <w:tr>
        <w:tc>
          <w:tcPr>
            <w:tcW w:type="dxa" w:w="5256"/>
            <w:vAlign w:val="top"/>
            <w:tcMar>
              <w:top w:w="80" w:type="dxa"/>
              <w:start w:w="80" w:type="dxa"/>
              <w:bottom w:w="80" w:type="dxa"/>
              <w:end w:w="80" w:type="dxa"/>
            </w:tcMar>
          </w:tcPr>
          <w:p>
            <w:r>
              <w:rPr>
                <w:sz w:val="17"/>
              </w:rPr>
            </w:r>
            <w:r>
              <w:rPr>
                <w:b w:val="0"/>
                <w:sz w:val="17"/>
              </w:rPr>
              <w:t>☐ Load test with expected tick rate</w:t>
            </w:r>
          </w:p>
        </w:tc>
        <w:tc>
          <w:tcPr>
            <w:tcW w:type="dxa" w:w="5256"/>
            <w:vAlign w:val="top"/>
            <w:tcMar>
              <w:top w:w="80" w:type="dxa"/>
              <w:start w:w="80" w:type="dxa"/>
              <w:bottom w:w="80" w:type="dxa"/>
              <w:end w:w="80" w:type="dxa"/>
            </w:tcMar>
          </w:tcPr>
          <w:p>
            <w:r>
              <w:rPr>
                <w:sz w:val="17"/>
              </w:rPr>
            </w:r>
            <w:r>
              <w:rPr>
                <w:b w:val="0"/>
                <w:sz w:val="17"/>
              </w:rPr>
              <w:t>☐ Market-open rehearsal</w:t>
            </w:r>
          </w:p>
        </w:tc>
      </w:tr>
    </w:tbl>
    <w:p>
      <w:pPr>
        <w:pStyle w:val="Heading1"/>
      </w:pPr>
      <w:r>
        <w:t>8. Source References</w:t>
      </w:r>
    </w:p>
    <w:p>
      <w:r>
        <w:t>The critique is based on the uploaded New-AlgoTrading architecture document and the public references below. URLs are included as plain text so the document remains portable outside ChatGPT.</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720"/>
            <w:shd w:fill="1F4E79"/>
            <w:vAlign w:val="top"/>
            <w:tcMar>
              <w:top w:w="80" w:type="dxa"/>
              <w:start w:w="80" w:type="dxa"/>
              <w:bottom w:w="80" w:type="dxa"/>
              <w:end w:w="80" w:type="dxa"/>
            </w:tcMar>
          </w:tcPr>
          <w:p>
            <w:r>
              <w:rPr>
                <w:color w:val="FFFFFF"/>
                <w:sz w:val="17"/>
              </w:rPr>
            </w:r>
            <w:r>
              <w:rPr>
                <w:b/>
                <w:color w:val="FFFFFF"/>
                <w:sz w:val="17"/>
              </w:rPr>
              <w:t>ID</w:t>
            </w:r>
          </w:p>
        </w:tc>
        <w:tc>
          <w:tcPr>
            <w:tcW w:type="dxa" w:w="2448"/>
            <w:shd w:fill="1F4E79"/>
            <w:vAlign w:val="top"/>
            <w:tcMar>
              <w:top w:w="80" w:type="dxa"/>
              <w:start w:w="80" w:type="dxa"/>
              <w:bottom w:w="80" w:type="dxa"/>
              <w:end w:w="80" w:type="dxa"/>
            </w:tcMar>
          </w:tcPr>
          <w:p>
            <w:r>
              <w:rPr>
                <w:color w:val="FFFFFF"/>
                <w:sz w:val="17"/>
              </w:rPr>
            </w:r>
            <w:r>
              <w:rPr>
                <w:b/>
                <w:color w:val="FFFFFF"/>
                <w:sz w:val="17"/>
              </w:rPr>
              <w:t>Reference</w:t>
            </w:r>
          </w:p>
        </w:tc>
        <w:tc>
          <w:tcPr>
            <w:tcW w:type="dxa" w:w="3600"/>
            <w:shd w:fill="1F4E79"/>
            <w:vAlign w:val="top"/>
            <w:tcMar>
              <w:top w:w="80" w:type="dxa"/>
              <w:start w:w="80" w:type="dxa"/>
              <w:bottom w:w="80" w:type="dxa"/>
              <w:end w:w="80" w:type="dxa"/>
            </w:tcMar>
          </w:tcPr>
          <w:p>
            <w:r>
              <w:rPr>
                <w:color w:val="FFFFFF"/>
                <w:sz w:val="17"/>
              </w:rPr>
            </w:r>
            <w:r>
              <w:rPr>
                <w:b/>
                <w:color w:val="FFFFFF"/>
                <w:sz w:val="17"/>
              </w:rPr>
              <w:t>URL</w:t>
            </w:r>
          </w:p>
        </w:tc>
        <w:tc>
          <w:tcPr>
            <w:tcW w:type="dxa" w:w="4320"/>
            <w:shd w:fill="1F4E79"/>
            <w:vAlign w:val="top"/>
            <w:tcMar>
              <w:top w:w="80" w:type="dxa"/>
              <w:start w:w="80" w:type="dxa"/>
              <w:bottom w:w="80" w:type="dxa"/>
              <w:end w:w="80" w:type="dxa"/>
            </w:tcMar>
          </w:tcPr>
          <w:p>
            <w:r>
              <w:rPr>
                <w:color w:val="FFFFFF"/>
                <w:sz w:val="17"/>
              </w:rPr>
            </w:r>
            <w:r>
              <w:rPr>
                <w:b/>
                <w:color w:val="FFFFFF"/>
                <w:sz w:val="17"/>
              </w:rPr>
              <w:t>How it was used</w:t>
            </w:r>
          </w:p>
        </w:tc>
      </w:tr>
      <w:tr>
        <w:tc>
          <w:tcPr>
            <w:tcW w:type="dxa" w:w="720"/>
            <w:vAlign w:val="top"/>
            <w:tcMar>
              <w:top w:w="80" w:type="dxa"/>
              <w:start w:w="80" w:type="dxa"/>
              <w:bottom w:w="80" w:type="dxa"/>
              <w:end w:w="80" w:type="dxa"/>
            </w:tcMar>
          </w:tcPr>
          <w:p>
            <w:r>
              <w:rPr>
                <w:sz w:val="17"/>
              </w:rPr>
            </w:r>
            <w:r>
              <w:rPr>
                <w:b w:val="0"/>
                <w:sz w:val="17"/>
              </w:rPr>
              <w:t>S1</w:t>
            </w:r>
          </w:p>
        </w:tc>
        <w:tc>
          <w:tcPr>
            <w:tcW w:type="dxa" w:w="2448"/>
            <w:vAlign w:val="top"/>
            <w:tcMar>
              <w:top w:w="80" w:type="dxa"/>
              <w:start w:w="80" w:type="dxa"/>
              <w:bottom w:w="80" w:type="dxa"/>
              <w:end w:w="80" w:type="dxa"/>
            </w:tcMar>
          </w:tcPr>
          <w:p>
            <w:r>
              <w:rPr>
                <w:sz w:val="17"/>
              </w:rPr>
            </w:r>
            <w:r>
              <w:rPr>
                <w:b w:val="0"/>
                <w:sz w:val="17"/>
              </w:rPr>
              <w:t>Uploaded input document</w:t>
            </w:r>
          </w:p>
        </w:tc>
        <w:tc>
          <w:tcPr>
            <w:tcW w:type="dxa" w:w="3600"/>
            <w:vAlign w:val="top"/>
            <w:tcMar>
              <w:top w:w="80" w:type="dxa"/>
              <w:start w:w="80" w:type="dxa"/>
              <w:bottom w:w="80" w:type="dxa"/>
              <w:end w:w="80" w:type="dxa"/>
            </w:tcMar>
          </w:tcPr>
          <w:p>
            <w:r>
              <w:rPr>
                <w:sz w:val="17"/>
              </w:rPr>
            </w:r>
            <w:r>
              <w:rPr>
                <w:b w:val="0"/>
                <w:sz w:val="17"/>
              </w:rPr>
              <w:t>AlgoTrading-Architecture(1).docx</w:t>
            </w:r>
          </w:p>
        </w:tc>
        <w:tc>
          <w:tcPr>
            <w:tcW w:type="dxa" w:w="4320"/>
            <w:vAlign w:val="top"/>
            <w:tcMar>
              <w:top w:w="80" w:type="dxa"/>
              <w:start w:w="80" w:type="dxa"/>
              <w:bottom w:w="80" w:type="dxa"/>
              <w:end w:w="80" w:type="dxa"/>
            </w:tcMar>
          </w:tcPr>
          <w:p>
            <w:r>
              <w:rPr>
                <w:sz w:val="17"/>
              </w:rPr>
            </w:r>
            <w:r>
              <w:rPr>
                <w:b w:val="0"/>
                <w:sz w:val="17"/>
              </w:rPr>
              <w:t>Architecture description: service map, container view, runtime flows, data ownership, risks, and commands.</w:t>
            </w:r>
          </w:p>
        </w:tc>
      </w:tr>
      <w:tr>
        <w:tc>
          <w:tcPr>
            <w:tcW w:type="dxa" w:w="720"/>
            <w:vAlign w:val="top"/>
            <w:tcMar>
              <w:top w:w="80" w:type="dxa"/>
              <w:start w:w="80" w:type="dxa"/>
              <w:bottom w:w="80" w:type="dxa"/>
              <w:end w:w="80" w:type="dxa"/>
            </w:tcMar>
          </w:tcPr>
          <w:p>
            <w:r>
              <w:rPr>
                <w:sz w:val="17"/>
              </w:rPr>
            </w:r>
            <w:r>
              <w:rPr>
                <w:b w:val="0"/>
                <w:sz w:val="17"/>
              </w:rPr>
              <w:t>S2</w:t>
            </w:r>
          </w:p>
        </w:tc>
        <w:tc>
          <w:tcPr>
            <w:tcW w:type="dxa" w:w="2448"/>
            <w:vAlign w:val="top"/>
            <w:tcMar>
              <w:top w:w="80" w:type="dxa"/>
              <w:start w:w="80" w:type="dxa"/>
              <w:bottom w:w="80" w:type="dxa"/>
              <w:end w:w="80" w:type="dxa"/>
            </w:tcMar>
          </w:tcPr>
          <w:p>
            <w:r>
              <w:rPr>
                <w:sz w:val="17"/>
              </w:rPr>
            </w:r>
            <w:r>
              <w:rPr>
                <w:b w:val="0"/>
                <w:sz w:val="17"/>
              </w:rPr>
              <w:t>Redis Streams documentation</w:t>
            </w:r>
          </w:p>
        </w:tc>
        <w:tc>
          <w:tcPr>
            <w:tcW w:type="dxa" w:w="3600"/>
            <w:vAlign w:val="top"/>
            <w:tcMar>
              <w:top w:w="80" w:type="dxa"/>
              <w:start w:w="80" w:type="dxa"/>
              <w:bottom w:w="80" w:type="dxa"/>
              <w:end w:w="80" w:type="dxa"/>
            </w:tcMar>
          </w:tcPr>
          <w:p>
            <w:r>
              <w:rPr>
                <w:sz w:val="17"/>
              </w:rPr>
            </w:r>
            <w:r>
              <w:rPr>
                <w:b w:val="0"/>
                <w:sz w:val="17"/>
              </w:rPr>
              <w:t>https://redis.io/docs/latest/develop/data-types/streams/</w:t>
            </w:r>
          </w:p>
        </w:tc>
        <w:tc>
          <w:tcPr>
            <w:tcW w:type="dxa" w:w="4320"/>
            <w:vAlign w:val="top"/>
            <w:tcMar>
              <w:top w:w="80" w:type="dxa"/>
              <w:start w:w="80" w:type="dxa"/>
              <w:bottom w:w="80" w:type="dxa"/>
              <w:end w:w="80" w:type="dxa"/>
            </w:tcMar>
          </w:tcPr>
          <w:p>
            <w:r>
              <w:rPr>
                <w:sz w:val="17"/>
              </w:rPr>
            </w:r>
            <w:r>
              <w:rPr>
                <w:b w:val="0"/>
                <w:sz w:val="17"/>
              </w:rPr>
              <w:t>Supports the recommendation to define consumer-group behavior, pending-entry monitoring, and recovery semantics.</w:t>
            </w:r>
          </w:p>
        </w:tc>
      </w:tr>
      <w:tr>
        <w:tc>
          <w:tcPr>
            <w:tcW w:type="dxa" w:w="720"/>
            <w:vAlign w:val="top"/>
            <w:tcMar>
              <w:top w:w="80" w:type="dxa"/>
              <w:start w:w="80" w:type="dxa"/>
              <w:bottom w:w="80" w:type="dxa"/>
              <w:end w:w="80" w:type="dxa"/>
            </w:tcMar>
          </w:tcPr>
          <w:p>
            <w:r>
              <w:rPr>
                <w:sz w:val="17"/>
              </w:rPr>
            </w:r>
            <w:r>
              <w:rPr>
                <w:b w:val="0"/>
                <w:sz w:val="17"/>
              </w:rPr>
              <w:t>S3</w:t>
            </w:r>
          </w:p>
        </w:tc>
        <w:tc>
          <w:tcPr>
            <w:tcW w:type="dxa" w:w="2448"/>
            <w:vAlign w:val="top"/>
            <w:tcMar>
              <w:top w:w="80" w:type="dxa"/>
              <w:start w:w="80" w:type="dxa"/>
              <w:bottom w:w="80" w:type="dxa"/>
              <w:end w:w="80" w:type="dxa"/>
            </w:tcMar>
          </w:tcPr>
          <w:p>
            <w:r>
              <w:rPr>
                <w:sz w:val="17"/>
              </w:rPr>
            </w:r>
            <w:r>
              <w:rPr>
                <w:b w:val="0"/>
                <w:sz w:val="17"/>
              </w:rPr>
              <w:t>Redis XPENDING command</w:t>
            </w:r>
          </w:p>
        </w:tc>
        <w:tc>
          <w:tcPr>
            <w:tcW w:type="dxa" w:w="3600"/>
            <w:vAlign w:val="top"/>
            <w:tcMar>
              <w:top w:w="80" w:type="dxa"/>
              <w:start w:w="80" w:type="dxa"/>
              <w:bottom w:w="80" w:type="dxa"/>
              <w:end w:w="80" w:type="dxa"/>
            </w:tcMar>
          </w:tcPr>
          <w:p>
            <w:r>
              <w:rPr>
                <w:sz w:val="17"/>
              </w:rPr>
            </w:r>
            <w:r>
              <w:rPr>
                <w:b w:val="0"/>
                <w:sz w:val="17"/>
              </w:rPr>
              <w:t>https://redis.io/docs/latest/commands/xpending/</w:t>
            </w:r>
          </w:p>
        </w:tc>
        <w:tc>
          <w:tcPr>
            <w:tcW w:type="dxa" w:w="4320"/>
            <w:vAlign w:val="top"/>
            <w:tcMar>
              <w:top w:w="80" w:type="dxa"/>
              <w:start w:w="80" w:type="dxa"/>
              <w:bottom w:w="80" w:type="dxa"/>
              <w:end w:w="80" w:type="dxa"/>
            </w:tcMar>
          </w:tcPr>
          <w:p>
            <w:r>
              <w:rPr>
                <w:sz w:val="17"/>
              </w:rPr>
            </w:r>
            <w:r>
              <w:rPr>
                <w:b w:val="0"/>
                <w:sz w:val="17"/>
              </w:rPr>
              <w:t>Supports monitoring of pending entries in Redis stream consumer groups.</w:t>
            </w:r>
          </w:p>
        </w:tc>
      </w:tr>
      <w:tr>
        <w:tc>
          <w:tcPr>
            <w:tcW w:type="dxa" w:w="720"/>
            <w:vAlign w:val="top"/>
            <w:tcMar>
              <w:top w:w="80" w:type="dxa"/>
              <w:start w:w="80" w:type="dxa"/>
              <w:bottom w:w="80" w:type="dxa"/>
              <w:end w:w="80" w:type="dxa"/>
            </w:tcMar>
          </w:tcPr>
          <w:p>
            <w:r>
              <w:rPr>
                <w:sz w:val="17"/>
              </w:rPr>
            </w:r>
            <w:r>
              <w:rPr>
                <w:b w:val="0"/>
                <w:sz w:val="17"/>
              </w:rPr>
              <w:t>S4</w:t>
            </w:r>
          </w:p>
        </w:tc>
        <w:tc>
          <w:tcPr>
            <w:tcW w:type="dxa" w:w="2448"/>
            <w:vAlign w:val="top"/>
            <w:tcMar>
              <w:top w:w="80" w:type="dxa"/>
              <w:start w:w="80" w:type="dxa"/>
              <w:bottom w:w="80" w:type="dxa"/>
              <w:end w:w="80" w:type="dxa"/>
            </w:tcMar>
          </w:tcPr>
          <w:p>
            <w:r>
              <w:rPr>
                <w:sz w:val="17"/>
              </w:rPr>
            </w:r>
            <w:r>
              <w:rPr>
                <w:b w:val="0"/>
                <w:sz w:val="17"/>
              </w:rPr>
              <w:t>Redis XCLAIM command</w:t>
            </w:r>
          </w:p>
        </w:tc>
        <w:tc>
          <w:tcPr>
            <w:tcW w:type="dxa" w:w="3600"/>
            <w:vAlign w:val="top"/>
            <w:tcMar>
              <w:top w:w="80" w:type="dxa"/>
              <w:start w:w="80" w:type="dxa"/>
              <w:bottom w:w="80" w:type="dxa"/>
              <w:end w:w="80" w:type="dxa"/>
            </w:tcMar>
          </w:tcPr>
          <w:p>
            <w:r>
              <w:rPr>
                <w:sz w:val="17"/>
              </w:rPr>
            </w:r>
            <w:r>
              <w:rPr>
                <w:b w:val="0"/>
                <w:sz w:val="17"/>
              </w:rPr>
              <w:t>https://redis.io/docs/latest/commands/xclaim/</w:t>
            </w:r>
          </w:p>
        </w:tc>
        <w:tc>
          <w:tcPr>
            <w:tcW w:type="dxa" w:w="4320"/>
            <w:vAlign w:val="top"/>
            <w:tcMar>
              <w:top w:w="80" w:type="dxa"/>
              <w:start w:w="80" w:type="dxa"/>
              <w:bottom w:w="80" w:type="dxa"/>
              <w:end w:w="80" w:type="dxa"/>
            </w:tcMar>
          </w:tcPr>
          <w:p>
            <w:r>
              <w:rPr>
                <w:sz w:val="17"/>
              </w:rPr>
            </w:r>
            <w:r>
              <w:rPr>
                <w:b w:val="0"/>
                <w:sz w:val="17"/>
              </w:rPr>
              <w:t>Supports ownership transfer/reclaim of pending messages after consumer failure.</w:t>
            </w:r>
          </w:p>
        </w:tc>
      </w:tr>
      <w:tr>
        <w:tc>
          <w:tcPr>
            <w:tcW w:type="dxa" w:w="720"/>
            <w:vAlign w:val="top"/>
            <w:tcMar>
              <w:top w:w="80" w:type="dxa"/>
              <w:start w:w="80" w:type="dxa"/>
              <w:bottom w:w="80" w:type="dxa"/>
              <w:end w:w="80" w:type="dxa"/>
            </w:tcMar>
          </w:tcPr>
          <w:p>
            <w:r>
              <w:rPr>
                <w:sz w:val="17"/>
              </w:rPr>
            </w:r>
            <w:r>
              <w:rPr>
                <w:b w:val="0"/>
                <w:sz w:val="17"/>
              </w:rPr>
              <w:t>S5</w:t>
            </w:r>
          </w:p>
        </w:tc>
        <w:tc>
          <w:tcPr>
            <w:tcW w:type="dxa" w:w="2448"/>
            <w:vAlign w:val="top"/>
            <w:tcMar>
              <w:top w:w="80" w:type="dxa"/>
              <w:start w:w="80" w:type="dxa"/>
              <w:bottom w:w="80" w:type="dxa"/>
              <w:end w:w="80" w:type="dxa"/>
            </w:tcMar>
          </w:tcPr>
          <w:p>
            <w:r>
              <w:rPr>
                <w:sz w:val="17"/>
              </w:rPr>
            </w:r>
            <w:r>
              <w:rPr>
                <w:b w:val="0"/>
                <w:sz w:val="17"/>
              </w:rPr>
              <w:t>TimescaleDB project documentation/README</w:t>
            </w:r>
          </w:p>
        </w:tc>
        <w:tc>
          <w:tcPr>
            <w:tcW w:type="dxa" w:w="3600"/>
            <w:vAlign w:val="top"/>
            <w:tcMar>
              <w:top w:w="80" w:type="dxa"/>
              <w:start w:w="80" w:type="dxa"/>
              <w:bottom w:w="80" w:type="dxa"/>
              <w:end w:w="80" w:type="dxa"/>
            </w:tcMar>
          </w:tcPr>
          <w:p>
            <w:r>
              <w:rPr>
                <w:sz w:val="17"/>
              </w:rPr>
            </w:r>
            <w:r>
              <w:rPr>
                <w:b w:val="0"/>
                <w:sz w:val="17"/>
              </w:rPr>
              <w:t>https://github.com/timescale/timescaledb</w:t>
            </w:r>
          </w:p>
        </w:tc>
        <w:tc>
          <w:tcPr>
            <w:tcW w:type="dxa" w:w="4320"/>
            <w:vAlign w:val="top"/>
            <w:tcMar>
              <w:top w:w="80" w:type="dxa"/>
              <w:start w:w="80" w:type="dxa"/>
              <w:bottom w:w="80" w:type="dxa"/>
              <w:end w:w="80" w:type="dxa"/>
            </w:tcMar>
          </w:tcPr>
          <w:p>
            <w:r>
              <w:rPr>
                <w:sz w:val="17"/>
              </w:rPr>
            </w:r>
            <w:r>
              <w:rPr>
                <w:b w:val="0"/>
                <w:sz w:val="17"/>
              </w:rPr>
              <w:t>Supports using TimescaleDB as a PostgreSQL extension for time-series and real-time analytics workloads.</w:t>
            </w:r>
          </w:p>
        </w:tc>
      </w:tr>
      <w:tr>
        <w:tc>
          <w:tcPr>
            <w:tcW w:type="dxa" w:w="720"/>
            <w:vAlign w:val="top"/>
            <w:tcMar>
              <w:top w:w="80" w:type="dxa"/>
              <w:start w:w="80" w:type="dxa"/>
              <w:bottom w:w="80" w:type="dxa"/>
              <w:end w:w="80" w:type="dxa"/>
            </w:tcMar>
          </w:tcPr>
          <w:p>
            <w:r>
              <w:rPr>
                <w:sz w:val="17"/>
              </w:rPr>
            </w:r>
            <w:r>
              <w:rPr>
                <w:b w:val="0"/>
                <w:sz w:val="17"/>
              </w:rPr>
              <w:t>S6</w:t>
            </w:r>
          </w:p>
        </w:tc>
        <w:tc>
          <w:tcPr>
            <w:tcW w:type="dxa" w:w="2448"/>
            <w:vAlign w:val="top"/>
            <w:tcMar>
              <w:top w:w="80" w:type="dxa"/>
              <w:start w:w="80" w:type="dxa"/>
              <w:bottom w:w="80" w:type="dxa"/>
              <w:end w:w="80" w:type="dxa"/>
            </w:tcMar>
          </w:tcPr>
          <w:p>
            <w:r>
              <w:rPr>
                <w:sz w:val="17"/>
              </w:rPr>
            </w:r>
            <w:r>
              <w:rPr>
                <w:b w:val="0"/>
                <w:sz w:val="17"/>
              </w:rPr>
              <w:t>Nginx WebSocket proxying</w:t>
            </w:r>
          </w:p>
        </w:tc>
        <w:tc>
          <w:tcPr>
            <w:tcW w:type="dxa" w:w="3600"/>
            <w:vAlign w:val="top"/>
            <w:tcMar>
              <w:top w:w="80" w:type="dxa"/>
              <w:start w:w="80" w:type="dxa"/>
              <w:bottom w:w="80" w:type="dxa"/>
              <w:end w:w="80" w:type="dxa"/>
            </w:tcMar>
          </w:tcPr>
          <w:p>
            <w:r>
              <w:rPr>
                <w:sz w:val="17"/>
              </w:rPr>
            </w:r>
            <w:r>
              <w:rPr>
                <w:b w:val="0"/>
                <w:sz w:val="17"/>
              </w:rPr>
              <w:t>https://nginx.org/en/docs/http/websocket.html</w:t>
            </w:r>
          </w:p>
        </w:tc>
        <w:tc>
          <w:tcPr>
            <w:tcW w:type="dxa" w:w="4320"/>
            <w:vAlign w:val="top"/>
            <w:tcMar>
              <w:top w:w="80" w:type="dxa"/>
              <w:start w:w="80" w:type="dxa"/>
              <w:bottom w:w="80" w:type="dxa"/>
              <w:end w:w="80" w:type="dxa"/>
            </w:tcMar>
          </w:tcPr>
          <w:p>
            <w:r>
              <w:rPr>
                <w:sz w:val="17"/>
              </w:rPr>
            </w:r>
            <w:r>
              <w:rPr>
                <w:b w:val="0"/>
                <w:sz w:val="17"/>
              </w:rPr>
              <w:t>Supports the need for explicit Upgrade/Connection handling for WebSocket/Socket.IO proxying.</w:t>
            </w:r>
          </w:p>
        </w:tc>
      </w:tr>
      <w:tr>
        <w:tc>
          <w:tcPr>
            <w:tcW w:type="dxa" w:w="720"/>
            <w:vAlign w:val="top"/>
            <w:tcMar>
              <w:top w:w="80" w:type="dxa"/>
              <w:start w:w="80" w:type="dxa"/>
              <w:bottom w:w="80" w:type="dxa"/>
              <w:end w:w="80" w:type="dxa"/>
            </w:tcMar>
          </w:tcPr>
          <w:p>
            <w:r>
              <w:rPr>
                <w:sz w:val="17"/>
              </w:rPr>
            </w:r>
            <w:r>
              <w:rPr>
                <w:b w:val="0"/>
                <w:sz w:val="17"/>
              </w:rPr>
              <w:t>S7</w:t>
            </w:r>
          </w:p>
        </w:tc>
        <w:tc>
          <w:tcPr>
            <w:tcW w:type="dxa" w:w="2448"/>
            <w:vAlign w:val="top"/>
            <w:tcMar>
              <w:top w:w="80" w:type="dxa"/>
              <w:start w:w="80" w:type="dxa"/>
              <w:bottom w:w="80" w:type="dxa"/>
              <w:end w:w="80" w:type="dxa"/>
            </w:tcMar>
          </w:tcPr>
          <w:p>
            <w:r>
              <w:rPr>
                <w:sz w:val="17"/>
              </w:rPr>
            </w:r>
            <w:r>
              <w:rPr>
                <w:b w:val="0"/>
                <w:sz w:val="17"/>
              </w:rPr>
              <w:t>Nginx reverse proxy documentation</w:t>
            </w:r>
          </w:p>
        </w:tc>
        <w:tc>
          <w:tcPr>
            <w:tcW w:type="dxa" w:w="3600"/>
            <w:vAlign w:val="top"/>
            <w:tcMar>
              <w:top w:w="80" w:type="dxa"/>
              <w:start w:w="80" w:type="dxa"/>
              <w:bottom w:w="80" w:type="dxa"/>
              <w:end w:w="80" w:type="dxa"/>
            </w:tcMar>
          </w:tcPr>
          <w:p>
            <w:r>
              <w:rPr>
                <w:sz w:val="17"/>
              </w:rPr>
            </w:r>
            <w:r>
              <w:rPr>
                <w:b w:val="0"/>
                <w:sz w:val="17"/>
              </w:rPr>
              <w:t>https://docs.nginx.com/nginx/admin-guide/web-server/reverse-proxy/</w:t>
            </w:r>
          </w:p>
        </w:tc>
        <w:tc>
          <w:tcPr>
            <w:tcW w:type="dxa" w:w="4320"/>
            <w:vAlign w:val="top"/>
            <w:tcMar>
              <w:top w:w="80" w:type="dxa"/>
              <w:start w:w="80" w:type="dxa"/>
              <w:bottom w:w="80" w:type="dxa"/>
              <w:end w:w="80" w:type="dxa"/>
            </w:tcMar>
          </w:tcPr>
          <w:p>
            <w:r>
              <w:rPr>
                <w:sz w:val="17"/>
              </w:rPr>
            </w:r>
            <w:r>
              <w:rPr>
                <w:b w:val="0"/>
                <w:sz w:val="17"/>
              </w:rPr>
              <w:t>Supports the need for explicit reverse proxy headers, routing, buffering, and upstream behavior.</w:t>
            </w:r>
          </w:p>
        </w:tc>
      </w:tr>
      <w:tr>
        <w:tc>
          <w:tcPr>
            <w:tcW w:type="dxa" w:w="720"/>
            <w:vAlign w:val="top"/>
            <w:tcMar>
              <w:top w:w="80" w:type="dxa"/>
              <w:start w:w="80" w:type="dxa"/>
              <w:bottom w:w="80" w:type="dxa"/>
              <w:end w:w="80" w:type="dxa"/>
            </w:tcMar>
          </w:tcPr>
          <w:p>
            <w:r>
              <w:rPr>
                <w:sz w:val="17"/>
              </w:rPr>
            </w:r>
            <w:r>
              <w:rPr>
                <w:b w:val="0"/>
                <w:sz w:val="17"/>
              </w:rPr>
              <w:t>S8</w:t>
            </w:r>
          </w:p>
        </w:tc>
        <w:tc>
          <w:tcPr>
            <w:tcW w:type="dxa" w:w="2448"/>
            <w:vAlign w:val="top"/>
            <w:tcMar>
              <w:top w:w="80" w:type="dxa"/>
              <w:start w:w="80" w:type="dxa"/>
              <w:bottom w:w="80" w:type="dxa"/>
              <w:end w:w="80" w:type="dxa"/>
            </w:tcMar>
          </w:tcPr>
          <w:p>
            <w:r>
              <w:rPr>
                <w:sz w:val="17"/>
              </w:rPr>
            </w:r>
            <w:r>
              <w:rPr>
                <w:b w:val="0"/>
                <w:sz w:val="17"/>
              </w:rPr>
              <w:t>Docker Compose service reference</w:t>
            </w:r>
          </w:p>
        </w:tc>
        <w:tc>
          <w:tcPr>
            <w:tcW w:type="dxa" w:w="3600"/>
            <w:vAlign w:val="top"/>
            <w:tcMar>
              <w:top w:w="80" w:type="dxa"/>
              <w:start w:w="80" w:type="dxa"/>
              <w:bottom w:w="80" w:type="dxa"/>
              <w:end w:w="80" w:type="dxa"/>
            </w:tcMar>
          </w:tcPr>
          <w:p>
            <w:r>
              <w:rPr>
                <w:sz w:val="17"/>
              </w:rPr>
            </w:r>
            <w:r>
              <w:rPr>
                <w:b w:val="0"/>
                <w:sz w:val="17"/>
              </w:rPr>
              <w:t>https://docs.docker.com/reference/compose-file/services/</w:t>
            </w:r>
          </w:p>
        </w:tc>
        <w:tc>
          <w:tcPr>
            <w:tcW w:type="dxa" w:w="4320"/>
            <w:vAlign w:val="top"/>
            <w:tcMar>
              <w:top w:w="80" w:type="dxa"/>
              <w:start w:w="80" w:type="dxa"/>
              <w:bottom w:w="80" w:type="dxa"/>
              <w:end w:w="80" w:type="dxa"/>
            </w:tcMar>
          </w:tcPr>
          <w:p>
            <w:r>
              <w:rPr>
                <w:sz w:val="17"/>
              </w:rPr>
            </w:r>
            <w:r>
              <w:rPr>
                <w:b w:val="0"/>
                <w:sz w:val="17"/>
              </w:rPr>
              <w:t>Supports restart policy and production compose configuration recommendations.</w:t>
            </w:r>
          </w:p>
        </w:tc>
      </w:tr>
      <w:tr>
        <w:tc>
          <w:tcPr>
            <w:tcW w:type="dxa" w:w="720"/>
            <w:vAlign w:val="top"/>
            <w:tcMar>
              <w:top w:w="80" w:type="dxa"/>
              <w:start w:w="80" w:type="dxa"/>
              <w:bottom w:w="80" w:type="dxa"/>
              <w:end w:w="80" w:type="dxa"/>
            </w:tcMar>
          </w:tcPr>
          <w:p>
            <w:r>
              <w:rPr>
                <w:sz w:val="17"/>
              </w:rPr>
            </w:r>
            <w:r>
              <w:rPr>
                <w:b w:val="0"/>
                <w:sz w:val="17"/>
              </w:rPr>
              <w:t>S9</w:t>
            </w:r>
          </w:p>
        </w:tc>
        <w:tc>
          <w:tcPr>
            <w:tcW w:type="dxa" w:w="2448"/>
            <w:vAlign w:val="top"/>
            <w:tcMar>
              <w:top w:w="80" w:type="dxa"/>
              <w:start w:w="80" w:type="dxa"/>
              <w:bottom w:w="80" w:type="dxa"/>
              <w:end w:w="80" w:type="dxa"/>
            </w:tcMar>
          </w:tcPr>
          <w:p>
            <w:r>
              <w:rPr>
                <w:sz w:val="17"/>
              </w:rPr>
            </w:r>
            <w:r>
              <w:rPr>
                <w:b w:val="0"/>
                <w:sz w:val="17"/>
              </w:rPr>
              <w:t>Docker logging driver documentation</w:t>
            </w:r>
          </w:p>
        </w:tc>
        <w:tc>
          <w:tcPr>
            <w:tcW w:type="dxa" w:w="3600"/>
            <w:vAlign w:val="top"/>
            <w:tcMar>
              <w:top w:w="80" w:type="dxa"/>
              <w:start w:w="80" w:type="dxa"/>
              <w:bottom w:w="80" w:type="dxa"/>
              <w:end w:w="80" w:type="dxa"/>
            </w:tcMar>
          </w:tcPr>
          <w:p>
            <w:r>
              <w:rPr>
                <w:sz w:val="17"/>
              </w:rPr>
            </w:r>
            <w:r>
              <w:rPr>
                <w:b w:val="0"/>
                <w:sz w:val="17"/>
              </w:rPr>
              <w:t>https://docs.docker.com/engine/logging/drivers/json-file/</w:t>
            </w:r>
          </w:p>
        </w:tc>
        <w:tc>
          <w:tcPr>
            <w:tcW w:type="dxa" w:w="4320"/>
            <w:vAlign w:val="top"/>
            <w:tcMar>
              <w:top w:w="80" w:type="dxa"/>
              <w:start w:w="80" w:type="dxa"/>
              <w:bottom w:w="80" w:type="dxa"/>
              <w:end w:w="80" w:type="dxa"/>
            </w:tcMar>
          </w:tcPr>
          <w:p>
            <w:r>
              <w:rPr>
                <w:sz w:val="17"/>
              </w:rPr>
            </w:r>
            <w:r>
              <w:rPr>
                <w:b w:val="0"/>
                <w:sz w:val="17"/>
              </w:rPr>
              <w:t>Supports log rotation recommendations using max-size and max-file.</w:t>
            </w:r>
          </w:p>
        </w:tc>
      </w:tr>
      <w:tr>
        <w:tc>
          <w:tcPr>
            <w:tcW w:type="dxa" w:w="720"/>
            <w:vAlign w:val="top"/>
            <w:tcMar>
              <w:top w:w="80" w:type="dxa"/>
              <w:start w:w="80" w:type="dxa"/>
              <w:bottom w:w="80" w:type="dxa"/>
              <w:end w:w="80" w:type="dxa"/>
            </w:tcMar>
          </w:tcPr>
          <w:p>
            <w:r>
              <w:rPr>
                <w:sz w:val="17"/>
              </w:rPr>
            </w:r>
            <w:r>
              <w:rPr>
                <w:b w:val="0"/>
                <w:sz w:val="17"/>
              </w:rPr>
              <w:t>S10</w:t>
            </w:r>
          </w:p>
        </w:tc>
        <w:tc>
          <w:tcPr>
            <w:tcW w:type="dxa" w:w="2448"/>
            <w:vAlign w:val="top"/>
            <w:tcMar>
              <w:top w:w="80" w:type="dxa"/>
              <w:start w:w="80" w:type="dxa"/>
              <w:bottom w:w="80" w:type="dxa"/>
              <w:end w:w="80" w:type="dxa"/>
            </w:tcMar>
          </w:tcPr>
          <w:p>
            <w:r>
              <w:rPr>
                <w:sz w:val="17"/>
              </w:rPr>
            </w:r>
            <w:r>
              <w:rPr>
                <w:b w:val="0"/>
                <w:sz w:val="17"/>
              </w:rPr>
              <w:t>Prometheus instrumentation best practices</w:t>
            </w:r>
          </w:p>
        </w:tc>
        <w:tc>
          <w:tcPr>
            <w:tcW w:type="dxa" w:w="3600"/>
            <w:vAlign w:val="top"/>
            <w:tcMar>
              <w:top w:w="80" w:type="dxa"/>
              <w:start w:w="80" w:type="dxa"/>
              <w:bottom w:w="80" w:type="dxa"/>
              <w:end w:w="80" w:type="dxa"/>
            </w:tcMar>
          </w:tcPr>
          <w:p>
            <w:r>
              <w:rPr>
                <w:sz w:val="17"/>
              </w:rPr>
            </w:r>
            <w:r>
              <w:rPr>
                <w:b w:val="0"/>
                <w:sz w:val="17"/>
              </w:rPr>
              <w:t>https://prometheus.io/docs/practices/instrumentation/</w:t>
            </w:r>
          </w:p>
        </w:tc>
        <w:tc>
          <w:tcPr>
            <w:tcW w:type="dxa" w:w="4320"/>
            <w:vAlign w:val="top"/>
            <w:tcMar>
              <w:top w:w="80" w:type="dxa"/>
              <w:start w:w="80" w:type="dxa"/>
              <w:bottom w:w="80" w:type="dxa"/>
              <w:end w:w="80" w:type="dxa"/>
            </w:tcMar>
          </w:tcPr>
          <w:p>
            <w:r>
              <w:rPr>
                <w:sz w:val="17"/>
              </w:rPr>
            </w:r>
            <w:r>
              <w:rPr>
                <w:b w:val="0"/>
                <w:sz w:val="17"/>
              </w:rPr>
              <w:t>Supports instrumenting each subsystem with metrics.</w:t>
            </w:r>
          </w:p>
        </w:tc>
      </w:tr>
      <w:tr>
        <w:tc>
          <w:tcPr>
            <w:tcW w:type="dxa" w:w="720"/>
            <w:vAlign w:val="top"/>
            <w:tcMar>
              <w:top w:w="80" w:type="dxa"/>
              <w:start w:w="80" w:type="dxa"/>
              <w:bottom w:w="80" w:type="dxa"/>
              <w:end w:w="80" w:type="dxa"/>
            </w:tcMar>
          </w:tcPr>
          <w:p>
            <w:r>
              <w:rPr>
                <w:sz w:val="17"/>
              </w:rPr>
            </w:r>
            <w:r>
              <w:rPr>
                <w:b w:val="0"/>
                <w:sz w:val="17"/>
              </w:rPr>
              <w:t>S11</w:t>
            </w:r>
          </w:p>
        </w:tc>
        <w:tc>
          <w:tcPr>
            <w:tcW w:type="dxa" w:w="2448"/>
            <w:vAlign w:val="top"/>
            <w:tcMar>
              <w:top w:w="80" w:type="dxa"/>
              <w:start w:w="80" w:type="dxa"/>
              <w:bottom w:w="80" w:type="dxa"/>
              <w:end w:w="80" w:type="dxa"/>
            </w:tcMar>
          </w:tcPr>
          <w:p>
            <w:r>
              <w:rPr>
                <w:sz w:val="17"/>
              </w:rPr>
            </w:r>
            <w:r>
              <w:rPr>
                <w:b w:val="0"/>
                <w:sz w:val="17"/>
              </w:rPr>
              <w:t>OpenTelemetry overview</w:t>
            </w:r>
          </w:p>
        </w:tc>
        <w:tc>
          <w:tcPr>
            <w:tcW w:type="dxa" w:w="3600"/>
            <w:vAlign w:val="top"/>
            <w:tcMar>
              <w:top w:w="80" w:type="dxa"/>
              <w:start w:w="80" w:type="dxa"/>
              <w:bottom w:w="80" w:type="dxa"/>
              <w:end w:w="80" w:type="dxa"/>
            </w:tcMar>
          </w:tcPr>
          <w:p>
            <w:r>
              <w:rPr>
                <w:sz w:val="17"/>
              </w:rPr>
            </w:r>
            <w:r>
              <w:rPr>
                <w:b w:val="0"/>
                <w:sz w:val="17"/>
              </w:rPr>
              <w:t>https://opentelemetry.io/</w:t>
            </w:r>
          </w:p>
        </w:tc>
        <w:tc>
          <w:tcPr>
            <w:tcW w:type="dxa" w:w="4320"/>
            <w:vAlign w:val="top"/>
            <w:tcMar>
              <w:top w:w="80" w:type="dxa"/>
              <w:start w:w="80" w:type="dxa"/>
              <w:bottom w:w="80" w:type="dxa"/>
              <w:end w:w="80" w:type="dxa"/>
            </w:tcMar>
          </w:tcPr>
          <w:p>
            <w:r>
              <w:rPr>
                <w:sz w:val="17"/>
              </w:rPr>
            </w:r>
            <w:r>
              <w:rPr>
                <w:b w:val="0"/>
                <w:sz w:val="17"/>
              </w:rPr>
              <w:t>Supports distributed telemetry/tracing recommendations.</w:t>
            </w:r>
          </w:p>
        </w:tc>
      </w:tr>
      <w:tr>
        <w:tc>
          <w:tcPr>
            <w:tcW w:type="dxa" w:w="720"/>
            <w:vAlign w:val="top"/>
            <w:tcMar>
              <w:top w:w="80" w:type="dxa"/>
              <w:start w:w="80" w:type="dxa"/>
              <w:bottom w:w="80" w:type="dxa"/>
              <w:end w:w="80" w:type="dxa"/>
            </w:tcMar>
          </w:tcPr>
          <w:p>
            <w:r>
              <w:rPr>
                <w:sz w:val="17"/>
              </w:rPr>
            </w:r>
            <w:r>
              <w:rPr>
                <w:b w:val="0"/>
                <w:sz w:val="17"/>
              </w:rPr>
              <w:t>S12</w:t>
            </w:r>
          </w:p>
        </w:tc>
        <w:tc>
          <w:tcPr>
            <w:tcW w:type="dxa" w:w="2448"/>
            <w:vAlign w:val="top"/>
            <w:tcMar>
              <w:top w:w="80" w:type="dxa"/>
              <w:start w:w="80" w:type="dxa"/>
              <w:bottom w:w="80" w:type="dxa"/>
              <w:end w:w="80" w:type="dxa"/>
            </w:tcMar>
          </w:tcPr>
          <w:p>
            <w:r>
              <w:rPr>
                <w:sz w:val="17"/>
              </w:rPr>
            </w:r>
            <w:r>
              <w:rPr>
                <w:b w:val="0"/>
                <w:sz w:val="17"/>
              </w:rPr>
              <w:t>OWASP JWT testing guidance</w:t>
            </w:r>
          </w:p>
        </w:tc>
        <w:tc>
          <w:tcPr>
            <w:tcW w:type="dxa" w:w="3600"/>
            <w:vAlign w:val="top"/>
            <w:tcMar>
              <w:top w:w="80" w:type="dxa"/>
              <w:start w:w="80" w:type="dxa"/>
              <w:bottom w:w="80" w:type="dxa"/>
              <w:end w:w="80" w:type="dxa"/>
            </w:tcMar>
          </w:tcPr>
          <w:p>
            <w:r>
              <w:rPr>
                <w:sz w:val="17"/>
              </w:rPr>
            </w:r>
            <w:r>
              <w:rPr>
                <w:b w:val="0"/>
                <w:sz w:val="17"/>
              </w:rPr>
              <w:t>https://owasp.org/www-project-web-security-testing-guide/latest/4-Web_Application_Security_Testing/06-Session_Management_Testing/10-Testing_JSON_Web_Tokens</w:t>
            </w:r>
          </w:p>
        </w:tc>
        <w:tc>
          <w:tcPr>
            <w:tcW w:type="dxa" w:w="4320"/>
            <w:vAlign w:val="top"/>
            <w:tcMar>
              <w:top w:w="80" w:type="dxa"/>
              <w:start w:w="80" w:type="dxa"/>
              <w:bottom w:w="80" w:type="dxa"/>
              <w:end w:w="80" w:type="dxa"/>
            </w:tcMar>
          </w:tcPr>
          <w:p>
            <w:r>
              <w:rPr>
                <w:sz w:val="17"/>
              </w:rPr>
            </w:r>
            <w:r>
              <w:rPr>
                <w:b w:val="0"/>
                <w:sz w:val="17"/>
              </w:rPr>
              <w:t>Supports recommendations around secure JWT storage/transmission and not putting sensitive data in token payloads.</w:t>
            </w:r>
          </w:p>
        </w:tc>
      </w:tr>
      <w:tr>
        <w:tc>
          <w:tcPr>
            <w:tcW w:type="dxa" w:w="720"/>
            <w:vAlign w:val="top"/>
            <w:tcMar>
              <w:top w:w="80" w:type="dxa"/>
              <w:start w:w="80" w:type="dxa"/>
              <w:bottom w:w="80" w:type="dxa"/>
              <w:end w:w="80" w:type="dxa"/>
            </w:tcMar>
          </w:tcPr>
          <w:p>
            <w:r>
              <w:rPr>
                <w:sz w:val="17"/>
              </w:rPr>
            </w:r>
            <w:r>
              <w:rPr>
                <w:b w:val="0"/>
                <w:sz w:val="17"/>
              </w:rPr>
              <w:t>S13</w:t>
            </w:r>
          </w:p>
        </w:tc>
        <w:tc>
          <w:tcPr>
            <w:tcW w:type="dxa" w:w="2448"/>
            <w:vAlign w:val="top"/>
            <w:tcMar>
              <w:top w:w="80" w:type="dxa"/>
              <w:start w:w="80" w:type="dxa"/>
              <w:bottom w:w="80" w:type="dxa"/>
              <w:end w:w="80" w:type="dxa"/>
            </w:tcMar>
          </w:tcPr>
          <w:p>
            <w:r>
              <w:rPr>
                <w:sz w:val="17"/>
              </w:rPr>
            </w:r>
            <w:r>
              <w:rPr>
                <w:b w:val="0"/>
                <w:sz w:val="17"/>
              </w:rPr>
              <w:t>Next.js deployment documentation</w:t>
            </w:r>
          </w:p>
        </w:tc>
        <w:tc>
          <w:tcPr>
            <w:tcW w:type="dxa" w:w="3600"/>
            <w:vAlign w:val="top"/>
            <w:tcMar>
              <w:top w:w="80" w:type="dxa"/>
              <w:start w:w="80" w:type="dxa"/>
              <w:bottom w:w="80" w:type="dxa"/>
              <w:end w:w="80" w:type="dxa"/>
            </w:tcMar>
          </w:tcPr>
          <w:p>
            <w:r>
              <w:rPr>
                <w:sz w:val="17"/>
              </w:rPr>
            </w:r>
            <w:r>
              <w:rPr>
                <w:b w:val="0"/>
                <w:sz w:val="17"/>
              </w:rPr>
              <w:t>https://nextjs.org/docs/app/getting-started/deploying</w:t>
            </w:r>
          </w:p>
        </w:tc>
        <w:tc>
          <w:tcPr>
            <w:tcW w:type="dxa" w:w="4320"/>
            <w:vAlign w:val="top"/>
            <w:tcMar>
              <w:top w:w="80" w:type="dxa"/>
              <w:start w:w="80" w:type="dxa"/>
              <w:bottom w:w="80" w:type="dxa"/>
              <w:end w:w="80" w:type="dxa"/>
            </w:tcMar>
          </w:tcPr>
          <w:p>
            <w:r>
              <w:rPr>
                <w:sz w:val="17"/>
              </w:rPr>
            </w:r>
            <w:r>
              <w:rPr>
                <w:b w:val="0"/>
                <w:sz w:val="17"/>
              </w:rPr>
              <w:t>Supports using standalone production output for compact Docker deployments.</w:t>
            </w:r>
          </w:p>
        </w:tc>
      </w:tr>
      <w:tr>
        <w:tc>
          <w:tcPr>
            <w:tcW w:type="dxa" w:w="720"/>
            <w:vAlign w:val="top"/>
            <w:tcMar>
              <w:top w:w="80" w:type="dxa"/>
              <w:start w:w="80" w:type="dxa"/>
              <w:bottom w:w="80" w:type="dxa"/>
              <w:end w:w="80" w:type="dxa"/>
            </w:tcMar>
          </w:tcPr>
          <w:p>
            <w:r>
              <w:rPr>
                <w:sz w:val="17"/>
              </w:rPr>
            </w:r>
            <w:r>
              <w:rPr>
                <w:b w:val="0"/>
                <w:sz w:val="17"/>
              </w:rPr>
              <w:t>S14</w:t>
            </w:r>
          </w:p>
        </w:tc>
        <w:tc>
          <w:tcPr>
            <w:tcW w:type="dxa" w:w="2448"/>
            <w:vAlign w:val="top"/>
            <w:tcMar>
              <w:top w:w="80" w:type="dxa"/>
              <w:start w:w="80" w:type="dxa"/>
              <w:bottom w:w="80" w:type="dxa"/>
              <w:end w:w="80" w:type="dxa"/>
            </w:tcMar>
          </w:tcPr>
          <w:p>
            <w:r>
              <w:rPr>
                <w:sz w:val="17"/>
              </w:rPr>
            </w:r>
            <w:r>
              <w:rPr>
                <w:b w:val="0"/>
                <w:sz w:val="17"/>
              </w:rPr>
              <w:t>PostgreSQL official site</w:t>
            </w:r>
          </w:p>
        </w:tc>
        <w:tc>
          <w:tcPr>
            <w:tcW w:type="dxa" w:w="3600"/>
            <w:vAlign w:val="top"/>
            <w:tcMar>
              <w:top w:w="80" w:type="dxa"/>
              <w:start w:w="80" w:type="dxa"/>
              <w:bottom w:w="80" w:type="dxa"/>
              <w:end w:w="80" w:type="dxa"/>
            </w:tcMar>
          </w:tcPr>
          <w:p>
            <w:r>
              <w:rPr>
                <w:sz w:val="17"/>
              </w:rPr>
            </w:r>
            <w:r>
              <w:rPr>
                <w:b w:val="0"/>
                <w:sz w:val="17"/>
              </w:rPr>
              <w:t>https://www.postgresql.org/</w:t>
            </w:r>
          </w:p>
        </w:tc>
        <w:tc>
          <w:tcPr>
            <w:tcW w:type="dxa" w:w="4320"/>
            <w:vAlign w:val="top"/>
            <w:tcMar>
              <w:top w:w="80" w:type="dxa"/>
              <w:start w:w="80" w:type="dxa"/>
              <w:bottom w:w="80" w:type="dxa"/>
              <w:end w:w="80" w:type="dxa"/>
            </w:tcMar>
          </w:tcPr>
          <w:p>
            <w:r>
              <w:rPr>
                <w:sz w:val="17"/>
              </w:rPr>
            </w:r>
            <w:r>
              <w:rPr>
                <w:b w:val="0"/>
                <w:sz w:val="17"/>
              </w:rPr>
              <w:t>Supports PostgreSQL reliability/feature robustness as the durable data platform.</w:t>
            </w:r>
          </w:p>
        </w:tc>
      </w:tr>
      <w:tr>
        <w:tc>
          <w:tcPr>
            <w:tcW w:type="dxa" w:w="720"/>
            <w:vAlign w:val="top"/>
            <w:tcMar>
              <w:top w:w="80" w:type="dxa"/>
              <w:start w:w="80" w:type="dxa"/>
              <w:bottom w:w="80" w:type="dxa"/>
              <w:end w:w="80" w:type="dxa"/>
            </w:tcMar>
          </w:tcPr>
          <w:p>
            <w:r>
              <w:rPr>
                <w:sz w:val="17"/>
              </w:rPr>
            </w:r>
            <w:r>
              <w:rPr>
                <w:b w:val="0"/>
                <w:sz w:val="17"/>
              </w:rPr>
              <w:t>S15</w:t>
            </w:r>
          </w:p>
        </w:tc>
        <w:tc>
          <w:tcPr>
            <w:tcW w:type="dxa" w:w="2448"/>
            <w:vAlign w:val="top"/>
            <w:tcMar>
              <w:top w:w="80" w:type="dxa"/>
              <w:start w:w="80" w:type="dxa"/>
              <w:bottom w:w="80" w:type="dxa"/>
              <w:end w:w="80" w:type="dxa"/>
            </w:tcMar>
          </w:tcPr>
          <w:p>
            <w:r>
              <w:rPr>
                <w:sz w:val="17"/>
              </w:rPr>
            </w:r>
            <w:r>
              <w:rPr>
                <w:b w:val="0"/>
                <w:sz w:val="17"/>
              </w:rPr>
              <w:t>Angel One SmartAPI developer portal</w:t>
            </w:r>
          </w:p>
        </w:tc>
        <w:tc>
          <w:tcPr>
            <w:tcW w:type="dxa" w:w="3600"/>
            <w:vAlign w:val="top"/>
            <w:tcMar>
              <w:top w:w="80" w:type="dxa"/>
              <w:start w:w="80" w:type="dxa"/>
              <w:bottom w:w="80" w:type="dxa"/>
              <w:end w:w="80" w:type="dxa"/>
            </w:tcMar>
          </w:tcPr>
          <w:p>
            <w:r>
              <w:rPr>
                <w:sz w:val="17"/>
              </w:rPr>
            </w:r>
            <w:r>
              <w:rPr>
                <w:b w:val="0"/>
                <w:sz w:val="17"/>
              </w:rPr>
              <w:t>https://smartapi.angelbroking.com/docs</w:t>
            </w:r>
          </w:p>
        </w:tc>
        <w:tc>
          <w:tcPr>
            <w:tcW w:type="dxa" w:w="4320"/>
            <w:vAlign w:val="top"/>
            <w:tcMar>
              <w:top w:w="80" w:type="dxa"/>
              <w:start w:w="80" w:type="dxa"/>
              <w:bottom w:w="80" w:type="dxa"/>
              <w:end w:w="80" w:type="dxa"/>
            </w:tcMar>
          </w:tcPr>
          <w:p>
            <w:r>
              <w:rPr>
                <w:sz w:val="17"/>
              </w:rPr>
            </w:r>
            <w:r>
              <w:rPr>
                <w:b w:val="0"/>
                <w:sz w:val="17"/>
              </w:rPr>
              <w:t>Supports broker API integration review context.</w:t>
            </w:r>
          </w:p>
        </w:tc>
      </w:tr>
      <w:tr>
        <w:tc>
          <w:tcPr>
            <w:tcW w:type="dxa" w:w="720"/>
            <w:vAlign w:val="top"/>
            <w:tcMar>
              <w:top w:w="80" w:type="dxa"/>
              <w:start w:w="80" w:type="dxa"/>
              <w:bottom w:w="80" w:type="dxa"/>
              <w:end w:w="80" w:type="dxa"/>
            </w:tcMar>
          </w:tcPr>
          <w:p>
            <w:r>
              <w:rPr>
                <w:sz w:val="17"/>
              </w:rPr>
            </w:r>
            <w:r>
              <w:rPr>
                <w:b w:val="0"/>
                <w:sz w:val="17"/>
              </w:rPr>
              <w:t>S16</w:t>
            </w:r>
          </w:p>
        </w:tc>
        <w:tc>
          <w:tcPr>
            <w:tcW w:type="dxa" w:w="2448"/>
            <w:vAlign w:val="top"/>
            <w:tcMar>
              <w:top w:w="80" w:type="dxa"/>
              <w:start w:w="80" w:type="dxa"/>
              <w:bottom w:w="80" w:type="dxa"/>
              <w:end w:w="80" w:type="dxa"/>
            </w:tcMar>
          </w:tcPr>
          <w:p>
            <w:r>
              <w:rPr>
                <w:sz w:val="17"/>
              </w:rPr>
            </w:r>
            <w:r>
              <w:rPr>
                <w:b w:val="0"/>
                <w:sz w:val="17"/>
              </w:rPr>
              <w:t>Angel One SmartAPI rate-limit forum notice</w:t>
            </w:r>
          </w:p>
        </w:tc>
        <w:tc>
          <w:tcPr>
            <w:tcW w:type="dxa" w:w="3600"/>
            <w:vAlign w:val="top"/>
            <w:tcMar>
              <w:top w:w="80" w:type="dxa"/>
              <w:start w:w="80" w:type="dxa"/>
              <w:bottom w:w="80" w:type="dxa"/>
              <w:end w:w="80" w:type="dxa"/>
            </w:tcMar>
          </w:tcPr>
          <w:p>
            <w:r>
              <w:rPr>
                <w:sz w:val="17"/>
              </w:rPr>
            </w:r>
            <w:r>
              <w:rPr>
                <w:b w:val="0"/>
                <w:sz w:val="17"/>
              </w:rPr>
              <w:t>https://smartapi.angelone.in/smartapi/forum/topic/4387/changes-in-api-rate-limit</w:t>
            </w:r>
          </w:p>
        </w:tc>
        <w:tc>
          <w:tcPr>
            <w:tcW w:type="dxa" w:w="4320"/>
            <w:vAlign w:val="top"/>
            <w:tcMar>
              <w:top w:w="80" w:type="dxa"/>
              <w:start w:w="80" w:type="dxa"/>
              <w:bottom w:w="80" w:type="dxa"/>
              <w:end w:w="80" w:type="dxa"/>
            </w:tcMar>
          </w:tcPr>
          <w:p>
            <w:r>
              <w:rPr>
                <w:sz w:val="17"/>
              </w:rPr>
            </w:r>
            <w:r>
              <w:rPr>
                <w:b w:val="0"/>
                <w:sz w:val="17"/>
              </w:rPr>
              <w:t>Supports the recommendation for centralized broker API throttling and rate-limit awareness.</w:t>
            </w:r>
          </w:p>
        </w:tc>
      </w:tr>
    </w:tbl>
    <w:p>
      <w:pPr>
        <w:pStyle w:val="Heading1"/>
      </w:pPr>
      <w:r>
        <w:t>Appendix A: Input-document observations mapped to recommendations</w:t>
      </w:r>
    </w:p>
    <w:tbl>
      <w:tblPr>
        <w:tblStyle w:val="TableGrid"/>
        <w:tblW w:type="auto" w:w="0"/>
        <w:jc w:val="center"/>
        <w:tblLook w:firstColumn="1" w:firstRow="1" w:lastColumn="0" w:lastRow="0" w:noHBand="0" w:noVBand="1" w:val="04A0"/>
      </w:tblPr>
      <w:tblGrid>
        <w:gridCol w:w="3504"/>
        <w:gridCol w:w="3504"/>
        <w:gridCol w:w="3504"/>
      </w:tblGrid>
      <w:tr>
        <w:tc>
          <w:tcPr>
            <w:tcW w:type="dxa" w:w="3312"/>
            <w:shd w:fill="1F4E79"/>
            <w:vAlign w:val="top"/>
            <w:tcMar>
              <w:top w:w="80" w:type="dxa"/>
              <w:start w:w="80" w:type="dxa"/>
              <w:bottom w:w="80" w:type="dxa"/>
              <w:end w:w="80" w:type="dxa"/>
            </w:tcMar>
          </w:tcPr>
          <w:p>
            <w:r>
              <w:rPr>
                <w:color w:val="FFFFFF"/>
                <w:sz w:val="17"/>
              </w:rPr>
            </w:r>
            <w:r>
              <w:rPr>
                <w:b/>
                <w:color w:val="FFFFFF"/>
                <w:sz w:val="17"/>
              </w:rPr>
              <w:t>Input observation</w:t>
            </w:r>
          </w:p>
        </w:tc>
        <w:tc>
          <w:tcPr>
            <w:tcW w:type="dxa" w:w="3456"/>
            <w:shd w:fill="1F4E79"/>
            <w:vAlign w:val="top"/>
            <w:tcMar>
              <w:top w:w="80" w:type="dxa"/>
              <w:start w:w="80" w:type="dxa"/>
              <w:bottom w:w="80" w:type="dxa"/>
              <w:end w:w="80" w:type="dxa"/>
            </w:tcMar>
          </w:tcPr>
          <w:p>
            <w:r>
              <w:rPr>
                <w:color w:val="FFFFFF"/>
                <w:sz w:val="17"/>
              </w:rPr>
            </w:r>
            <w:r>
              <w:rPr>
                <w:b/>
                <w:color w:val="FFFFFF"/>
                <w:sz w:val="17"/>
              </w:rPr>
              <w:t>Praise/Critique</w:t>
            </w:r>
          </w:p>
        </w:tc>
        <w:tc>
          <w:tcPr>
            <w:tcW w:type="dxa" w:w="3600"/>
            <w:shd w:fill="1F4E79"/>
            <w:vAlign w:val="top"/>
            <w:tcMar>
              <w:top w:w="80" w:type="dxa"/>
              <w:start w:w="80" w:type="dxa"/>
              <w:bottom w:w="80" w:type="dxa"/>
              <w:end w:w="80" w:type="dxa"/>
            </w:tcMar>
          </w:tcPr>
          <w:p>
            <w:r>
              <w:rPr>
                <w:color w:val="FFFFFF"/>
                <w:sz w:val="17"/>
              </w:rPr>
            </w:r>
            <w:r>
              <w:rPr>
                <w:b/>
                <w:color w:val="FFFFFF"/>
                <w:sz w:val="17"/>
              </w:rPr>
              <w:t>Recommendation</w:t>
            </w:r>
          </w:p>
        </w:tc>
      </w:tr>
      <w:tr>
        <w:tc>
          <w:tcPr>
            <w:tcW w:type="dxa" w:w="3312"/>
            <w:vAlign w:val="top"/>
            <w:tcMar>
              <w:top w:w="80" w:type="dxa"/>
              <w:start w:w="80" w:type="dxa"/>
              <w:bottom w:w="80" w:type="dxa"/>
              <w:end w:w="80" w:type="dxa"/>
            </w:tcMar>
          </w:tcPr>
          <w:p>
            <w:r>
              <w:rPr>
                <w:sz w:val="17"/>
              </w:rPr>
            </w:r>
            <w:r>
              <w:rPr>
                <w:b w:val="0"/>
                <w:sz w:val="17"/>
              </w:rPr>
              <w:t>Document page 2-3: live stack has frontend, api-server, notification, rust-ws, rust-engine, Redis, TimescaleDB, nginx.</w:t>
            </w:r>
          </w:p>
        </w:tc>
        <w:tc>
          <w:tcPr>
            <w:tcW w:type="dxa" w:w="3456"/>
            <w:vAlign w:val="top"/>
            <w:tcMar>
              <w:top w:w="80" w:type="dxa"/>
              <w:start w:w="80" w:type="dxa"/>
              <w:bottom w:w="80" w:type="dxa"/>
              <w:end w:w="80" w:type="dxa"/>
            </w:tcMar>
          </w:tcPr>
          <w:p>
            <w:r>
              <w:rPr>
                <w:sz w:val="17"/>
              </w:rPr>
            </w:r>
            <w:r>
              <w:rPr>
                <w:b w:val="0"/>
                <w:sz w:val="17"/>
              </w:rPr>
              <w:t>Praise: service decomposition is strong; critique: too many critical services on one desktop without resource isolation.</w:t>
            </w:r>
          </w:p>
        </w:tc>
        <w:tc>
          <w:tcPr>
            <w:tcW w:type="dxa" w:w="3600"/>
            <w:vAlign w:val="top"/>
            <w:tcMar>
              <w:top w:w="80" w:type="dxa"/>
              <w:start w:w="80" w:type="dxa"/>
              <w:bottom w:w="80" w:type="dxa"/>
              <w:end w:w="80" w:type="dxa"/>
            </w:tcMar>
          </w:tcPr>
          <w:p>
            <w:r>
              <w:rPr>
                <w:sz w:val="17"/>
              </w:rPr>
            </w:r>
            <w:r>
              <w:rPr>
                <w:b w:val="0"/>
                <w:sz w:val="17"/>
              </w:rPr>
              <w:t>Use compose profiles, resource limits, and a dedicated live host.</w:t>
            </w:r>
          </w:p>
        </w:tc>
      </w:tr>
      <w:tr>
        <w:tc>
          <w:tcPr>
            <w:tcW w:type="dxa" w:w="3312"/>
            <w:vAlign w:val="top"/>
            <w:tcMar>
              <w:top w:w="80" w:type="dxa"/>
              <w:start w:w="80" w:type="dxa"/>
              <w:bottom w:w="80" w:type="dxa"/>
              <w:end w:w="80" w:type="dxa"/>
            </w:tcMar>
          </w:tcPr>
          <w:p>
            <w:r>
              <w:rPr>
                <w:sz w:val="17"/>
              </w:rPr>
            </w:r>
            <w:r>
              <w:rPr>
                <w:b w:val="0"/>
                <w:sz w:val="17"/>
              </w:rPr>
              <w:t>Document page 4: notification-service consumes Redis streams and broadcasts Socket.IO/Web Push.</w:t>
            </w:r>
          </w:p>
        </w:tc>
        <w:tc>
          <w:tcPr>
            <w:tcW w:type="dxa" w:w="3456"/>
            <w:vAlign w:val="top"/>
            <w:tcMar>
              <w:top w:w="80" w:type="dxa"/>
              <w:start w:w="80" w:type="dxa"/>
              <w:bottom w:w="80" w:type="dxa"/>
              <w:end w:w="80" w:type="dxa"/>
            </w:tcMar>
          </w:tcPr>
          <w:p>
            <w:r>
              <w:rPr>
                <w:sz w:val="17"/>
              </w:rPr>
            </w:r>
            <w:r>
              <w:rPr>
                <w:b w:val="0"/>
                <w:sz w:val="17"/>
              </w:rPr>
              <w:t>Praise: good event fan-out; critique: notification delivery should not be treated as authoritative state.</w:t>
            </w:r>
          </w:p>
        </w:tc>
        <w:tc>
          <w:tcPr>
            <w:tcW w:type="dxa" w:w="3600"/>
            <w:vAlign w:val="top"/>
            <w:tcMar>
              <w:top w:w="80" w:type="dxa"/>
              <w:start w:w="80" w:type="dxa"/>
              <w:bottom w:w="80" w:type="dxa"/>
              <w:end w:w="80" w:type="dxa"/>
            </w:tcMar>
          </w:tcPr>
          <w:p>
            <w:r>
              <w:rPr>
                <w:sz w:val="17"/>
              </w:rPr>
            </w:r>
            <w:r>
              <w:rPr>
                <w:b w:val="0"/>
                <w:sz w:val="17"/>
              </w:rPr>
              <w:t>Frontend should reconnect and refresh authoritative state from REST/DB-backed APIs.</w:t>
            </w:r>
          </w:p>
        </w:tc>
      </w:tr>
      <w:tr>
        <w:tc>
          <w:tcPr>
            <w:tcW w:type="dxa" w:w="3312"/>
            <w:vAlign w:val="top"/>
            <w:tcMar>
              <w:top w:w="80" w:type="dxa"/>
              <w:start w:w="80" w:type="dxa"/>
              <w:bottom w:w="80" w:type="dxa"/>
              <w:end w:w="80" w:type="dxa"/>
            </w:tcMar>
          </w:tcPr>
          <w:p>
            <w:r>
              <w:rPr>
                <w:sz w:val="17"/>
              </w:rPr>
            </w:r>
            <w:r>
              <w:rPr>
                <w:b w:val="0"/>
                <w:sz w:val="17"/>
              </w:rPr>
              <w:t>Document page 5: startup flow includes strategy seeding, deployment resubscription, websocket, engine groups, notification consumers.</w:t>
            </w:r>
          </w:p>
        </w:tc>
        <w:tc>
          <w:tcPr>
            <w:tcW w:type="dxa" w:w="3456"/>
            <w:vAlign w:val="top"/>
            <w:tcMar>
              <w:top w:w="80" w:type="dxa"/>
              <w:start w:w="80" w:type="dxa"/>
              <w:bottom w:w="80" w:type="dxa"/>
              <w:end w:w="80" w:type="dxa"/>
            </w:tcMar>
          </w:tcPr>
          <w:p>
            <w:r>
              <w:rPr>
                <w:sz w:val="17"/>
              </w:rPr>
            </w:r>
            <w:r>
              <w:rPr>
                <w:b w:val="0"/>
                <w:sz w:val="17"/>
              </w:rPr>
              <w:t>Praise: restart awareness exists; critique: ordering, idempotency, and replay semantics need to be formally specified.</w:t>
            </w:r>
          </w:p>
        </w:tc>
        <w:tc>
          <w:tcPr>
            <w:tcW w:type="dxa" w:w="3600"/>
            <w:vAlign w:val="top"/>
            <w:tcMar>
              <w:top w:w="80" w:type="dxa"/>
              <w:start w:w="80" w:type="dxa"/>
              <w:bottom w:w="80" w:type="dxa"/>
              <w:end w:w="80" w:type="dxa"/>
            </w:tcMar>
          </w:tcPr>
          <w:p>
            <w:r>
              <w:rPr>
                <w:sz w:val="17"/>
              </w:rPr>
            </w:r>
            <w:r>
              <w:rPr>
                <w:b w:val="0"/>
                <w:sz w:val="17"/>
              </w:rPr>
              <w:t>Add startup dependency matrix, stream offset rules, and idempotency keys.</w:t>
            </w:r>
          </w:p>
        </w:tc>
      </w:tr>
      <w:tr>
        <w:tc>
          <w:tcPr>
            <w:tcW w:type="dxa" w:w="3312"/>
            <w:vAlign w:val="top"/>
            <w:tcMar>
              <w:top w:w="80" w:type="dxa"/>
              <w:start w:w="80" w:type="dxa"/>
              <w:bottom w:w="80" w:type="dxa"/>
              <w:end w:w="80" w:type="dxa"/>
            </w:tcMar>
          </w:tcPr>
          <w:p>
            <w:r>
              <w:rPr>
                <w:sz w:val="17"/>
              </w:rPr>
            </w:r>
            <w:r>
              <w:rPr>
                <w:b w:val="0"/>
                <w:sz w:val="17"/>
              </w:rPr>
              <w:t>Document page 5: market tick to notification flow spans rust-ws -&gt; Redis -&gt; rust-engine -&gt; Postgres -&gt; Redis -&gt; notification -&gt; frontend.</w:t>
            </w:r>
          </w:p>
        </w:tc>
        <w:tc>
          <w:tcPr>
            <w:tcW w:type="dxa" w:w="3456"/>
            <w:vAlign w:val="top"/>
            <w:tcMar>
              <w:top w:w="80" w:type="dxa"/>
              <w:start w:w="80" w:type="dxa"/>
              <w:bottom w:w="80" w:type="dxa"/>
              <w:end w:w="80" w:type="dxa"/>
            </w:tcMar>
          </w:tcPr>
          <w:p>
            <w:r>
              <w:rPr>
                <w:sz w:val="17"/>
              </w:rPr>
            </w:r>
            <w:r>
              <w:rPr>
                <w:b w:val="0"/>
                <w:sz w:val="17"/>
              </w:rPr>
              <w:t>Praise: clean event pipeline; critique: without metrics, latency and dropped events are hard to diagnose.</w:t>
            </w:r>
          </w:p>
        </w:tc>
        <w:tc>
          <w:tcPr>
            <w:tcW w:type="dxa" w:w="3600"/>
            <w:vAlign w:val="top"/>
            <w:tcMar>
              <w:top w:w="80" w:type="dxa"/>
              <w:start w:w="80" w:type="dxa"/>
              <w:bottom w:w="80" w:type="dxa"/>
              <w:end w:w="80" w:type="dxa"/>
            </w:tcMar>
          </w:tcPr>
          <w:p>
            <w:r>
              <w:rPr>
                <w:sz w:val="17"/>
              </w:rPr>
            </w:r>
            <w:r>
              <w:rPr>
                <w:b w:val="0"/>
                <w:sz w:val="17"/>
              </w:rPr>
              <w:t>Add correlation ID and latency metrics at every hop.</w:t>
            </w:r>
          </w:p>
        </w:tc>
      </w:tr>
      <w:tr>
        <w:tc>
          <w:tcPr>
            <w:tcW w:type="dxa" w:w="3312"/>
            <w:vAlign w:val="top"/>
            <w:tcMar>
              <w:top w:w="80" w:type="dxa"/>
              <w:start w:w="80" w:type="dxa"/>
              <w:bottom w:w="80" w:type="dxa"/>
              <w:end w:w="80" w:type="dxa"/>
            </w:tcMar>
          </w:tcPr>
          <w:p>
            <w:r>
              <w:rPr>
                <w:sz w:val="17"/>
              </w:rPr>
            </w:r>
            <w:r>
              <w:rPr>
                <w:b w:val="0"/>
                <w:sz w:val="17"/>
              </w:rPr>
              <w:t>Document page 6: backtest stack is separate and deterministic Rust engine writes artifacts.</w:t>
            </w:r>
          </w:p>
        </w:tc>
        <w:tc>
          <w:tcPr>
            <w:tcW w:type="dxa" w:w="3456"/>
            <w:vAlign w:val="top"/>
            <w:tcMar>
              <w:top w:w="80" w:type="dxa"/>
              <w:start w:w="80" w:type="dxa"/>
              <w:bottom w:w="80" w:type="dxa"/>
              <w:end w:w="80" w:type="dxa"/>
            </w:tcMar>
          </w:tcPr>
          <w:p>
            <w:r>
              <w:rPr>
                <w:sz w:val="17"/>
              </w:rPr>
            </w:r>
            <w:r>
              <w:rPr>
                <w:b w:val="0"/>
                <w:sz w:val="17"/>
              </w:rPr>
              <w:t>Praise: very good foundation; critique: live/backtest parity is not proven by architecture alone.</w:t>
            </w:r>
          </w:p>
        </w:tc>
        <w:tc>
          <w:tcPr>
            <w:tcW w:type="dxa" w:w="3600"/>
            <w:vAlign w:val="top"/>
            <w:tcMar>
              <w:top w:w="80" w:type="dxa"/>
              <w:start w:w="80" w:type="dxa"/>
              <w:bottom w:w="80" w:type="dxa"/>
              <w:end w:w="80" w:type="dxa"/>
            </w:tcMar>
          </w:tcPr>
          <w:p>
            <w:r>
              <w:rPr>
                <w:sz w:val="17"/>
              </w:rPr>
            </w:r>
            <w:r>
              <w:rPr>
                <w:b w:val="0"/>
                <w:sz w:val="17"/>
              </w:rPr>
              <w:t>Create captured tick replay/golden-test framework.</w:t>
            </w:r>
          </w:p>
        </w:tc>
      </w:tr>
      <w:tr>
        <w:tc>
          <w:tcPr>
            <w:tcW w:type="dxa" w:w="3312"/>
            <w:vAlign w:val="top"/>
            <w:tcMar>
              <w:top w:w="80" w:type="dxa"/>
              <w:start w:w="80" w:type="dxa"/>
              <w:bottom w:w="80" w:type="dxa"/>
              <w:end w:w="80" w:type="dxa"/>
            </w:tcMar>
          </w:tcPr>
          <w:p>
            <w:r>
              <w:rPr>
                <w:sz w:val="17"/>
              </w:rPr>
            </w:r>
            <w:r>
              <w:rPr>
                <w:b w:val="0"/>
                <w:sz w:val="17"/>
              </w:rPr>
              <w:t>Document page 7: cross-cutting concerns list auth, reliability, observability, config, testing.</w:t>
            </w:r>
          </w:p>
        </w:tc>
        <w:tc>
          <w:tcPr>
            <w:tcW w:type="dxa" w:w="3456"/>
            <w:vAlign w:val="top"/>
            <w:tcMar>
              <w:top w:w="80" w:type="dxa"/>
              <w:start w:w="80" w:type="dxa"/>
              <w:bottom w:w="80" w:type="dxa"/>
              <w:end w:w="80" w:type="dxa"/>
            </w:tcMar>
          </w:tcPr>
          <w:p>
            <w:r>
              <w:rPr>
                <w:sz w:val="17"/>
              </w:rPr>
            </w:r>
            <w:r>
              <w:rPr>
                <w:b w:val="0"/>
                <w:sz w:val="17"/>
              </w:rPr>
              <w:t>Praise: concerns are recognized; critique: each needs production acceptance criteria.</w:t>
            </w:r>
          </w:p>
        </w:tc>
        <w:tc>
          <w:tcPr>
            <w:tcW w:type="dxa" w:w="3600"/>
            <w:vAlign w:val="top"/>
            <w:tcMar>
              <w:top w:w="80" w:type="dxa"/>
              <w:start w:w="80" w:type="dxa"/>
              <w:bottom w:w="80" w:type="dxa"/>
              <w:end w:w="80" w:type="dxa"/>
            </w:tcMar>
          </w:tcPr>
          <w:p>
            <w:r>
              <w:rPr>
                <w:sz w:val="17"/>
              </w:rPr>
            </w:r>
            <w:r>
              <w:rPr>
                <w:b w:val="0"/>
                <w:sz w:val="17"/>
              </w:rPr>
              <w:t>Turn this section into checklists with owners and SLOs.</w:t>
            </w:r>
          </w:p>
        </w:tc>
      </w:tr>
      <w:tr>
        <w:tc>
          <w:tcPr>
            <w:tcW w:type="dxa" w:w="3312"/>
            <w:vAlign w:val="top"/>
            <w:tcMar>
              <w:top w:w="80" w:type="dxa"/>
              <w:start w:w="80" w:type="dxa"/>
              <w:bottom w:w="80" w:type="dxa"/>
              <w:end w:w="80" w:type="dxa"/>
            </w:tcMar>
          </w:tcPr>
          <w:p>
            <w:r>
              <w:rPr>
                <w:sz w:val="17"/>
              </w:rPr>
            </w:r>
            <w:r>
              <w:rPr>
                <w:b w:val="0"/>
                <w:sz w:val="17"/>
              </w:rPr>
              <w:t>Document page 8: architecture risks already mention nginx routing, service mode split, stream contracts, strategy versioning.</w:t>
            </w:r>
          </w:p>
        </w:tc>
        <w:tc>
          <w:tcPr>
            <w:tcW w:type="dxa" w:w="3456"/>
            <w:vAlign w:val="top"/>
            <w:tcMar>
              <w:top w:w="80" w:type="dxa"/>
              <w:start w:w="80" w:type="dxa"/>
              <w:bottom w:w="80" w:type="dxa"/>
              <w:end w:w="80" w:type="dxa"/>
            </w:tcMar>
          </w:tcPr>
          <w:p>
            <w:r>
              <w:rPr>
                <w:sz w:val="17"/>
              </w:rPr>
            </w:r>
            <w:r>
              <w:rPr>
                <w:b w:val="0"/>
                <w:sz w:val="17"/>
              </w:rPr>
              <w:t>Praise: the document identifies real risks; critique: these should be upgraded from follow-ups to required production gates.</w:t>
            </w:r>
          </w:p>
        </w:tc>
        <w:tc>
          <w:tcPr>
            <w:tcW w:type="dxa" w:w="3600"/>
            <w:vAlign w:val="top"/>
            <w:tcMar>
              <w:top w:w="80" w:type="dxa"/>
              <w:start w:w="80" w:type="dxa"/>
              <w:bottom w:w="80" w:type="dxa"/>
              <w:end w:w="80" w:type="dxa"/>
            </w:tcMar>
          </w:tcPr>
          <w:p>
            <w:r>
              <w:rPr>
                <w:sz w:val="17"/>
              </w:rPr>
            </w:r>
            <w:r>
              <w:rPr>
                <w:b w:val="0"/>
                <w:sz w:val="17"/>
              </w:rPr>
              <w:t>Track them as P0/P1 issues before live capital scaling.</w:t>
            </w:r>
          </w:p>
        </w:tc>
      </w:tr>
    </w:tbl>
    <w:sectPr w:rsidR="00FC693F" w:rsidRPr="0006063C" w:rsidSect="00034616">
      <w:footerReference w:type="default" r:id="rId9"/>
      <w:pgSz w:w="12240" w:h="15840"/>
      <w:pgMar w:top="864"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 xml:space="preserve">New-AlgoTrading Architecture Review | Generated by ChatGPT |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rial" w:hAnsi="Arial" w:eastAsia="Arial"/>
      <w:sz w:val="19"/>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rPr>
      <w:rFonts w:ascii="Consolas" w:hAnsi="Consolas" w:eastAsia="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New-AlgoTrading Architecture Review and Recommendations</dc:title>
  <dc:subject>Architecture critique and production hardening plan</dc:subject>
  <dc:creator>OpenAI ChatGPT</dc:creator>
  <cp:keywords/>
  <dc:description>Generated from uploaded architecture file and current public documentation references.</dc:description>
  <cp:lastModifiedBy/>
  <cp:revision>1</cp:revision>
  <dcterms:created xsi:type="dcterms:W3CDTF">2013-12-23T23:15:00Z</dcterms:created>
  <dcterms:modified xsi:type="dcterms:W3CDTF">2013-12-23T23:15:00Z</dcterms:modified>
  <cp:category/>
</cp:coreProperties>
</file>