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Specific form elements recognizing: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Now, only for finishing now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obster" w:cs="Lobster" w:eastAsia="Lobster" w:hAnsi="Lobster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how is it done: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Tesseract has problem with negative parts, it’s color blind, that is useful for buttons recognized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Lobster" w:cs="Lobster" w:eastAsia="Lobster" w:hAnsi="Lobster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select boxes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done by “hack” solo text recognized as “V” or “vV”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Fonts w:ascii="Lobster" w:cs="Lobster" w:eastAsia="Lobster" w:hAnsi="Lobster"/>
          <w:sz w:val="28"/>
          <w:szCs w:val="28"/>
          <w:u w:val="single"/>
          <w:rtl w:val="0"/>
        </w:rPr>
        <w:t xml:space="preserve">In the process - this three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boxes</w:t>
      </w:r>
      <w:r w:rsidDel="00000000" w:rsidR="00000000" w:rsidRPr="00000000">
        <w:rPr>
          <w:rtl w:val="0"/>
        </w:rPr>
        <w:t xml:space="preserve"> ( also empty boxes ) recognizing by colors - histogram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tesseract don't recognize color areas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vectorizers / libraries - are not useful for this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 have my own version of “poor man puzzle” solution for detecting boxes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90% done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tesseract “special fonts” - for 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checkboxes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 radio buttons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this could be “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killer feature</w:t>
      </w:r>
      <w:r w:rsidDel="00000000" w:rsidR="00000000" w:rsidRPr="00000000">
        <w:rPr>
          <w:rtl w:val="0"/>
        </w:rPr>
        <w:t xml:space="preserve">” for using tesseract for this task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60% done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all results together (intelligent selection and combining results for specific layers)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50% done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Lobster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-30"/>
      </w:tabs>
      <w:spacing w:before="200" w:line="240" w:lineRule="auto"/>
      <w:ind w:left="0" w:firstLine="0"/>
    </w:pPr>
    <w:rPr>
      <w:rFonts w:ascii="Trebuchet MS" w:cs="Trebuchet MS" w:eastAsia="Trebuchet MS" w:hAnsi="Trebuchet MS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before="160" w:lineRule="auto"/>
      <w:ind w:left="0" w:firstLine="0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</w:pPr>
    <w:rPr>
      <w:rFonts w:ascii="Trebuchet MS" w:cs="Trebuchet MS" w:eastAsia="Trebuchet MS" w:hAnsi="Trebuchet MS"/>
      <w:i w:val="0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