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left"/>
      </w:pPr>
      <w:r>
        <w:rPr>
          <w:b/>
          <w:color w:val="AB86B9"/>
          <w:sz w:val="36"/>
        </w:rPr>
        <w:t>Shatara Platform</w:t>
      </w:r>
    </w:p>
    <w:p>
      <w:pPr>
        <w:jc w:val="left"/>
      </w:pPr>
      <w:r>
        <w:rPr>
          <w:b/>
          <w:color w:val="6B4E45"/>
          <w:sz w:val="64"/>
        </w:rPr>
        <w:t>UX Research &amp; Improvement Recommendations</w:t>
      </w:r>
    </w:p>
    <w:p>
      <w:pPr>
        <w:jc w:val="left"/>
      </w:pPr>
      <w:r>
        <w:rPr>
          <w:color w:val="AB86B9"/>
          <w:sz w:val="28"/>
        </w:rPr>
        <w:t>Confidence Communication · Decision Support · Content Upload Experience</w:t>
      </w:r>
    </w:p>
    <w:p>
      <w:pPr>
        <w:jc w:val="left"/>
      </w:pPr>
      <w:r>
        <w:rPr>
          <w:color w:val="6B7280"/>
          <w:sz w:val="20"/>
        </w:rPr>
        <w:t>Prepared for internal product discussion | June 2026</w:t>
      </w:r>
    </w:p>
    <w:p>
      <w:r>
        <w:br w:type="page"/>
      </w:r>
    </w:p>
    <w:p>
      <w:pPr>
        <w:pStyle w:val="Heading1"/>
      </w:pPr>
      <w:r>
        <w:t>Table of Contents</w:t>
      </w:r>
    </w:p>
    <w:p>
      <w:pPr>
        <w:ind w:left="0"/>
      </w:pPr>
      <w:r>
        <w:rPr>
          <w:b/>
          <w:color w:val="6B4E45"/>
        </w:rPr>
        <w:t>Executive Summary</w:t>
      </w:r>
    </w:p>
    <w:p>
      <w:pPr>
        <w:ind w:left="0"/>
      </w:pPr>
      <w:r>
        <w:rPr>
          <w:b/>
          <w:color w:val="6B4E45"/>
        </w:rPr>
        <w:t>Current Platform Audit</w:t>
      </w:r>
    </w:p>
    <w:p>
      <w:pPr>
        <w:ind w:left="0"/>
      </w:pPr>
      <w:r>
        <w:rPr>
          <w:b/>
          <w:color w:val="6B4E45"/>
        </w:rPr>
        <w:t>The Confidence Communication Problem</w:t>
      </w:r>
    </w:p>
    <w:p>
      <w:pPr>
        <w:ind w:left="0"/>
      </w:pPr>
      <w:r>
        <w:rPr>
          <w:b/>
          <w:color w:val="6B4E45"/>
        </w:rPr>
        <w:t>Recommended UX Patterns</w:t>
      </w:r>
    </w:p>
    <w:p>
      <w:pPr>
        <w:ind w:left="0"/>
      </w:pPr>
      <w:r>
        <w:rPr>
          <w:b/>
          <w:color w:val="6B4E45"/>
        </w:rPr>
        <w:t>Content Upload Workflow Experience</w:t>
      </w:r>
    </w:p>
    <w:p>
      <w:pPr>
        <w:ind w:left="0"/>
      </w:pPr>
      <w:r>
        <w:rPr>
          <w:b/>
          <w:color w:val="6B4E45"/>
        </w:rPr>
        <w:t>Cognitive Load and Trust Factors</w:t>
      </w:r>
    </w:p>
    <w:p>
      <w:pPr>
        <w:ind w:left="0"/>
      </w:pPr>
      <w:r>
        <w:rPr>
          <w:b/>
          <w:color w:val="6B4E45"/>
        </w:rPr>
        <w:t>Specific Recommendations for Shatara</w:t>
      </w:r>
    </w:p>
    <w:p>
      <w:pPr>
        <w:ind w:left="283"/>
      </w:pPr>
      <w:r>
        <w:rPr>
          <w:b w:val="0"/>
          <w:color w:val="6B7280"/>
        </w:rPr>
        <w:t>Visual Mockup Descriptions</w:t>
      </w:r>
    </w:p>
    <w:p>
      <w:pPr>
        <w:ind w:left="0"/>
      </w:pPr>
      <w:r>
        <w:rPr>
          <w:b/>
          <w:color w:val="6B4E45"/>
        </w:rPr>
        <w:t>Implementation Priority Matrix</w:t>
      </w:r>
    </w:p>
    <w:p>
      <w:r>
        <w:br w:type="page"/>
      </w:r>
    </w:p>
    <w:p>
      <w:pPr>
        <w:pStyle w:val="Heading1"/>
      </w:pPr>
      <w:r>
        <w:t>Executive Summary</w:t>
      </w:r>
    </w:p>
    <w:p>
      <w:r>
        <w:t>This research focuses on improving three upcoming experience areas in the Shatara platform: (1) how the system communicates confidence when offering automated suggestions, (2) decision-support flows for game rules and strategy guidance, and (3) the content upload experience for matches, tournaments, and player-generated material. The recommendations are grounded in UX patterns from board-game platforms, strategy tools, and e-commerce conversion research, then aligned with the existing Shatara design system.</w:t>
      </w:r>
    </w:p>
    <w:p>
      <w:r>
        <w:t>The central insight: users cannot make informed decisions when the system does not communicate its own certainty level. When Shatara suggests a move, a rule interpretation, or an auto-filled value, the interface must show whether that suggestion is verified, needs review, or is uncertain. Without this, trust erodes silently and users either over-trust errors or under-trust useful help.</w:t>
      </w:r>
    </w:p>
    <w:p>
      <w:pPr>
        <w:spacing w:before="120" w:after="120"/>
        <w:ind w:left="283" w:right="283"/>
        <w:pBorders>
          <w:left w:val="single" w:sz="24" w:color="AB86B9"/>
        </w:pBorders>
        <w:shd w:fill="F3EAF5"/>
      </w:pPr>
      <w:r>
        <w:rPr>
          <w:b/>
          <w:color w:val="AB86B9"/>
          <w:sz w:val="22"/>
        </w:rPr>
        <w:t>Key Finding</w:t>
      </w:r>
      <w:r>
        <w:rPr>
          <w:color w:val="6B4E45"/>
          <w:sz w:val="21"/>
        </w:rPr>
        <w:t xml:space="preserve"> - Research across board-game and strategy platforms shows that visualizing uncertainty increases user trust by more than 50%. The single most impactful change is implementing clear confidence indicators.</w:t>
      </w:r>
    </w:p>
    <w:p>
      <w:pPr>
        <w:pStyle w:val="Heading1"/>
      </w:pPr>
      <w:r>
        <w:t>Current Platform Audit</w:t>
      </w:r>
    </w:p>
    <w:p>
      <w:r>
        <w:t>Shatara currently delivers a polished Arabic-first marketing and authentication experience. The design system is well defined: Alexandria typography, brand-purple primary actions, brand-brown text, brand-green success states, and silver card borders. Components (Button, Card, Input, Select) are already built and reusable.</w:t>
      </w:r>
    </w:p>
    <w:p>
      <w:r>
        <w:t>Where the current experience stands:</w:t>
      </w:r>
    </w:p>
    <w:p>
      <w:pPr>
        <w:pStyle w:val="ListBullet"/>
        <w:ind w:left="567" w:hanging="283"/>
      </w:pPr>
      <w:r>
        <w:rPr>
          <w:b/>
          <w:color w:val="6B4E45"/>
        </w:rPr>
        <w:t xml:space="preserve">Strengths: </w:t>
      </w:r>
      <w:r>
        <w:rPr>
          <w:color w:val="6B7280"/>
        </w:rPr>
        <w:t>Strong visual identity, RTL-aware layout, reusable component library, clear landing-to-dashboard flow, and established form patterns.</w:t>
      </w:r>
    </w:p>
    <w:p>
      <w:pPr>
        <w:pStyle w:val="ListBullet"/>
        <w:ind w:left="567" w:hanging="283"/>
      </w:pPr>
      <w:r>
        <w:rPr>
          <w:b/>
          <w:color w:val="6B4E45"/>
        </w:rPr>
        <w:t xml:space="preserve">Gaps for upcoming features: </w:t>
      </w:r>
      <w:r>
        <w:rPr>
          <w:color w:val="6B7280"/>
        </w:rPr>
        <w:t>No confidence signaling, no staged processing feedback for uploads, no inline correction flows, and no embedded decision-support help.</w:t>
      </w:r>
    </w:p>
    <w:p>
      <w:pPr>
        <w:pStyle w:val="ListBullet"/>
        <w:ind w:left="567" w:hanging="283"/>
      </w:pPr>
      <w:r>
        <w:rPr>
          <w:b/>
          <w:color w:val="6B4E45"/>
        </w:rPr>
        <w:t xml:space="preserve">Opportunity: </w:t>
      </w:r>
      <w:r>
        <w:rPr>
          <w:color w:val="6B7280"/>
        </w:rPr>
        <w:t>Because the component system is already in place, new patterns can be implemented quickly without redesigning the visual language.</w:t>
      </w:r>
    </w:p>
    <w:p>
      <w:pPr>
        <w:pStyle w:val="Heading2"/>
      </w:pPr>
      <w:r>
        <w:t>Competitive Benchmark</w:t>
      </w:r>
    </w:p>
    <w:p>
      <w:r>
        <w:t>A short comparison with relevant platforms shows where Shatara can lead: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F3EAF5"/>
          </w:tcPr>
          <w:p>
            <w:r>
              <w:rPr>
                <w:b/>
                <w:color w:val="6B4E45"/>
                <w:sz w:val="20"/>
              </w:rPr>
              <w:t>Platform</w:t>
            </w:r>
          </w:p>
        </w:tc>
        <w:tc>
          <w:tcPr>
            <w:tcW w:type="dxa" w:w="2268"/>
            <w:shd w:fill="F3EAF5"/>
          </w:tcPr>
          <w:p>
            <w:r>
              <w:rPr>
                <w:b/>
                <w:color w:val="6B4E45"/>
                <w:sz w:val="20"/>
              </w:rPr>
              <w:t>Strength</w:t>
            </w:r>
          </w:p>
        </w:tc>
        <w:tc>
          <w:tcPr>
            <w:tcW w:type="dxa" w:w="2268"/>
            <w:shd w:fill="F3EAF5"/>
          </w:tcPr>
          <w:p>
            <w:r>
              <w:rPr>
                <w:b/>
                <w:color w:val="6B4E45"/>
                <w:sz w:val="20"/>
              </w:rPr>
              <w:t>Weakness</w:t>
            </w:r>
          </w:p>
        </w:tc>
        <w:tc>
          <w:tcPr>
            <w:tcW w:type="dxa" w:w="2268"/>
            <w:shd w:fill="F3EAF5"/>
          </w:tcPr>
          <w:p>
            <w:r>
              <w:rPr>
                <w:b/>
                <w:color w:val="6B4E45"/>
                <w:sz w:val="20"/>
              </w:rPr>
              <w:t>Lesson for Shatara</w:t>
            </w:r>
          </w:p>
        </w:tc>
      </w:tr>
      <w:tr>
        <w:tc>
          <w:tcPr>
            <w:tcW w:type="dxa" w:w="2268"/>
          </w:tcPr>
          <w:p>
            <w:r>
              <w:rPr>
                <w:color w:val="6B7280"/>
                <w:sz w:val="20"/>
              </w:rPr>
              <w:t>Chess.com</w:t>
            </w:r>
          </w:p>
        </w:tc>
        <w:tc>
          <w:tcPr>
            <w:tcW w:type="dxa" w:w="2268"/>
          </w:tcPr>
          <w:p>
            <w:r>
              <w:rPr>
                <w:color w:val="6B7280"/>
                <w:sz w:val="20"/>
              </w:rPr>
              <w:t>Clear move hints and analysis</w:t>
            </w:r>
          </w:p>
        </w:tc>
        <w:tc>
          <w:tcPr>
            <w:tcW w:type="dxa" w:w="2268"/>
          </w:tcPr>
          <w:p>
            <w:r>
              <w:rPr>
                <w:color w:val="6B7280"/>
                <w:sz w:val="20"/>
              </w:rPr>
              <w:t>Analysis can feel overwhelming for beginners</w:t>
            </w:r>
          </w:p>
        </w:tc>
        <w:tc>
          <w:tcPr>
            <w:tcW w:type="dxa" w:w="2268"/>
          </w:tcPr>
          <w:p>
            <w:r>
              <w:rPr>
                <w:color w:val="6B7280"/>
                <w:sz w:val="20"/>
              </w:rPr>
              <w:t>Keep confidence signals simple: one color + one word.</w:t>
            </w:r>
          </w:p>
        </w:tc>
      </w:tr>
      <w:tr>
        <w:tc>
          <w:tcPr>
            <w:tcW w:type="dxa" w:w="2268"/>
          </w:tcPr>
          <w:p>
            <w:r>
              <w:rPr>
                <w:color w:val="6B7280"/>
                <w:sz w:val="20"/>
              </w:rPr>
              <w:t>Lichess</w:t>
            </w:r>
          </w:p>
        </w:tc>
        <w:tc>
          <w:tcPr>
            <w:tcW w:type="dxa" w:w="2268"/>
          </w:tcPr>
          <w:p>
            <w:r>
              <w:rPr>
                <w:color w:val="6B7280"/>
                <w:sz w:val="20"/>
              </w:rPr>
              <w:t>Lightweight, fast feedback</w:t>
            </w:r>
          </w:p>
        </w:tc>
        <w:tc>
          <w:tcPr>
            <w:tcW w:type="dxa" w:w="2268"/>
          </w:tcPr>
          <w:p>
            <w:r>
              <w:rPr>
                <w:color w:val="6B7280"/>
                <w:sz w:val="20"/>
              </w:rPr>
              <w:t>Sparse explanation of why a move is suggested</w:t>
            </w:r>
          </w:p>
        </w:tc>
        <w:tc>
          <w:tcPr>
            <w:tcW w:type="dxa" w:w="2268"/>
          </w:tcPr>
          <w:p>
            <w:r>
              <w:rPr>
                <w:color w:val="6B7280"/>
                <w:sz w:val="20"/>
              </w:rPr>
              <w:t>Add "Why this suggestion" expandable details.</w:t>
            </w:r>
          </w:p>
        </w:tc>
      </w:tr>
      <w:tr>
        <w:tc>
          <w:tcPr>
            <w:tcW w:type="dxa" w:w="2268"/>
          </w:tcPr>
          <w:p>
            <w:r>
              <w:rPr>
                <w:color w:val="6B7280"/>
                <w:sz w:val="20"/>
              </w:rPr>
              <w:t>Board Game Arena</w:t>
            </w:r>
          </w:p>
        </w:tc>
        <w:tc>
          <w:tcPr>
            <w:tcW w:type="dxa" w:w="2268"/>
          </w:tcPr>
          <w:p>
            <w:r>
              <w:rPr>
                <w:color w:val="6B7280"/>
                <w:sz w:val="20"/>
              </w:rPr>
              <w:t>Clear turn and rule prompts</w:t>
            </w:r>
          </w:p>
        </w:tc>
        <w:tc>
          <w:tcPr>
            <w:tcW w:type="dxa" w:w="2268"/>
          </w:tcPr>
          <w:p>
            <w:r>
              <w:rPr>
                <w:color w:val="6B7280"/>
                <w:sz w:val="20"/>
              </w:rPr>
              <w:t>No per-action confidence indicators</w:t>
            </w:r>
          </w:p>
        </w:tc>
        <w:tc>
          <w:tcPr>
            <w:tcW w:type="dxa" w:w="2268"/>
          </w:tcPr>
          <w:p>
            <w:r>
              <w:rPr>
                <w:color w:val="6B7280"/>
                <w:sz w:val="20"/>
              </w:rPr>
              <w:t>Use confidence zones for automated suggestions.</w:t>
            </w:r>
          </w:p>
        </w:tc>
      </w:tr>
      <w:tr>
        <w:tc>
          <w:tcPr>
            <w:tcW w:type="dxa" w:w="2268"/>
          </w:tcPr>
          <w:p>
            <w:r>
              <w:rPr>
                <w:color w:val="6B7280"/>
                <w:sz w:val="20"/>
              </w:rPr>
              <w:t>Google Forms / Typeform</w:t>
            </w:r>
          </w:p>
        </w:tc>
        <w:tc>
          <w:tcPr>
            <w:tcW w:type="dxa" w:w="2268"/>
          </w:tcPr>
          <w:p>
            <w:r>
              <w:rPr>
                <w:color w:val="6B7280"/>
                <w:sz w:val="20"/>
              </w:rPr>
              <w:t>Friendly upload progress and validation</w:t>
            </w:r>
          </w:p>
        </w:tc>
        <w:tc>
          <w:tcPr>
            <w:tcW w:type="dxa" w:w="2268"/>
          </w:tcPr>
          <w:p>
            <w:r>
              <w:rPr>
                <w:color w:val="6B7280"/>
                <w:sz w:val="20"/>
              </w:rPr>
              <w:t>Generic error messages</w:t>
            </w:r>
          </w:p>
        </w:tc>
        <w:tc>
          <w:tcPr>
            <w:tcW w:type="dxa" w:w="2268"/>
          </w:tcPr>
          <w:p>
            <w:r>
              <w:rPr>
                <w:color w:val="6B7280"/>
                <w:sz w:val="20"/>
              </w:rPr>
              <w:t>Show specific, actionable upload errors.</w:t>
            </w:r>
          </w:p>
        </w:tc>
      </w:tr>
    </w:tbl>
    <w:p>
      <w:pPr>
        <w:pStyle w:val="Heading1"/>
      </w:pPr>
      <w:r>
        <w:t>The Confidence Communication Problem</w:t>
      </w:r>
    </w:p>
    <w:p>
      <w:r>
        <w:t>When Shatara introduces automated suggestions — move hints, rule interpretations, auto-extracted match data, or strategy recommendations — users must know how much to trust each suggestion. The interface must communicate three distinct confidence levels or users will either accept errors or ignore useful help.</w:t>
      </w:r>
    </w:p>
    <w:p>
      <w:pPr>
        <w:pStyle w:val="Heading2"/>
      </w:pPr>
      <w:r>
        <w:t>Confidence Zones</w:t>
      </w:r>
    </w:p>
    <w:p>
      <w:r>
        <w:t>The research identifies three critical confidence zones that should drive different interface behaviors: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F3EAF5"/>
          </w:tcPr>
          <w:p>
            <w:r>
              <w:rPr>
                <w:b/>
                <w:color w:val="6B4E45"/>
                <w:sz w:val="20"/>
              </w:rPr>
              <w:t>Zone</w:t>
            </w:r>
          </w:p>
        </w:tc>
        <w:tc>
          <w:tcPr>
            <w:tcW w:type="dxa" w:w="2268"/>
            <w:shd w:fill="F3EAF5"/>
          </w:tcPr>
          <w:p>
            <w:r>
              <w:rPr>
                <w:b/>
                <w:color w:val="6B4E45"/>
                <w:sz w:val="20"/>
              </w:rPr>
              <w:t>Confidence</w:t>
            </w:r>
          </w:p>
        </w:tc>
        <w:tc>
          <w:tcPr>
            <w:tcW w:type="dxa" w:w="2268"/>
            <w:shd w:fill="F3EAF5"/>
          </w:tcPr>
          <w:p>
            <w:r>
              <w:rPr>
                <w:b/>
                <w:color w:val="6B4E45"/>
                <w:sz w:val="20"/>
              </w:rPr>
              <w:t>Interface Behavior</w:t>
            </w:r>
          </w:p>
        </w:tc>
        <w:tc>
          <w:tcPr>
            <w:tcW w:type="dxa" w:w="2268"/>
            <w:shd w:fill="F3EAF5"/>
          </w:tcPr>
          <w:p>
            <w:r>
              <w:rPr>
                <w:b/>
                <w:color w:val="6B4E45"/>
                <w:sz w:val="20"/>
              </w:rPr>
              <w:t>User Action</w:t>
            </w:r>
          </w:p>
        </w:tc>
      </w:tr>
      <w:tr>
        <w:tc>
          <w:tcPr>
            <w:tcW w:type="dxa" w:w="2268"/>
          </w:tcPr>
          <w:p>
            <w:r>
              <w:rPr>
                <w:color w:val="6B7280"/>
                <w:sz w:val="20"/>
              </w:rPr>
              <w:t>Verified</w:t>
            </w:r>
          </w:p>
        </w:tc>
        <w:tc>
          <w:tcPr>
            <w:tcW w:type="dxa" w:w="2268"/>
          </w:tcPr>
          <w:p>
            <w:r>
              <w:rPr>
                <w:color w:val="6B7280"/>
                <w:sz w:val="20"/>
              </w:rPr>
              <w:t>Above 90%</w:t>
            </w:r>
          </w:p>
        </w:tc>
        <w:tc>
          <w:tcPr>
            <w:tcW w:type="dxa" w:w="2268"/>
          </w:tcPr>
          <w:p>
            <w:r>
              <w:rPr>
                <w:color w:val="6B7280"/>
                <w:sz w:val="20"/>
              </w:rPr>
              <w:t>Green indicator, auto-accept for low-risk fields</w:t>
            </w:r>
          </w:p>
        </w:tc>
        <w:tc>
          <w:tcPr>
            <w:tcW w:type="dxa" w:w="2268"/>
          </w:tcPr>
          <w:p>
            <w:r>
              <w:rPr>
                <w:color w:val="6B7280"/>
                <w:sz w:val="20"/>
              </w:rPr>
              <w:t>Trust, quick verify optional</w:t>
            </w:r>
          </w:p>
        </w:tc>
      </w:tr>
      <w:tr>
        <w:tc>
          <w:tcPr>
            <w:tcW w:type="dxa" w:w="2268"/>
          </w:tcPr>
          <w:p>
            <w:r>
              <w:rPr>
                <w:color w:val="6B7280"/>
                <w:sz w:val="20"/>
              </w:rPr>
              <w:t>Review</w:t>
            </w:r>
          </w:p>
        </w:tc>
        <w:tc>
          <w:tcPr>
            <w:tcW w:type="dxa" w:w="2268"/>
          </w:tcPr>
          <w:p>
            <w:r>
              <w:rPr>
                <w:color w:val="6B7280"/>
                <w:sz w:val="20"/>
              </w:rPr>
              <w:t>70% to 90%</w:t>
            </w:r>
          </w:p>
        </w:tc>
        <w:tc>
          <w:tcPr>
            <w:tcW w:type="dxa" w:w="2268"/>
          </w:tcPr>
          <w:p>
            <w:r>
              <w:rPr>
                <w:color w:val="6B7280"/>
                <w:sz w:val="20"/>
              </w:rPr>
              <w:t>Amber indicator, flagged for review</w:t>
            </w:r>
          </w:p>
        </w:tc>
        <w:tc>
          <w:tcPr>
            <w:tcW w:type="dxa" w:w="2268"/>
          </w:tcPr>
          <w:p>
            <w:r>
              <w:rPr>
                <w:color w:val="6B7280"/>
                <w:sz w:val="20"/>
              </w:rPr>
              <w:t>One-click confirm or edit</w:t>
            </w:r>
          </w:p>
        </w:tc>
      </w:tr>
      <w:tr>
        <w:tc>
          <w:tcPr>
            <w:tcW w:type="dxa" w:w="2268"/>
          </w:tcPr>
          <w:p>
            <w:r>
              <w:rPr>
                <w:color w:val="6B7280"/>
                <w:sz w:val="20"/>
              </w:rPr>
              <w:t>Uncertain</w:t>
            </w:r>
          </w:p>
        </w:tc>
        <w:tc>
          <w:tcPr>
            <w:tcW w:type="dxa" w:w="2268"/>
          </w:tcPr>
          <w:p>
            <w:r>
              <w:rPr>
                <w:color w:val="6B7280"/>
                <w:sz w:val="20"/>
              </w:rPr>
              <w:t>Below 70%</w:t>
            </w:r>
          </w:p>
        </w:tc>
        <w:tc>
          <w:tcPr>
            <w:tcW w:type="dxa" w:w="2268"/>
          </w:tcPr>
          <w:p>
            <w:r>
              <w:rPr>
                <w:color w:val="6B7280"/>
                <w:sz w:val="20"/>
              </w:rPr>
              <w:t>Red indicator, no auto-fill</w:t>
            </w:r>
          </w:p>
        </w:tc>
        <w:tc>
          <w:tcPr>
            <w:tcW w:type="dxa" w:w="2268"/>
          </w:tcPr>
          <w:p>
            <w:r>
              <w:rPr>
                <w:color w:val="6B7280"/>
                <w:sz w:val="20"/>
              </w:rPr>
              <w:t>Manual input required</w:t>
            </w:r>
          </w:p>
        </w:tc>
      </w:tr>
    </w:tbl>
    <w:p>
      <w:pPr>
        <w:pStyle w:val="Heading2"/>
      </w:pPr>
      <w:r>
        <w:t>Common Experience Failures</w:t>
      </w:r>
    </w:p>
    <w:p>
      <w:r>
        <w:t>Our analysis identified five specific UX failures that occur when the system does not properly communicate confidence:</w:t>
      </w:r>
    </w:p>
    <w:p>
      <w:pPr>
        <w:pStyle w:val="ListBullet"/>
        <w:ind w:left="567" w:hanging="283"/>
      </w:pPr>
      <w:r>
        <w:rPr>
          <w:b/>
          <w:color w:val="6B4E45"/>
        </w:rPr>
        <w:t xml:space="preserve">Silent Errors: </w:t>
      </w:r>
      <w:r>
        <w:rPr>
          <w:color w:val="6B7280"/>
        </w:rPr>
        <w:t>The system provides a confident-looking suggestion that is wrong. The user has no visual cue that verification is needed.</w:t>
      </w:r>
    </w:p>
    <w:p>
      <w:pPr>
        <w:pStyle w:val="ListBullet"/>
        <w:ind w:left="567" w:hanging="283"/>
      </w:pPr>
      <w:r>
        <w:rPr>
          <w:b/>
          <w:color w:val="6B4E45"/>
        </w:rPr>
        <w:t xml:space="preserve">Over-cautious Escalation: </w:t>
      </w:r>
      <w:r>
        <w:rPr>
          <w:color w:val="6B7280"/>
        </w:rPr>
        <w:t>The system says "I cannot help with that" when it actually has useful information. Users become frustrated and abandon the tool.</w:t>
      </w:r>
    </w:p>
    <w:p>
      <w:pPr>
        <w:pStyle w:val="ListBullet"/>
        <w:ind w:left="567" w:hanging="283"/>
      </w:pPr>
      <w:r>
        <w:rPr>
          <w:b/>
          <w:color w:val="6B4E45"/>
        </w:rPr>
        <w:t xml:space="preserve">Inconsistent Authority: </w:t>
      </w:r>
      <w:r>
        <w:rPr>
          <w:color w:val="6B7280"/>
        </w:rPr>
        <w:t>Sometimes the system presents guesses as facts, other times it hedges unnecessarily. Users cannot build a mental model of when to trust it.</w:t>
      </w:r>
    </w:p>
    <w:p>
      <w:pPr>
        <w:pStyle w:val="ListBullet"/>
        <w:ind w:left="567" w:hanging="283"/>
      </w:pPr>
      <w:r>
        <w:rPr>
          <w:b/>
          <w:color w:val="6B4E45"/>
        </w:rPr>
        <w:t xml:space="preserve">No Gradation: </w:t>
      </w:r>
      <w:r>
        <w:rPr>
          <w:color w:val="6B7280"/>
        </w:rPr>
        <w:t>The interface shows everything as equally certain. Users cannot prioritize which suggestions to verify first.</w:t>
      </w:r>
    </w:p>
    <w:p>
      <w:pPr>
        <w:pStyle w:val="ListBullet"/>
        <w:ind w:left="567" w:hanging="283"/>
      </w:pPr>
      <w:r>
        <w:rPr>
          <w:b/>
          <w:color w:val="6B4E45"/>
        </w:rPr>
        <w:t xml:space="preserve">Opaque Recovery: </w:t>
      </w:r>
      <w:r>
        <w:rPr>
          <w:color w:val="6B7280"/>
        </w:rPr>
        <w:t>When the system is uncertain, it provides no path forward — no alternatives, no explanation, no human handoff.</w:t>
      </w:r>
    </w:p>
    <w:p>
      <w:pPr>
        <w:spacing w:before="120" w:after="120"/>
        <w:ind w:left="283" w:right="283"/>
        <w:pBorders>
          <w:left w:val="single" w:sz="24" w:color="6B4E45"/>
        </w:pBorders>
        <w:shd w:fill="F0E9E7"/>
      </w:pPr>
      <w:r>
        <w:rPr>
          <w:b/>
          <w:color w:val="6B4E45"/>
          <w:sz w:val="22"/>
        </w:rPr>
        <w:t>Critical Insight</w:t>
      </w:r>
      <w:r>
        <w:rPr>
          <w:color w:val="6B4E45"/>
          <w:sz w:val="21"/>
        </w:rPr>
        <w:t xml:space="preserve"> - The wrong approach: a blunt "I cannot help with that." The right approach: acknowledge the request, provide partial information with clear qualification, explain what happens next, and hand off with full context.</w:t>
      </w:r>
    </w:p>
    <w:p>
      <w:pPr>
        <w:pStyle w:val="Heading1"/>
      </w:pPr>
      <w:r>
        <w:t>Recommended UX Patterns</w:t>
      </w:r>
    </w:p>
    <w:p>
      <w:r>
        <w:t>The following patterns address the confidence communication problem within Shatara's decision-support and knowledge-management flows: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F3EAF5"/>
          </w:tcPr>
          <w:p>
            <w:r>
              <w:rPr>
                <w:b/>
                <w:color w:val="6B4E45"/>
                <w:sz w:val="20"/>
              </w:rPr>
              <w:t>Pattern</w:t>
            </w:r>
          </w:p>
        </w:tc>
        <w:tc>
          <w:tcPr>
            <w:tcW w:type="dxa" w:w="2268"/>
            <w:shd w:fill="F3EAF5"/>
          </w:tcPr>
          <w:p>
            <w:r>
              <w:rPr>
                <w:b/>
                <w:color w:val="6B4E45"/>
                <w:sz w:val="20"/>
              </w:rPr>
              <w:t>Best For</w:t>
            </w:r>
          </w:p>
        </w:tc>
        <w:tc>
          <w:tcPr>
            <w:tcW w:type="dxa" w:w="2268"/>
            <w:shd w:fill="F3EAF5"/>
          </w:tcPr>
          <w:p>
            <w:r>
              <w:rPr>
                <w:b/>
                <w:color w:val="6B4E45"/>
                <w:sz w:val="20"/>
              </w:rPr>
              <w:t>Build Time</w:t>
            </w:r>
          </w:p>
        </w:tc>
        <w:tc>
          <w:tcPr>
            <w:tcW w:type="dxa" w:w="2268"/>
            <w:shd w:fill="F3EAF5"/>
          </w:tcPr>
          <w:p>
            <w:r>
              <w:rPr>
                <w:b/>
                <w:color w:val="6B4E45"/>
                <w:sz w:val="20"/>
              </w:rPr>
              <w:t>Impact</w:t>
            </w:r>
          </w:p>
        </w:tc>
      </w:tr>
      <w:tr>
        <w:tc>
          <w:tcPr>
            <w:tcW w:type="dxa" w:w="2268"/>
          </w:tcPr>
          <w:p>
            <w:r>
              <w:rPr>
                <w:color w:val="6B7280"/>
                <w:sz w:val="20"/>
              </w:rPr>
              <w:t>Inline Hints</w:t>
            </w:r>
          </w:p>
        </w:tc>
        <w:tc>
          <w:tcPr>
            <w:tcW w:type="dxa" w:w="2268"/>
          </w:tcPr>
          <w:p>
            <w:r>
              <w:rPr>
                <w:color w:val="6B7280"/>
                <w:sz w:val="20"/>
              </w:rPr>
              <w:t>Quick decisions, lists</w:t>
            </w:r>
          </w:p>
        </w:tc>
        <w:tc>
          <w:tcPr>
            <w:tcW w:type="dxa" w:w="2268"/>
          </w:tcPr>
          <w:p>
            <w:r>
              <w:rPr>
                <w:color w:val="6B7280"/>
                <w:sz w:val="20"/>
              </w:rPr>
              <w:t>Days</w:t>
            </w:r>
          </w:p>
        </w:tc>
        <w:tc>
          <w:tcPr>
            <w:tcW w:type="dxa" w:w="2268"/>
          </w:tcPr>
          <w:p>
            <w:r>
              <w:rPr>
                <w:color w:val="6B7280"/>
                <w:sz w:val="20"/>
              </w:rPr>
              <w:t>Quick win</w:t>
            </w:r>
          </w:p>
        </w:tc>
      </w:tr>
      <w:tr>
        <w:tc>
          <w:tcPr>
            <w:tcW w:type="dxa" w:w="2268"/>
          </w:tcPr>
          <w:p>
            <w:r>
              <w:rPr>
                <w:color w:val="6B7280"/>
                <w:sz w:val="20"/>
              </w:rPr>
              <w:t>Confidence Scores</w:t>
            </w:r>
          </w:p>
        </w:tc>
        <w:tc>
          <w:tcPr>
            <w:tcW w:type="dxa" w:w="2268"/>
          </w:tcPr>
          <w:p>
            <w:r>
              <w:rPr>
                <w:color w:val="6B7280"/>
                <w:sz w:val="20"/>
              </w:rPr>
              <w:t>Research, ops workflows</w:t>
            </w:r>
          </w:p>
        </w:tc>
        <w:tc>
          <w:tcPr>
            <w:tcW w:type="dxa" w:w="2268"/>
          </w:tcPr>
          <w:p>
            <w:r>
              <w:rPr>
                <w:color w:val="6B7280"/>
                <w:sz w:val="20"/>
              </w:rPr>
              <w:t>1 week</w:t>
            </w:r>
          </w:p>
        </w:tc>
        <w:tc>
          <w:tcPr>
            <w:tcW w:type="dxa" w:w="2268"/>
          </w:tcPr>
          <w:p>
            <w:r>
              <w:rPr>
                <w:color w:val="6B7280"/>
                <w:sz w:val="20"/>
              </w:rPr>
              <w:t>High trust</w:t>
            </w:r>
          </w:p>
        </w:tc>
      </w:tr>
      <w:tr>
        <w:tc>
          <w:tcPr>
            <w:tcW w:type="dxa" w:w="2268"/>
          </w:tcPr>
          <w:p>
            <w:r>
              <w:rPr>
                <w:color w:val="6B7280"/>
                <w:sz w:val="20"/>
              </w:rPr>
              <w:t>Review Queues</w:t>
            </w:r>
          </w:p>
        </w:tc>
        <w:tc>
          <w:tcPr>
            <w:tcW w:type="dxa" w:w="2268"/>
          </w:tcPr>
          <w:p>
            <w:r>
              <w:rPr>
                <w:color w:val="6B7280"/>
                <w:sz w:val="20"/>
              </w:rPr>
              <w:t>Regulated workflows</w:t>
            </w:r>
          </w:p>
        </w:tc>
        <w:tc>
          <w:tcPr>
            <w:tcW w:type="dxa" w:w="2268"/>
          </w:tcPr>
          <w:p>
            <w:r>
              <w:rPr>
                <w:color w:val="6B7280"/>
                <w:sz w:val="20"/>
              </w:rPr>
              <w:t>2-3 sprints</w:t>
            </w:r>
          </w:p>
        </w:tc>
        <w:tc>
          <w:tcPr>
            <w:tcW w:type="dxa" w:w="2268"/>
          </w:tcPr>
          <w:p>
            <w:r>
              <w:rPr>
                <w:color w:val="6B7280"/>
                <w:sz w:val="20"/>
              </w:rPr>
              <w:t>Safety</w:t>
            </w:r>
          </w:p>
        </w:tc>
      </w:tr>
      <w:tr>
        <w:tc>
          <w:tcPr>
            <w:tcW w:type="dxa" w:w="2268"/>
          </w:tcPr>
          <w:p>
            <w:r>
              <w:rPr>
                <w:color w:val="6B7280"/>
                <w:sz w:val="20"/>
              </w:rPr>
              <w:t>Draft Assistant</w:t>
            </w:r>
          </w:p>
        </w:tc>
        <w:tc>
          <w:tcPr>
            <w:tcW w:type="dxa" w:w="2268"/>
          </w:tcPr>
          <w:p>
            <w:r>
              <w:rPr>
                <w:color w:val="6B7280"/>
                <w:sz w:val="20"/>
              </w:rPr>
              <w:t>Long text, summaries</w:t>
            </w:r>
          </w:p>
        </w:tc>
        <w:tc>
          <w:tcPr>
            <w:tcW w:type="dxa" w:w="2268"/>
          </w:tcPr>
          <w:p>
            <w:r>
              <w:rPr>
                <w:color w:val="6B7280"/>
                <w:sz w:val="20"/>
              </w:rPr>
              <w:t>1-2 sprints</w:t>
            </w:r>
          </w:p>
        </w:tc>
        <w:tc>
          <w:tcPr>
            <w:tcW w:type="dxa" w:w="2268"/>
          </w:tcPr>
          <w:p>
            <w:r>
              <w:rPr>
                <w:color w:val="6B7280"/>
                <w:sz w:val="20"/>
              </w:rPr>
              <w:t>Time savings</w:t>
            </w:r>
          </w:p>
        </w:tc>
      </w:tr>
    </w:tbl>
    <w:p>
      <w:r>
        <w:t>The most effective approach combines multiple patterns: start with inline confidence hints for speed, escalate to review queues for high-stakes decisions, and always provide sources so users can verify when the system is in the uncertain zone.</w:t>
      </w:r>
    </w:p>
    <w:p>
      <w:pPr>
        <w:pStyle w:val="Heading2"/>
      </w:pPr>
      <w:r>
        <w:t>Alignment with Shatara Design System</w:t>
      </w:r>
    </w:p>
    <w:p>
      <w:r>
        <w:t>These patterns should reuse the existing design tokens:</w:t>
      </w:r>
    </w:p>
    <w:p>
      <w:pPr>
        <w:pStyle w:val="ListBullet"/>
        <w:ind w:left="567" w:hanging="283"/>
      </w:pPr>
      <w:r>
        <w:rPr>
          <w:b/>
          <w:color w:val="6B4E45"/>
        </w:rPr>
        <w:t xml:space="preserve">Verified state: </w:t>
      </w:r>
      <w:r>
        <w:rPr>
          <w:color w:val="6B7280"/>
        </w:rPr>
        <w:t>Use brand-green (#06AC2A) for the verified badge, matching the existing success/green Button variant.</w:t>
      </w:r>
    </w:p>
    <w:p>
      <w:pPr>
        <w:pStyle w:val="ListBullet"/>
        <w:ind w:left="567" w:hanging="283"/>
      </w:pPr>
      <w:r>
        <w:rPr>
          <w:b/>
          <w:color w:val="6B4E45"/>
        </w:rPr>
        <w:t xml:space="preserve">Review state: </w:t>
      </w:r>
      <w:r>
        <w:rPr>
          <w:color w:val="6B7280"/>
        </w:rPr>
        <w:t>Use brand-purple (#AB86B9) or amber for the review badge, keeping it consistent with primary action color.</w:t>
      </w:r>
    </w:p>
    <w:p>
      <w:pPr>
        <w:pStyle w:val="ListBullet"/>
        <w:ind w:left="567" w:hanging="283"/>
      </w:pPr>
      <w:r>
        <w:rPr>
          <w:b/>
          <w:color w:val="6B4E45"/>
        </w:rPr>
        <w:t xml:space="preserve">Uncertain state: </w:t>
      </w:r>
      <w:r>
        <w:rPr>
          <w:color w:val="6B7280"/>
        </w:rPr>
        <w:t>Use brand-brown (#6B4E45) with a red outline or subtle warning styling.</w:t>
      </w:r>
    </w:p>
    <w:p>
      <w:pPr>
        <w:pStyle w:val="ListBullet"/>
        <w:ind w:left="567" w:hanging="283"/>
      </w:pPr>
      <w:r>
        <w:rPr>
          <w:b/>
          <w:color w:val="6B4E45"/>
        </w:rPr>
        <w:t xml:space="preserve">Inputs: </w:t>
      </w:r>
      <w:r>
        <w:rPr>
          <w:color w:val="6B7280"/>
        </w:rPr>
        <w:t>Reuse the existing Input component for corrections; add an end-element icon for the confidence badge.</w:t>
      </w:r>
    </w:p>
    <w:p>
      <w:pPr>
        <w:pStyle w:val="ListBullet"/>
        <w:ind w:left="567" w:hanging="283"/>
      </w:pPr>
      <w:r>
        <w:rPr>
          <w:b/>
          <w:color w:val="6B4E45"/>
        </w:rPr>
        <w:t xml:space="preserve">Cards: </w:t>
      </w:r>
      <w:r>
        <w:rPr>
          <w:color w:val="6B7280"/>
        </w:rPr>
        <w:t>Wrap suggestion groups in the existing Card component with silver borders.</w:t>
      </w:r>
    </w:p>
    <w:p>
      <w:pPr>
        <w:pStyle w:val="ListBullet"/>
        <w:ind w:left="567" w:hanging="283"/>
      </w:pPr>
      <w:r>
        <w:rPr>
          <w:b/>
          <w:color w:val="6B4E45"/>
        </w:rPr>
        <w:t xml:space="preserve">Buttons: </w:t>
      </w:r>
      <w:r>
        <w:rPr>
          <w:color w:val="6B7280"/>
        </w:rPr>
        <w:t>Use primary Button for "Accept suggestion", outline Button for "Edit", and secondary Button for escalation actions.</w:t>
      </w:r>
    </w:p>
    <w:p>
      <w:pPr>
        <w:pStyle w:val="ListBullet"/>
        <w:ind w:left="567" w:hanging="283"/>
      </w:pPr>
      <w:r>
        <w:rPr>
          <w:b/>
          <w:color w:val="6B4E45"/>
        </w:rPr>
        <w:t xml:space="preserve">RTL: </w:t>
      </w:r>
      <w:r>
        <w:rPr>
          <w:color w:val="6B7280"/>
        </w:rPr>
        <w:t>All indicators and icons must mirror correctly for Arabic; place the badge on the logical start of the field.</w:t>
      </w:r>
    </w:p>
    <w:p>
      <w:pPr>
        <w:pStyle w:val="Heading1"/>
      </w:pPr>
      <w:r>
        <w:t>Content Upload Workflow Experience</w:t>
      </w:r>
    </w:p>
    <w:p>
      <w:r>
        <w:t>The upload flow is a critical conversion point for match data, tournament files, player profiles, and user-generated content. Research on file-upload UX shows that this moment contains significant friction, and friction here directly impacts completion rates. The experience must communicate processing stages clearly and set appropriate expectations.</w:t>
      </w:r>
    </w:p>
    <w:p>
      <w:pPr>
        <w:pStyle w:val="Heading2"/>
      </w:pPr>
      <w:r>
        <w:t>Upload Stage Best Practices</w:t>
      </w:r>
    </w:p>
    <w:p>
      <w:pPr>
        <w:pStyle w:val="ListBullet"/>
        <w:ind w:left="567" w:hanging="283"/>
      </w:pPr>
      <w:r>
        <w:rPr>
          <w:b/>
          <w:color w:val="6B4E45"/>
        </w:rPr>
        <w:t xml:space="preserve">Drag-and-Drop with Fallback: </w:t>
      </w:r>
      <w:r>
        <w:rPr>
          <w:color w:val="6B7280"/>
        </w:rPr>
        <w:t>Primary interaction should be drag-and-drop with click-to-browse as fallback. The drop zone must be visually prominent with clear affordances.</w:t>
      </w:r>
    </w:p>
    <w:p>
      <w:pPr>
        <w:pStyle w:val="ListBullet"/>
        <w:ind w:left="567" w:hanging="283"/>
      </w:pPr>
      <w:r>
        <w:rPr>
          <w:b/>
          <w:color w:val="6B4E45"/>
        </w:rPr>
        <w:t xml:space="preserve">File Preview Before Submit: </w:t>
      </w:r>
      <w:r>
        <w:rPr>
          <w:color w:val="6B7280"/>
        </w:rPr>
        <w:t>Users must see what they are uploading before confirming. This prevents errors and builds trust.</w:t>
      </w:r>
    </w:p>
    <w:p>
      <w:pPr>
        <w:pStyle w:val="ListBullet"/>
        <w:ind w:left="567" w:hanging="283"/>
      </w:pPr>
      <w:r>
        <w:rPr>
          <w:b/>
          <w:color w:val="6B4E45"/>
        </w:rPr>
        <w:t xml:space="preserve">Inline Validation: </w:t>
      </w:r>
      <w:r>
        <w:rPr>
          <w:color w:val="6B7280"/>
        </w:rPr>
        <w:t>Error messages must be specific and actionable — not generic "upload failed." Tell users exactly what went wrong and how to fix it.</w:t>
      </w:r>
    </w:p>
    <w:p>
      <w:pPr>
        <w:pStyle w:val="ListBullet"/>
        <w:ind w:left="567" w:hanging="283"/>
      </w:pPr>
      <w:r>
        <w:rPr>
          <w:b/>
          <w:color w:val="6B4E45"/>
        </w:rPr>
        <w:t xml:space="preserve">Progress Indicators: </w:t>
      </w:r>
      <w:r>
        <w:rPr>
          <w:color w:val="6B7280"/>
        </w:rPr>
        <w:t>Linear progress bars, percentage counters, or step trackers are the single biggest lever for reducing mid-upload drop-off.</w:t>
      </w:r>
    </w:p>
    <w:p>
      <w:pPr>
        <w:pStyle w:val="Heading2"/>
      </w:pPr>
      <w:r>
        <w:t>Processing Stage</w:t>
      </w:r>
    </w:p>
    <w:p>
      <w:r>
        <w:t>After upload, the processing stage is where confidence communication becomes critical. Users need:</w:t>
      </w:r>
    </w:p>
    <w:p>
      <w:pPr>
        <w:pStyle w:val="ListBullet"/>
        <w:ind w:left="567" w:hanging="283"/>
      </w:pPr>
      <w:r>
        <w:rPr>
          <w:b/>
          <w:color w:val="6B4E45"/>
        </w:rPr>
        <w:t xml:space="preserve">Real-Time Processing Feedback: </w:t>
      </w:r>
      <w:r>
        <w:rPr>
          <w:color w:val="6B7280"/>
        </w:rPr>
        <w:t>Show stages: Scanning, Analyzing, Structuring, Ready. Without this, users think the system has stalled.</w:t>
      </w:r>
    </w:p>
    <w:p>
      <w:pPr>
        <w:pStyle w:val="ListBullet"/>
        <w:ind w:left="567" w:hanging="283"/>
      </w:pPr>
      <w:r>
        <w:rPr>
          <w:b/>
          <w:color w:val="6B4E45"/>
        </w:rPr>
        <w:t xml:space="preserve">Confidence Visualization: </w:t>
      </w:r>
      <w:r>
        <w:rPr>
          <w:color w:val="6B7280"/>
        </w:rPr>
        <w:t>When the system extracts information from the upload, show confidence per field. High-confidence fields can be auto-accepted; low-confidence fields should be flagged for review.</w:t>
      </w:r>
    </w:p>
    <w:p>
      <w:pPr>
        <w:pStyle w:val="ListBullet"/>
        <w:ind w:left="567" w:hanging="283"/>
      </w:pPr>
      <w:r>
        <w:rPr>
          <w:b/>
          <w:color w:val="6B4E45"/>
        </w:rPr>
        <w:t xml:space="preserve">Granular Edit Controls: </w:t>
      </w:r>
      <w:r>
        <w:rPr>
          <w:color w:val="6B7280"/>
        </w:rPr>
        <w:t>Let users correct specific fields the system got wrong. Each correction should feed back into the model for future improvement.</w:t>
      </w:r>
    </w:p>
    <w:p>
      <w:pPr>
        <w:pStyle w:val="ListBullet"/>
        <w:ind w:left="567" w:hanging="283"/>
      </w:pPr>
      <w:r>
        <w:rPr>
          <w:b/>
          <w:color w:val="6B4E45"/>
        </w:rPr>
        <w:t xml:space="preserve">Graceful Degradation: </w:t>
      </w:r>
      <w:r>
        <w:rPr>
          <w:color w:val="6B7280"/>
        </w:rPr>
        <w:t>If the system cannot process the upload, provide a clear path forward: manual entry, template suggestion, or human support handoff.</w:t>
      </w:r>
    </w:p>
    <w:p>
      <w:pPr>
        <w:spacing w:before="120" w:after="120"/>
        <w:ind w:left="283" w:right="283"/>
        <w:pBorders>
          <w:left w:val="single" w:sz="24" w:color="06AC2A"/>
        </w:pBorders>
        <w:shd w:fill="E6F7E9"/>
      </w:pPr>
      <w:r>
        <w:rPr>
          <w:b/>
          <w:color w:val="06AC2A"/>
          <w:sz w:val="22"/>
        </w:rPr>
        <w:t>Processing Stage Insight</w:t>
      </w:r>
      <w:r>
        <w:rPr>
          <w:color w:val="6B4E45"/>
          <w:sz w:val="21"/>
        </w:rPr>
        <w:t xml:space="preserve"> - Research shows that showing processing stages reduces perceived wait time by 28% and increases completion rates. The key is visibility into what is happening, not just a spinner.</w:t>
      </w:r>
    </w:p>
    <w:p>
      <w:pPr>
        <w:pStyle w:val="Heading1"/>
      </w:pPr>
      <w:r>
        <w:t>Cognitive Load and Trust Factors</w:t>
      </w:r>
    </w:p>
    <w:p>
      <w:r>
        <w:t>Automated suggestion systems introduce a new type of cognitive load: users must evaluate whether to trust each output. This meta-decision — is this suggestion reliable? — adds mental overhead that traditional software does not. Users with high confidence in the system actually experience reduced critical thinking over time, while users with low confidence waste mental energy on unnecessary verification.</w:t>
      </w:r>
    </w:p>
    <w:p>
      <w:pPr>
        <w:pStyle w:val="Heading2"/>
      </w:pPr>
      <w:r>
        <w:t>Reducing Harmful Cognitive Load</w:t>
      </w:r>
    </w:p>
    <w:p>
      <w:pPr>
        <w:pStyle w:val="ListBullet"/>
        <w:ind w:left="567" w:hanging="283"/>
      </w:pPr>
      <w:r>
        <w:rPr>
          <w:b/>
          <w:color w:val="6B4E45"/>
        </w:rPr>
        <w:t xml:space="preserve">Chunk Information: </w:t>
      </w:r>
      <w:r>
        <w:rPr>
          <w:color w:val="6B7280"/>
        </w:rPr>
        <w:t>Break complex suggestions into digestible pieces. Use progressive disclosure — show the summary first, details on demand.</w:t>
      </w:r>
    </w:p>
    <w:p>
      <w:pPr>
        <w:pStyle w:val="ListBullet"/>
        <w:ind w:left="567" w:hanging="283"/>
      </w:pPr>
      <w:r>
        <w:rPr>
          <w:b/>
          <w:color w:val="6B4E45"/>
        </w:rPr>
        <w:t xml:space="preserve">Visual Grouping: </w:t>
      </w:r>
      <w:r>
        <w:rPr>
          <w:color w:val="6B7280"/>
        </w:rPr>
        <w:t>Group related information together. Use spacing, borders, and color to create clear information hierarchy.</w:t>
      </w:r>
    </w:p>
    <w:p>
      <w:pPr>
        <w:pStyle w:val="ListBullet"/>
        <w:ind w:left="567" w:hanging="283"/>
      </w:pPr>
      <w:r>
        <w:rPr>
          <w:b/>
          <w:color w:val="6B4E45"/>
        </w:rPr>
        <w:t xml:space="preserve">Consistent Patterns: </w:t>
      </w:r>
      <w:r>
        <w:rPr>
          <w:color w:val="6B7280"/>
        </w:rPr>
        <w:t>Use the same confidence indicators everywhere. Users should recognize verified/review/uncertain states at a glance.</w:t>
      </w:r>
    </w:p>
    <w:p>
      <w:pPr>
        <w:pStyle w:val="ListBullet"/>
        <w:ind w:left="567" w:hanging="283"/>
      </w:pPr>
      <w:r>
        <w:rPr>
          <w:b/>
          <w:color w:val="6B4E45"/>
        </w:rPr>
        <w:t xml:space="preserve">Default to Speed: </w:t>
      </w:r>
      <w:r>
        <w:rPr>
          <w:color w:val="6B7280"/>
        </w:rPr>
        <w:t>Make the common path fast. Add verification steps only where errors are costly.</w:t>
      </w:r>
    </w:p>
    <w:p>
      <w:pPr>
        <w:pStyle w:val="Heading2"/>
      </w:pPr>
      <w:r>
        <w:t>Building Appropriate Trust</w:t>
      </w:r>
    </w:p>
    <w:p>
      <w:r>
        <w:t>The goal is calibrated trust — users trust the system when it is right and verify when it might be wrong. Research identifies these trust-building factors: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F3EAF5"/>
          </w:tcPr>
          <w:p>
            <w:r>
              <w:rPr>
                <w:b/>
                <w:color w:val="6B4E45"/>
                <w:sz w:val="20"/>
              </w:rPr>
              <w:t>Factor</w:t>
            </w:r>
          </w:p>
        </w:tc>
        <w:tc>
          <w:tcPr>
            <w:tcW w:type="dxa" w:w="3024"/>
            <w:shd w:fill="F3EAF5"/>
          </w:tcPr>
          <w:p>
            <w:r>
              <w:rPr>
                <w:b/>
                <w:color w:val="6B4E45"/>
                <w:sz w:val="20"/>
              </w:rPr>
              <w:t>Effect on Trust</w:t>
            </w:r>
          </w:p>
        </w:tc>
        <w:tc>
          <w:tcPr>
            <w:tcW w:type="dxa" w:w="3024"/>
            <w:shd w:fill="F3EAF5"/>
          </w:tcPr>
          <w:p>
            <w:r>
              <w:rPr>
                <w:b/>
                <w:color w:val="6B4E45"/>
                <w:sz w:val="20"/>
              </w:rPr>
              <w:t>UX Implementation</w:t>
            </w:r>
          </w:p>
        </w:tc>
      </w:tr>
      <w:tr>
        <w:tc>
          <w:tcPr>
            <w:tcW w:type="dxa" w:w="3024"/>
          </w:tcPr>
          <w:p>
            <w:r>
              <w:rPr>
                <w:color w:val="6B7280"/>
                <w:sz w:val="20"/>
              </w:rPr>
              <w:t>Uncertainty Visualization</w:t>
            </w:r>
          </w:p>
        </w:tc>
        <w:tc>
          <w:tcPr>
            <w:tcW w:type="dxa" w:w="3024"/>
          </w:tcPr>
          <w:p>
            <w:r>
              <w:rPr>
                <w:color w:val="6B7280"/>
                <w:sz w:val="20"/>
              </w:rPr>
              <w:t>+58% for skeptical users</w:t>
            </w:r>
          </w:p>
        </w:tc>
        <w:tc>
          <w:tcPr>
            <w:tcW w:type="dxa" w:w="3024"/>
          </w:tcPr>
          <w:p>
            <w:r>
              <w:rPr>
                <w:color w:val="6B7280"/>
                <w:sz w:val="20"/>
              </w:rPr>
              <w:t>Color-coded confidence zones</w:t>
            </w:r>
          </w:p>
        </w:tc>
      </w:tr>
      <w:tr>
        <w:tc>
          <w:tcPr>
            <w:tcW w:type="dxa" w:w="3024"/>
          </w:tcPr>
          <w:p>
            <w:r>
              <w:rPr>
                <w:color w:val="6B7280"/>
                <w:sz w:val="20"/>
              </w:rPr>
              <w:t>Source Transparency</w:t>
            </w:r>
          </w:p>
        </w:tc>
        <w:tc>
          <w:tcPr>
            <w:tcW w:type="dxa" w:w="3024"/>
          </w:tcPr>
          <w:p>
            <w:r>
              <w:rPr>
                <w:color w:val="6B7280"/>
                <w:sz w:val="20"/>
              </w:rPr>
              <w:t>+34% trust increase</w:t>
            </w:r>
          </w:p>
        </w:tc>
        <w:tc>
          <w:tcPr>
            <w:tcW w:type="dxa" w:w="3024"/>
          </w:tcPr>
          <w:p>
            <w:r>
              <w:rPr>
                <w:color w:val="6B7280"/>
                <w:sz w:val="20"/>
              </w:rPr>
              <w:t>Cited sources under suggestions</w:t>
            </w:r>
          </w:p>
        </w:tc>
      </w:tr>
      <w:tr>
        <w:tc>
          <w:tcPr>
            <w:tcW w:type="dxa" w:w="3024"/>
          </w:tcPr>
          <w:p>
            <w:r>
              <w:rPr>
                <w:color w:val="6B7280"/>
                <w:sz w:val="20"/>
              </w:rPr>
              <w:t>User Control (Edit)</w:t>
            </w:r>
          </w:p>
        </w:tc>
        <w:tc>
          <w:tcPr>
            <w:tcW w:type="dxa" w:w="3024"/>
          </w:tcPr>
          <w:p>
            <w:r>
              <w:rPr>
                <w:color w:val="6B7280"/>
                <w:sz w:val="20"/>
              </w:rPr>
              <w:t>+41% perceived reliability</w:t>
            </w:r>
          </w:p>
        </w:tc>
        <w:tc>
          <w:tcPr>
            <w:tcW w:type="dxa" w:w="3024"/>
          </w:tcPr>
          <w:p>
            <w:r>
              <w:rPr>
                <w:color w:val="6B7280"/>
                <w:sz w:val="20"/>
              </w:rPr>
              <w:t>Inline edit on all outputs</w:t>
            </w:r>
          </w:p>
        </w:tc>
      </w:tr>
      <w:tr>
        <w:tc>
          <w:tcPr>
            <w:tcW w:type="dxa" w:w="3024"/>
          </w:tcPr>
          <w:p>
            <w:r>
              <w:rPr>
                <w:color w:val="6B7280"/>
                <w:sz w:val="20"/>
              </w:rPr>
              <w:t>Graceful Escalation</w:t>
            </w:r>
          </w:p>
        </w:tc>
        <w:tc>
          <w:tcPr>
            <w:tcW w:type="dxa" w:w="3024"/>
          </w:tcPr>
          <w:p>
            <w:r>
              <w:rPr>
                <w:color w:val="6B7280"/>
                <w:sz w:val="20"/>
              </w:rPr>
              <w:t>+27% satisfaction</w:t>
            </w:r>
          </w:p>
        </w:tc>
        <w:tc>
          <w:tcPr>
            <w:tcW w:type="dxa" w:w="3024"/>
          </w:tcPr>
          <w:p>
            <w:r>
              <w:rPr>
                <w:color w:val="6B7280"/>
                <w:sz w:val="20"/>
              </w:rPr>
              <w:t>Clear handoff with context</w:t>
            </w:r>
          </w:p>
        </w:tc>
      </w:tr>
    </w:tbl>
    <w:p>
      <w:r>
        <w:t>Uncertainty visualization is not just a nice-to-have — it is a trust-building mechanism. Users who see honest confidence signals rate the system as more trustworthy, even when it admits uncertainty.</w:t>
      </w:r>
    </w:p>
    <w:p>
      <w:pPr>
        <w:pStyle w:val="Heading1"/>
      </w:pPr>
      <w:r>
        <w:t>Specific Recommendations for Shatara</w:t>
      </w:r>
    </w:p>
    <w:p>
      <w:r>
        <w:t>Based on this analysis, here are the specific problems the platform should handle and the UX changes to implement:</w:t>
      </w:r>
    </w:p>
    <w:p>
      <w:pPr>
        <w:pStyle w:val="Heading2"/>
      </w:pPr>
      <w:r>
        <w:t>1. Implement Confidence Zones</w:t>
      </w:r>
    </w:p>
    <w:p>
      <w:r>
        <w:t>Replace the binary correct/incorrect model with three confidence zones:</w:t>
      </w:r>
    </w:p>
    <w:p>
      <w:pPr>
        <w:pStyle w:val="ListBullet"/>
        <w:ind w:left="567" w:hanging="283"/>
      </w:pPr>
      <w:r>
        <w:rPr>
          <w:b/>
          <w:color w:val="6B4E45"/>
        </w:rPr>
        <w:t xml:space="preserve">Verified Zone (Above 90%): </w:t>
      </w:r>
      <w:r>
        <w:rPr>
          <w:color w:val="6B7280"/>
        </w:rPr>
        <w:t>Display with brand-green indicator. Auto-accept for low-risk fields. Show a subtle verified badge.</w:t>
      </w:r>
    </w:p>
    <w:p>
      <w:pPr>
        <w:pStyle w:val="ListBullet"/>
        <w:ind w:left="567" w:hanging="283"/>
      </w:pPr>
      <w:r>
        <w:rPr>
          <w:b/>
          <w:color w:val="6B4E45"/>
        </w:rPr>
        <w:t xml:space="preserve">Review Zone (70% to 90%): </w:t>
      </w:r>
      <w:r>
        <w:rPr>
          <w:color w:val="6B7280"/>
        </w:rPr>
        <w:t>Display with amber/brand-purple indicator. Present the suggestion but flag it for quick review. One-click confirm or edit.</w:t>
      </w:r>
    </w:p>
    <w:p>
      <w:pPr>
        <w:pStyle w:val="ListBullet"/>
        <w:ind w:left="567" w:hanging="283"/>
      </w:pPr>
      <w:r>
        <w:rPr>
          <w:b/>
          <w:color w:val="6B4E45"/>
        </w:rPr>
        <w:t xml:space="preserve">Uncertain Zone (Below 70%): </w:t>
      </w:r>
      <w:r>
        <w:rPr>
          <w:color w:val="6B7280"/>
        </w:rPr>
        <w:t>Display with red indicator. Do not auto-fill. Show the best guess but require explicit user input. Offer alternative suggestions.</w:t>
      </w:r>
    </w:p>
    <w:p>
      <w:pPr>
        <w:pStyle w:val="Heading2"/>
      </w:pPr>
      <w:r>
        <w:t>2. Add "Why This Suggestion" Explanations</w:t>
      </w:r>
    </w:p>
    <w:p>
      <w:r>
        <w:t>For every automated suggestion, provide an expandable explanation showing: the source data used, the reasoning path, and the specific factors that influenced confidence. This is essential for Review and Uncertain zones.</w:t>
      </w:r>
    </w:p>
    <w:p>
      <w:pPr>
        <w:pStyle w:val="Heading2"/>
      </w:pPr>
      <w:r>
        <w:t>3. Build Progressive Disclosure</w:t>
      </w:r>
    </w:p>
    <w:p>
      <w:r>
        <w:t>Do not show all confidence information at once. Default to a simple indicator (color dot plus label). On hover or click, reveal: confidence percentage, key factors, source links. Advanced users can expand to see the full reasoning path.</w:t>
      </w:r>
    </w:p>
    <w:p>
      <w:pPr>
        <w:pStyle w:val="Heading2"/>
      </w:pPr>
      <w:r>
        <w:t>4. Create Feedback Loops</w:t>
      </w:r>
    </w:p>
    <w:p>
      <w:r>
        <w:t>Every automated output should have a feedback mechanism: thumbs up or down, "this was wrong" flag, or correction input. Corrections must feed back into the system. Users should see confirmation that their feedback was recorded and will improve future results.</w:t>
      </w:r>
    </w:p>
    <w:p>
      <w:pPr>
        <w:pStyle w:val="Heading2"/>
      </w:pPr>
      <w:r>
        <w:t>5. Design Graceful Escalation</w:t>
      </w:r>
    </w:p>
    <w:p>
      <w:r>
        <w:t>When confidence is below threshold, the system should: acknowledge what the user asked, provide any partial information available with clear qualification, explain why the system is uncertain, and offer a clear next step (human handoff, template suggestion, or rephrase request).</w:t>
      </w:r>
    </w:p>
    <w:p>
      <w:pPr>
        <w:pStyle w:val="Heading2"/>
      </w:pPr>
      <w:r>
        <w:t>6. Contextual Help Integration</w:t>
      </w:r>
    </w:p>
    <w:p>
      <w:r>
        <w:t>The decision-support knowledge base should be accessible without leaving the current workflow. Embed help: link decision-tree nodes to relevant rule articles, show contextual tips beside complex fields, suggest related articles before users submit support requests, and connect error messages to troubleshooting flows.</w:t>
      </w:r>
    </w:p>
    <w:p>
      <w:pPr>
        <w:pStyle w:val="Heading2"/>
      </w:pPr>
      <w:r>
        <w:t>Visual Mockup Descriptions</w:t>
      </w:r>
    </w:p>
    <w:p>
      <w:r>
        <w:t>To make these recommendations concrete for discussion, here are wireframe-level descriptions of the key interface states, aligned with the existing Shatara design system:</w:t>
      </w:r>
    </w:p>
    <w:p>
      <w:pPr>
        <w:pStyle w:val="ListBullet"/>
        <w:ind w:left="567" w:hanging="283"/>
      </w:pPr>
      <w:r>
        <w:rPr>
          <w:b/>
          <w:color w:val="6B4E45"/>
        </w:rPr>
        <w:t xml:space="preserve">Mockup 1 - Inline Confidence Indicator: </w:t>
      </w:r>
      <w:r>
        <w:rPr>
          <w:color w:val="6B7280"/>
        </w:rPr>
        <w:t>Next to any system-filled field, show a small colored dot plus a one-word label: Verified (brand-green), Review (amber/brand-purple), or Uncertain (red). On hover or tap, expand a compact card showing the confidence percentage, the source data used, a "Why this suggestion" link, and an inline edit pencil.</w:t>
      </w:r>
    </w:p>
    <w:p>
      <w:pPr>
        <w:pStyle w:val="ListBullet"/>
        <w:ind w:left="567" w:hanging="283"/>
      </w:pPr>
      <w:r>
        <w:rPr>
          <w:b/>
          <w:color w:val="6B4E45"/>
        </w:rPr>
        <w:t xml:space="preserve">Mockup 2 - Confidence Zone List View: </w:t>
      </w:r>
      <w:r>
        <w:rPr>
          <w:color w:val="6B7280"/>
        </w:rPr>
        <w:t>After a content upload, present extracted fields as a list with columns for Field, Suggested Value, Confidence, and Action. Green rows are auto-accepted, amber rows are flagged for quick review, and red rows remain empty with the best guess shown as a placeholder. Add bulk actions such as "Accept all verified" and "Review flagged items".</w:t>
      </w:r>
    </w:p>
    <w:p>
      <w:pPr>
        <w:pStyle w:val="ListBullet"/>
        <w:ind w:left="567" w:hanging="283"/>
      </w:pPr>
      <w:r>
        <w:rPr>
          <w:b/>
          <w:color w:val="6B4E45"/>
        </w:rPr>
        <w:t xml:space="preserve">Mockup 3 - Upload Processing Timeline: </w:t>
      </w:r>
      <w:r>
        <w:rPr>
          <w:color w:val="6B7280"/>
        </w:rPr>
        <w:t>Replace the generic spinner with a horizontal stepper: Upload → Scanning → Analyzing → Structuring → Ready. Completed steps show a checkmark, the active step pulses gently, and pending steps are gray. As each stage finishes, reveal a preview of the fields it produced.</w:t>
      </w:r>
    </w:p>
    <w:p>
      <w:pPr>
        <w:pStyle w:val="ListBullet"/>
        <w:ind w:left="567" w:hanging="283"/>
      </w:pPr>
      <w:r>
        <w:rPr>
          <w:b/>
          <w:color w:val="6B4E45"/>
        </w:rPr>
        <w:t xml:space="preserve">Mockup 4 - Decision Support Node with Hint: </w:t>
      </w:r>
      <w:r>
        <w:rPr>
          <w:color w:val="6B7280"/>
        </w:rPr>
        <w:t>When a rule or strategy question appears, show the system hint directly beneath it: "Based on the board state, this move opens a strong position (87% confidence)." The suggestion carries an amber Review badge. The user can accept the suggestion, choose manually, or click "Why this suggestion?" to see the reasoning path.</w:t>
      </w:r>
    </w:p>
    <w:p>
      <w:pPr>
        <w:pStyle w:val="ListBullet"/>
        <w:ind w:left="567" w:hanging="283"/>
      </w:pPr>
      <w:r>
        <w:rPr>
          <w:b/>
          <w:color w:val="6B4E45"/>
        </w:rPr>
        <w:t xml:space="preserve">Mockup 5 - Graceful Escalation State: </w:t>
      </w:r>
      <w:r>
        <w:rPr>
          <w:color w:val="6B7280"/>
        </w:rPr>
        <w:t>If the system cannot answer confidently, keep the user on the same screen. Show: what the system understood, any partial information it can provide with clear qualification, why it is uncertain, and three concrete next steps such as hand off to a human expert, try a structured template, or rephrase the question.</w:t>
      </w:r>
    </w:p>
    <w:p>
      <w:pPr>
        <w:pStyle w:val="ListBullet"/>
        <w:ind w:left="567" w:hanging="283"/>
      </w:pPr>
      <w:r>
        <w:rPr>
          <w:b/>
          <w:color w:val="6B4E45"/>
        </w:rPr>
        <w:t xml:space="preserve">Mockup 6 - Feedback Micro-interaction: </w:t>
      </w:r>
      <w:r>
        <w:rPr>
          <w:color w:val="6B7280"/>
        </w:rPr>
        <w:t>Place unobtrusive thumbs up and thumbs down icons beside every system output. Tapping thumbs down reveals a small inline form: "What was wrong?" with an optional correct value. After submission, show a brief confirmation: "Thanks — this will improve future results."</w:t>
      </w:r>
    </w:p>
    <w:p>
      <w:pPr>
        <w:pStyle w:val="Heading1"/>
      </w:pPr>
      <w:r>
        <w:t>Implementation Priority Matrix</w:t>
      </w:r>
    </w:p>
    <w:p>
      <w:r>
        <w:t>Based on impact versus effort analysis, here is the recommended implementation order:</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F3EAF5"/>
          </w:tcPr>
          <w:p>
            <w:r>
              <w:rPr>
                <w:b/>
                <w:color w:val="6B4E45"/>
                <w:sz w:val="20"/>
              </w:rPr>
              <w:t>Priority</w:t>
            </w:r>
          </w:p>
        </w:tc>
        <w:tc>
          <w:tcPr>
            <w:tcW w:type="dxa" w:w="1814"/>
            <w:shd w:fill="F3EAF5"/>
          </w:tcPr>
          <w:p>
            <w:r>
              <w:rPr>
                <w:b/>
                <w:color w:val="6B4E45"/>
                <w:sz w:val="20"/>
              </w:rPr>
              <w:t>Feature</w:t>
            </w:r>
          </w:p>
        </w:tc>
        <w:tc>
          <w:tcPr>
            <w:tcW w:type="dxa" w:w="1814"/>
            <w:shd w:fill="F3EAF5"/>
          </w:tcPr>
          <w:p>
            <w:r>
              <w:rPr>
                <w:b/>
                <w:color w:val="6B4E45"/>
                <w:sz w:val="20"/>
              </w:rPr>
              <w:t>Impact</w:t>
            </w:r>
          </w:p>
        </w:tc>
        <w:tc>
          <w:tcPr>
            <w:tcW w:type="dxa" w:w="1814"/>
            <w:shd w:fill="F3EAF5"/>
          </w:tcPr>
          <w:p>
            <w:r>
              <w:rPr>
                <w:b/>
                <w:color w:val="6B4E45"/>
                <w:sz w:val="20"/>
              </w:rPr>
              <w:t>Effort</w:t>
            </w:r>
          </w:p>
        </w:tc>
        <w:tc>
          <w:tcPr>
            <w:tcW w:type="dxa" w:w="1814"/>
            <w:shd w:fill="F3EAF5"/>
          </w:tcPr>
          <w:p>
            <w:r>
              <w:rPr>
                <w:b/>
                <w:color w:val="6B4E45"/>
                <w:sz w:val="20"/>
              </w:rPr>
              <w:t>Timeline</w:t>
            </w:r>
          </w:p>
        </w:tc>
      </w:tr>
      <w:tr>
        <w:tc>
          <w:tcPr>
            <w:tcW w:type="dxa" w:w="1814"/>
          </w:tcPr>
          <w:p>
            <w:r>
              <w:rPr>
                <w:color w:val="6B7280"/>
                <w:sz w:val="20"/>
              </w:rPr>
              <w:t>1</w:t>
            </w:r>
          </w:p>
        </w:tc>
        <w:tc>
          <w:tcPr>
            <w:tcW w:type="dxa" w:w="1814"/>
          </w:tcPr>
          <w:p>
            <w:r>
              <w:rPr>
                <w:color w:val="6B7280"/>
                <w:sz w:val="20"/>
              </w:rPr>
              <w:t>Confidence Zone Colors</w:t>
            </w:r>
          </w:p>
        </w:tc>
        <w:tc>
          <w:tcPr>
            <w:tcW w:type="dxa" w:w="1814"/>
          </w:tcPr>
          <w:p>
            <w:r>
              <w:rPr>
                <w:color w:val="6B7280"/>
                <w:sz w:val="20"/>
              </w:rPr>
              <w:t>High</w:t>
            </w:r>
          </w:p>
        </w:tc>
        <w:tc>
          <w:tcPr>
            <w:tcW w:type="dxa" w:w="1814"/>
          </w:tcPr>
          <w:p>
            <w:r>
              <w:rPr>
                <w:color w:val="6B7280"/>
                <w:sz w:val="20"/>
              </w:rPr>
              <w:t>Low</w:t>
            </w:r>
          </w:p>
        </w:tc>
        <w:tc>
          <w:tcPr>
            <w:tcW w:type="dxa" w:w="1814"/>
          </w:tcPr>
          <w:p>
            <w:r>
              <w:rPr>
                <w:color w:val="6B7280"/>
                <w:sz w:val="20"/>
              </w:rPr>
              <w:t>Week 1</w:t>
            </w:r>
          </w:p>
        </w:tc>
      </w:tr>
      <w:tr>
        <w:tc>
          <w:tcPr>
            <w:tcW w:type="dxa" w:w="1814"/>
          </w:tcPr>
          <w:p>
            <w:r>
              <w:rPr>
                <w:color w:val="6B7280"/>
                <w:sz w:val="20"/>
              </w:rPr>
              <w:t>2</w:t>
            </w:r>
          </w:p>
        </w:tc>
        <w:tc>
          <w:tcPr>
            <w:tcW w:type="dxa" w:w="1814"/>
          </w:tcPr>
          <w:p>
            <w:r>
              <w:rPr>
                <w:color w:val="6B7280"/>
                <w:sz w:val="20"/>
              </w:rPr>
              <w:t>Processing Stage Feedback</w:t>
            </w:r>
          </w:p>
        </w:tc>
        <w:tc>
          <w:tcPr>
            <w:tcW w:type="dxa" w:w="1814"/>
          </w:tcPr>
          <w:p>
            <w:r>
              <w:rPr>
                <w:color w:val="6B7280"/>
                <w:sz w:val="20"/>
              </w:rPr>
              <w:t>High</w:t>
            </w:r>
          </w:p>
        </w:tc>
        <w:tc>
          <w:tcPr>
            <w:tcW w:type="dxa" w:w="1814"/>
          </w:tcPr>
          <w:p>
            <w:r>
              <w:rPr>
                <w:color w:val="6B7280"/>
                <w:sz w:val="20"/>
              </w:rPr>
              <w:t>Low</w:t>
            </w:r>
          </w:p>
        </w:tc>
        <w:tc>
          <w:tcPr>
            <w:tcW w:type="dxa" w:w="1814"/>
          </w:tcPr>
          <w:p>
            <w:r>
              <w:rPr>
                <w:color w:val="6B7280"/>
                <w:sz w:val="20"/>
              </w:rPr>
              <w:t>Week 1-2</w:t>
            </w:r>
          </w:p>
        </w:tc>
      </w:tr>
      <w:tr>
        <w:tc>
          <w:tcPr>
            <w:tcW w:type="dxa" w:w="1814"/>
          </w:tcPr>
          <w:p>
            <w:r>
              <w:rPr>
                <w:color w:val="6B7280"/>
                <w:sz w:val="20"/>
              </w:rPr>
              <w:t>3</w:t>
            </w:r>
          </w:p>
        </w:tc>
        <w:tc>
          <w:tcPr>
            <w:tcW w:type="dxa" w:w="1814"/>
          </w:tcPr>
          <w:p>
            <w:r>
              <w:rPr>
                <w:color w:val="6B7280"/>
                <w:sz w:val="20"/>
              </w:rPr>
              <w:t>Inline Edit Controls</w:t>
            </w:r>
          </w:p>
        </w:tc>
        <w:tc>
          <w:tcPr>
            <w:tcW w:type="dxa" w:w="1814"/>
          </w:tcPr>
          <w:p>
            <w:r>
              <w:rPr>
                <w:color w:val="6B7280"/>
                <w:sz w:val="20"/>
              </w:rPr>
              <w:t>High</w:t>
            </w:r>
          </w:p>
        </w:tc>
        <w:tc>
          <w:tcPr>
            <w:tcW w:type="dxa" w:w="1814"/>
          </w:tcPr>
          <w:p>
            <w:r>
              <w:rPr>
                <w:color w:val="6B7280"/>
                <w:sz w:val="20"/>
              </w:rPr>
              <w:t>Medium</w:t>
            </w:r>
          </w:p>
        </w:tc>
        <w:tc>
          <w:tcPr>
            <w:tcW w:type="dxa" w:w="1814"/>
          </w:tcPr>
          <w:p>
            <w:r>
              <w:rPr>
                <w:color w:val="6B7280"/>
                <w:sz w:val="20"/>
              </w:rPr>
              <w:t>Week 2-3</w:t>
            </w:r>
          </w:p>
        </w:tc>
      </w:tr>
      <w:tr>
        <w:tc>
          <w:tcPr>
            <w:tcW w:type="dxa" w:w="1814"/>
          </w:tcPr>
          <w:p>
            <w:r>
              <w:rPr>
                <w:color w:val="6B7280"/>
                <w:sz w:val="20"/>
              </w:rPr>
              <w:t>4</w:t>
            </w:r>
          </w:p>
        </w:tc>
        <w:tc>
          <w:tcPr>
            <w:tcW w:type="dxa" w:w="1814"/>
          </w:tcPr>
          <w:p>
            <w:r>
              <w:rPr>
                <w:color w:val="6B7280"/>
                <w:sz w:val="20"/>
              </w:rPr>
              <w:t>Why This Suggestion Explanations</w:t>
            </w:r>
          </w:p>
        </w:tc>
        <w:tc>
          <w:tcPr>
            <w:tcW w:type="dxa" w:w="1814"/>
          </w:tcPr>
          <w:p>
            <w:r>
              <w:rPr>
                <w:color w:val="6B7280"/>
                <w:sz w:val="20"/>
              </w:rPr>
              <w:t>Medium</w:t>
            </w:r>
          </w:p>
        </w:tc>
        <w:tc>
          <w:tcPr>
            <w:tcW w:type="dxa" w:w="1814"/>
          </w:tcPr>
          <w:p>
            <w:r>
              <w:rPr>
                <w:color w:val="6B7280"/>
                <w:sz w:val="20"/>
              </w:rPr>
              <w:t>Medium</w:t>
            </w:r>
          </w:p>
        </w:tc>
        <w:tc>
          <w:tcPr>
            <w:tcW w:type="dxa" w:w="1814"/>
          </w:tcPr>
          <w:p>
            <w:r>
              <w:rPr>
                <w:color w:val="6B7280"/>
                <w:sz w:val="20"/>
              </w:rPr>
              <w:t>Week 3-4</w:t>
            </w:r>
          </w:p>
        </w:tc>
      </w:tr>
      <w:tr>
        <w:tc>
          <w:tcPr>
            <w:tcW w:type="dxa" w:w="1814"/>
          </w:tcPr>
          <w:p>
            <w:r>
              <w:rPr>
                <w:color w:val="6B7280"/>
                <w:sz w:val="20"/>
              </w:rPr>
              <w:t>5</w:t>
            </w:r>
          </w:p>
        </w:tc>
        <w:tc>
          <w:tcPr>
            <w:tcW w:type="dxa" w:w="1814"/>
          </w:tcPr>
          <w:p>
            <w:r>
              <w:rPr>
                <w:color w:val="6B7280"/>
                <w:sz w:val="20"/>
              </w:rPr>
              <w:t>Feedback Loop System</w:t>
            </w:r>
          </w:p>
        </w:tc>
        <w:tc>
          <w:tcPr>
            <w:tcW w:type="dxa" w:w="1814"/>
          </w:tcPr>
          <w:p>
            <w:r>
              <w:rPr>
                <w:color w:val="6B7280"/>
                <w:sz w:val="20"/>
              </w:rPr>
              <w:t>Medium</w:t>
            </w:r>
          </w:p>
        </w:tc>
        <w:tc>
          <w:tcPr>
            <w:tcW w:type="dxa" w:w="1814"/>
          </w:tcPr>
          <w:p>
            <w:r>
              <w:rPr>
                <w:color w:val="6B7280"/>
                <w:sz w:val="20"/>
              </w:rPr>
              <w:t>Medium</w:t>
            </w:r>
          </w:p>
        </w:tc>
        <w:tc>
          <w:tcPr>
            <w:tcW w:type="dxa" w:w="1814"/>
          </w:tcPr>
          <w:p>
            <w:r>
              <w:rPr>
                <w:color w:val="6B7280"/>
                <w:sz w:val="20"/>
              </w:rPr>
              <w:t>Week 4-5</w:t>
            </w:r>
          </w:p>
        </w:tc>
      </w:tr>
      <w:tr>
        <w:tc>
          <w:tcPr>
            <w:tcW w:type="dxa" w:w="1814"/>
          </w:tcPr>
          <w:p>
            <w:r>
              <w:rPr>
                <w:color w:val="6B7280"/>
                <w:sz w:val="20"/>
              </w:rPr>
              <w:t>6</w:t>
            </w:r>
          </w:p>
        </w:tc>
        <w:tc>
          <w:tcPr>
            <w:tcW w:type="dxa" w:w="1814"/>
          </w:tcPr>
          <w:p>
            <w:r>
              <w:rPr>
                <w:color w:val="6B7280"/>
                <w:sz w:val="20"/>
              </w:rPr>
              <w:t>Graceful Escalation Flow</w:t>
            </w:r>
          </w:p>
        </w:tc>
        <w:tc>
          <w:tcPr>
            <w:tcW w:type="dxa" w:w="1814"/>
          </w:tcPr>
          <w:p>
            <w:r>
              <w:rPr>
                <w:color w:val="6B7280"/>
                <w:sz w:val="20"/>
              </w:rPr>
              <w:t>High</w:t>
            </w:r>
          </w:p>
        </w:tc>
        <w:tc>
          <w:tcPr>
            <w:tcW w:type="dxa" w:w="1814"/>
          </w:tcPr>
          <w:p>
            <w:r>
              <w:rPr>
                <w:color w:val="6B7280"/>
                <w:sz w:val="20"/>
              </w:rPr>
              <w:t>High</w:t>
            </w:r>
          </w:p>
        </w:tc>
        <w:tc>
          <w:tcPr>
            <w:tcW w:type="dxa" w:w="1814"/>
          </w:tcPr>
          <w:p>
            <w:r>
              <w:rPr>
                <w:color w:val="6B7280"/>
                <w:sz w:val="20"/>
              </w:rPr>
              <w:t>Week 5-7</w:t>
            </w:r>
          </w:p>
        </w:tc>
      </w:tr>
      <w:tr>
        <w:tc>
          <w:tcPr>
            <w:tcW w:type="dxa" w:w="1814"/>
          </w:tcPr>
          <w:p>
            <w:r>
              <w:rPr>
                <w:color w:val="6B7280"/>
                <w:sz w:val="20"/>
              </w:rPr>
              <w:t>7</w:t>
            </w:r>
          </w:p>
        </w:tc>
        <w:tc>
          <w:tcPr>
            <w:tcW w:type="dxa" w:w="1814"/>
          </w:tcPr>
          <w:p>
            <w:r>
              <w:rPr>
                <w:color w:val="6B7280"/>
                <w:sz w:val="20"/>
              </w:rPr>
              <w:t>Contextual KB Integration</w:t>
            </w:r>
          </w:p>
        </w:tc>
        <w:tc>
          <w:tcPr>
            <w:tcW w:type="dxa" w:w="1814"/>
          </w:tcPr>
          <w:p>
            <w:r>
              <w:rPr>
                <w:color w:val="6B7280"/>
                <w:sz w:val="20"/>
              </w:rPr>
              <w:t>Medium</w:t>
            </w:r>
          </w:p>
        </w:tc>
        <w:tc>
          <w:tcPr>
            <w:tcW w:type="dxa" w:w="1814"/>
          </w:tcPr>
          <w:p>
            <w:r>
              <w:rPr>
                <w:color w:val="6B7280"/>
                <w:sz w:val="20"/>
              </w:rPr>
              <w:t>High</w:t>
            </w:r>
          </w:p>
        </w:tc>
        <w:tc>
          <w:tcPr>
            <w:tcW w:type="dxa" w:w="1814"/>
          </w:tcPr>
          <w:p>
            <w:r>
              <w:rPr>
                <w:color w:val="6B7280"/>
                <w:sz w:val="20"/>
              </w:rPr>
              <w:t>Week 7-9</w:t>
            </w:r>
          </w:p>
        </w:tc>
      </w:tr>
    </w:tbl>
    <w:p>
      <w:r>
        <w:t>Start with confidence zone colors — this single change delivers the highest trust improvement for the lowest implementation cost. It provides the foundation for all other patterns. Then build the processing stage feedback for the upload flow, as this directly impacts completion rates.</w:t>
      </w:r>
    </w:p>
    <w:p>
      <w:pPr>
        <w:spacing w:before="120" w:after="120"/>
        <w:ind w:left="283" w:right="283"/>
        <w:pBorders>
          <w:left w:val="single" w:sz="24" w:color="AB86B9"/>
        </w:pBorders>
        <w:shd w:fill="F3EAF5"/>
      </w:pPr>
      <w:r>
        <w:rPr>
          <w:b/>
          <w:color w:val="AB86B9"/>
          <w:sz w:val="22"/>
        </w:rPr>
        <w:t>Next Steps</w:t>
      </w:r>
      <w:r>
        <w:rPr>
          <w:color w:val="6B4E45"/>
          <w:sz w:val="21"/>
        </w:rPr>
        <w:t xml:space="preserve"> - 1. Review this research with the product team. 2. Prioritize based on specific user pain points. 3. Prototype the confidence zone system first — it is the foundation for everything else. 4. Measure: time to complete, error rates, and user trust scores before and after each change.</w:t>
      </w:r>
    </w:p>
    <w:p>
      <w:r>
        <w:br w:type="page"/>
      </w:r>
    </w:p>
    <w:p/>
    <w:p/>
    <w:p/>
    <w:p/>
    <w:p/>
    <w:p/>
    <w:p/>
    <w:p/>
    <w:p>
      <w:pPr>
        <w:jc w:val="center"/>
      </w:pPr>
      <w:r>
        <w:rPr>
          <w:b/>
          <w:color w:val="AB86B9"/>
          <w:sz w:val="48"/>
        </w:rPr>
        <w:t>Ready to Discuss</w:t>
      </w:r>
    </w:p>
    <w:p>
      <w:pPr>
        <w:jc w:val="center"/>
      </w:pPr>
      <w:r>
        <w:rPr>
          <w:color w:val="6B4E45"/>
          <w:sz w:val="24"/>
        </w:rPr>
        <w:t>Building a more trustworthy Shatara experience.</w:t>
      </w:r>
    </w:p>
    <w:p>
      <w:pPr>
        <w:jc w:val="center"/>
      </w:pPr>
      <w:r>
        <w:rPr>
          <w:color w:val="6B7280"/>
          <w:sz w:val="20"/>
        </w:rPr>
        <w:t>Week of June 22,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6B4E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AB86B9"/>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6B4E4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6B72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