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4E78"/>
          <w:sz w:val="44"/>
          <w:szCs w:val="44"/>
        </w:rPr>
        <w:t xml:space="preserve">Comprehensive Financial Health</w:t>
      </w:r>
    </w:p>
    <w:p>
      <w:pPr>
        <w:spacing w:after="600"/>
        <w:jc w:val="center"/>
      </w:pPr>
      <w:r>
        <w:rPr>
          <w:b/>
          <w:bCs/>
          <w:color w:val="1F4E78"/>
          <w:sz w:val="44"/>
          <w:szCs w:val="44"/>
        </w:rPr>
        <w:t xml:space="preserve">and Valuation Analysis of Apple Inc.</w:t>
      </w:r>
    </w:p>
    <w:p>
      <w:pPr>
        <w:spacing w:after="200"/>
        <w:jc w:val="center"/>
      </w:pPr>
      <w:r>
        <w:rPr>
          <w:i/>
          <w:iCs/>
          <w:sz w:val="26"/>
          <w:szCs w:val="26"/>
        </w:rPr>
        <w:t xml:space="preserve">Fiscal Years 2023 to 2025</w:t>
      </w:r>
    </w:p>
    <w:p>
      <w:pPr>
        <w:spacing w:after="100" w:before="1200"/>
        <w:jc w:val="center"/>
      </w:pPr>
      <w:r>
        <w:rPr>
          <w:b/>
          <w:bCs/>
          <w:sz w:val="24"/>
          <w:szCs w:val="24"/>
        </w:rPr>
        <w:t xml:space="preserve">Prepared by Manar Ebrahim</w:t>
      </w:r>
    </w:p>
    <w:p>
      <w:pPr>
        <w:spacing w:after="100"/>
        <w:jc w:val="center"/>
      </w:pPr>
      <w:r>
        <w:rPr>
          <w:sz w:val="22"/>
          <w:szCs w:val="22"/>
        </w:rPr>
        <w:t xml:space="preserve">Independent Equity Research Report</w:t>
      </w:r>
    </w:p>
    <w:p>
      <w:pPr>
        <w:jc w:val="center"/>
      </w:pPr>
      <w:r>
        <w:rPr>
          <w:sz w:val="22"/>
          <w:szCs w:val="22"/>
        </w:rPr>
        <w:t xml:space="preserve">September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F4E78"/>
          <w:sz w:val="30"/>
          <w:szCs w:val="30"/>
        </w:rPr>
        <w:t xml:space="preserve">1. Executive Summary</w:t>
      </w:r>
    </w:p>
    <w:p>
      <w:pPr>
        <w:spacing w:after="160" w:line="300"/>
        <w:jc w:val="both"/>
      </w:pPr>
      <w:r>
        <w:rPr>
          <w:sz w:val="22"/>
          <w:szCs w:val="22"/>
        </w:rPr>
        <w:t xml:space="preserve">This report presents an independent financial analysis and valuation of Apple Inc., based entirely on the company's own audited financial statements as filed with the U.S. Securities and Exchange Commission (SEC), the government body that oversees public company disclosures in the United States, together with current market data as of early September 2026. The analysis covers three fiscal years, from FY2023 to FY2025 (Apple's fiscal year ends on the last Saturday of September), and combines historical performance review with forward looking valuation.</w:t>
      </w:r>
    </w:p>
    <w:p>
      <w:pPr>
        <w:spacing w:after="160" w:line="300"/>
        <w:jc w:val="both"/>
      </w:pPr>
      <w:r>
        <w:rPr>
          <w:sz w:val="22"/>
          <w:szCs w:val="22"/>
        </w:rPr>
        <w:t xml:space="preserve">The review shows a company with steadily improving operating margins, a highly efficient cash conversion cycle, and very strong debt servicing capacity, but one that also carries some unusual balance sheet characteristics driven by an aggressive share buyback program. On valuation, Apple trades at a meaningful premium to both its peer group, Microsoft and Alphabet, and to its own intrinsic value as estimated through a discounted cash flow model. Based on the combination of strong fundamentals and a stretched valuation, this report concludes with a Hold recommendation, meaning the stock does not present a compelling entry point at current prices, although the underlying business remains fundamentally sound.</w:t>
      </w:r>
    </w:p>
    <w:p>
      <w:pPr>
        <w:pStyle w:val="Heading1"/>
        <w:spacing w:after="200" w:before="400"/>
      </w:pPr>
      <w:r>
        <w:rPr>
          <w:b/>
          <w:bCs/>
          <w:color w:val="1F4E78"/>
          <w:sz w:val="30"/>
          <w:szCs w:val="30"/>
        </w:rPr>
        <w:t xml:space="preserve">2. Company Overview</w:t>
      </w:r>
    </w:p>
    <w:p>
      <w:pPr>
        <w:spacing w:after="160" w:line="300"/>
        <w:jc w:val="both"/>
      </w:pPr>
      <w:r>
        <w:rPr>
          <w:sz w:val="22"/>
          <w:szCs w:val="22"/>
        </w:rPr>
        <w:t xml:space="preserve">Apple Inc. designs, manufactures, and markets consumer electronics, including the iPhone, Mac, iPad, and Apple Watch, alongside a growing portfolio of services such as the App Store, Apple Music, iCloud, and Apple Pay. Over the period under review, the company's revenue mix has continued to shift toward services, which typically carry higher margins than hardware, a trend that is examined in detail in Section 3.</w:t>
      </w:r>
    </w:p>
    <w:p>
      <w:pPr>
        <w:pStyle w:val="Heading1"/>
        <w:spacing w:after="200" w:before="400"/>
      </w:pPr>
      <w:r>
        <w:rPr>
          <w:b/>
          <w:bCs/>
          <w:color w:val="1F4E78"/>
          <w:sz w:val="30"/>
          <w:szCs w:val="30"/>
        </w:rPr>
        <w:t xml:space="preserve">3. Financial Statement Analysis</w:t>
      </w:r>
    </w:p>
    <w:p>
      <w:pPr>
        <w:spacing w:after="160" w:line="300"/>
        <w:jc w:val="both"/>
      </w:pPr>
      <w:r>
        <w:rPr>
          <w:sz w:val="22"/>
          <w:szCs w:val="22"/>
        </w:rPr>
        <w:t xml:space="preserve">This section reviews the three core financial statements: the Income Statement, which shows profitability over a period of time; the Balance Sheet, which shows financial position at a single point in time; and the Cash Flow Statement, which tracks the actual movement of cash. Each statement is reviewed using two standard techniques. Horizontal analysis compares each line item across years to identify growth trends. Vertical analysis, also called a common size statement, expresses each line item as a percentage of a base figure, Total Net Sales for the Income Statement and Total Assets for the Balance Sheet, which allows for comparison regardless of the company's absolute size.</w:t>
      </w:r>
    </w:p>
    <w:p>
      <w:pPr>
        <w:pStyle w:val="Heading2"/>
        <w:spacing w:after="150" w:before="300"/>
      </w:pPr>
      <w:r>
        <w:rPr>
          <w:b/>
          <w:bCs/>
          <w:color w:val="1F4E78"/>
          <w:sz w:val="25"/>
          <w:szCs w:val="25"/>
        </w:rPr>
        <w:t xml:space="preserve">3.1 Income Statement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tblGrid>
      <w:tr>
        <w:trPr>
          <w:tblHeader/>
        </w:trPr>
        <w:tc>
          <w:tcPr>
            <w:tcW w:type="dxa" w:w="3400"/>
            <w:shd w:fill="1F4E78" w:val="clear"/>
            <w:tcMar>
              <w:top w:type="dxa" w:w="80"/>
              <w:left w:type="dxa" w:w="100"/>
              <w:bottom w:type="dxa" w:w="80"/>
              <w:right w:type="dxa" w:w="100"/>
            </w:tcMar>
            <w:vAlign w:val="center"/>
          </w:tcPr>
          <w:p>
            <w:pPr>
              <w:jc w:val="left"/>
            </w:pPr>
            <w:r>
              <w:rPr>
                <w:b/>
                <w:bCs/>
                <w:color w:val="FFFFFF"/>
                <w:sz w:val="20"/>
                <w:szCs w:val="20"/>
              </w:rPr>
              <w:t xml:space="preserve">Item ($ millions)</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FY2023</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FY2024</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FY2025</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Total Net Sales</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383,285</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391,035</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416,161</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Total Cost of Sales</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214,137</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210,352</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220,960</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Gross Margin</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169,148</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180,683</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195,201</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Total Operating Expenses</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54,847</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57,467</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62,151</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Operating Income (EBIT)</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114,301</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123,216</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133,050</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Provision for Income Taxes</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16,741</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29,749</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20,719</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Net Income</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96,995</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93,736</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112,010</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Diluted Earnings Per Share ($)</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6.13</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6.08</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7.46</w:t>
            </w:r>
          </w:p>
        </w:tc>
      </w:tr>
    </w:tbl>
    <w:p>
      <w:pPr>
        <w:spacing w:after="200"/>
      </w:pPr>
      <w:r>
        <w:rPr>
          <w:i/>
          <w:iCs/>
          <w:color w:val="666666"/>
          <w:sz w:val="20"/>
          <w:szCs w:val="20"/>
        </w:rPr>
        <w:t xml:space="preserve">EBIT stands for Earnings Before Interest and Taxes. It is also referred to as Operating Income, the profit generated purely from core business operations, before the effects of financing decisions or tax positions.</w:t>
      </w:r>
    </w:p>
    <w:p>
      <w:pPr>
        <w:spacing w:after="160" w:line="300"/>
        <w:jc w:val="both"/>
      </w:pPr>
      <w:r>
        <w:rPr>
          <w:sz w:val="22"/>
          <w:szCs w:val="22"/>
        </w:rPr>
        <w:t xml:space="preserve">Gross margin, calculated as Gross Margin divided by Total Net Sales, improved consistently from 44.1 percent in FY2023 to 46.9 percent in FY2025. Operating margin followed the same pattern, rising from 29.8 percent to 32.0 percent. Both trends point to genuine improvement in operating efficiency, supported by the continued growth of the Services segment, which carries a lower cost of sales as a percentage of its revenue than the Products segment.</w:t>
      </w:r>
    </w:p>
    <w:p>
      <w:pPr>
        <w:spacing w:after="160" w:line="300"/>
        <w:jc w:val="both"/>
      </w:pPr>
      <w:r>
        <w:rPr>
          <w:sz w:val="22"/>
          <w:szCs w:val="22"/>
        </w:rPr>
        <w:t xml:space="preserve">Net income, however, did not follow a smooth upward path. It declined from 96,995 million dollars in FY2023 to 93,736 million dollars in FY2024, despite operating income increasing, before recovering strongly to 112,010 million dollars in FY2025. The cause is visible in the Provision for Income Taxes line: the effective tax rate, calculated as tax expense divided by pre-tax income, jumped from 14.7 percent in FY2023 to 24.1 percent in FY2024, driven by a one-time tax matter related to a State Aid decision in the European Union, before falling back to 15.6 percent in FY2025. This illustrates an important analytical point: a company's operating performance and its bottom-line net income can move in different directions when a non-operating item such as taxation changes significantly from one year to the next.</w:t>
      </w:r>
    </w:p>
    <w:p>
      <w:pPr>
        <w:pStyle w:val="Heading2"/>
        <w:spacing w:after="150" w:before="300"/>
      </w:pPr>
      <w:r>
        <w:rPr>
          <w:b/>
          <w:bCs/>
          <w:color w:val="1F4E78"/>
          <w:sz w:val="25"/>
          <w:szCs w:val="25"/>
        </w:rPr>
        <w:t xml:space="preserve">3.2 Balance Sheet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tblGrid>
      <w:tr>
        <w:trPr>
          <w:tblHeader/>
        </w:trPr>
        <w:tc>
          <w:tcPr>
            <w:tcW w:type="dxa" w:w="3400"/>
            <w:shd w:fill="1F4E78" w:val="clear"/>
            <w:tcMar>
              <w:top w:type="dxa" w:w="80"/>
              <w:left w:type="dxa" w:w="100"/>
              <w:bottom w:type="dxa" w:w="80"/>
              <w:right w:type="dxa" w:w="100"/>
            </w:tcMar>
            <w:vAlign w:val="center"/>
          </w:tcPr>
          <w:p>
            <w:pPr>
              <w:jc w:val="left"/>
            </w:pPr>
            <w:r>
              <w:rPr>
                <w:b/>
                <w:bCs/>
                <w:color w:val="FFFFFF"/>
                <w:sz w:val="20"/>
                <w:szCs w:val="20"/>
              </w:rPr>
              <w:t xml:space="preserve">Item ($ millions)</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Sep-2023</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Sep-2024</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Sep-2025</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Total Current Assets</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143,566</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152,987</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147,957</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Total Non-Current Assets</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209,017</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211,993</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211,284</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Total Assets</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352,583</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364,980</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359,241</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Total Current Liabilities</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145,308</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176,392</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165,631</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Total Non-Current Liabilities</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145,129</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131,638</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119,877</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Total Liabilities</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290,437</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308,030</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285,508</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Total Shareholders' Equity</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62,146</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56,950</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73,733</w:t>
            </w:r>
          </w:p>
        </w:tc>
      </w:tr>
    </w:tbl>
    <w:p>
      <w:pPr>
        <w:spacing w:after="160" w:line="300"/>
        <w:jc w:val="both"/>
      </w:pPr>
      <w:r>
        <w:rPr>
          <w:sz w:val="22"/>
          <w:szCs w:val="22"/>
        </w:rPr>
        <w:t xml:space="preserve">A notable feature of Apple's balance sheet is that Total Current Liabilities exceed Total Current Assets in every year reviewed, which produces negative working capital, calculated as Total Current Assets minus Total Current Liabilities. For most companies this would be a warning sign of liquidity stress. In Apple's case it instead reflects exceptional bargaining power over its supply chain: the company collects cash from customers quickly while taking considerably longer to pay its suppliers, a dynamic confirmed later in Section 4.4 through the Days Sales Outstanding and Days Payable Outstanding metrics. Combined with Apple's very large and stable operating cash flow and its access to low-cost borrowing, negative working capital here is a sign of operating leverage rather than financial distress.</w:t>
      </w:r>
    </w:p>
    <w:p>
      <w:pPr>
        <w:spacing w:after="160" w:line="300"/>
        <w:jc w:val="both"/>
      </w:pPr>
      <w:r>
        <w:rPr>
          <w:sz w:val="22"/>
          <w:szCs w:val="22"/>
        </w:rPr>
        <w:t xml:space="preserve">Total Shareholders' Equity is small relative to the size of the business, moving from 62,146 million dollars to 73,733 million dollars over the period. This is a direct result of Apple's share buyback program, discussed further in Section 3.3, which reduces the book value of equity even as the company continues to generate large profits. This single fact explains several ratios that would otherwise look unusual, particularly Return on Equity and the Debt-to-Equity ratio, both covered in Section 4.</w:t>
      </w:r>
    </w:p>
    <w:p>
      <w:pPr>
        <w:pStyle w:val="Heading2"/>
        <w:spacing w:after="150" w:before="300"/>
      </w:pPr>
      <w:r>
        <w:rPr>
          <w:b/>
          <w:bCs/>
          <w:color w:val="1F4E78"/>
          <w:sz w:val="25"/>
          <w:szCs w:val="25"/>
        </w:rPr>
        <w:t xml:space="preserve">3.3 Cash Flow Statement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tblGrid>
      <w:tr>
        <w:trPr>
          <w:tblHeader/>
        </w:trPr>
        <w:tc>
          <w:tcPr>
            <w:tcW w:type="dxa" w:w="3400"/>
            <w:shd w:fill="1F4E78" w:val="clear"/>
            <w:tcMar>
              <w:top w:type="dxa" w:w="80"/>
              <w:left w:type="dxa" w:w="100"/>
              <w:bottom w:type="dxa" w:w="80"/>
              <w:right w:type="dxa" w:w="100"/>
            </w:tcMar>
            <w:vAlign w:val="center"/>
          </w:tcPr>
          <w:p>
            <w:pPr>
              <w:jc w:val="left"/>
            </w:pPr>
            <w:r>
              <w:rPr>
                <w:b/>
                <w:bCs/>
                <w:color w:val="FFFFFF"/>
                <w:sz w:val="20"/>
                <w:szCs w:val="20"/>
              </w:rPr>
              <w:t xml:space="preserve">Item ($ millions)</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FY2023</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FY2024</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FY2025</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Cash Generated by Operating Activities</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110,543</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118,254</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111,482</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Cash Generated by Investing Activities</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3,705</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2,935</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15,195</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Cash Used in Financing Activities</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(108,488)</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(121,983)</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(120,686)</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Repurchases of Common Stock</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(77,550)</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(94,949)</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(90,711)</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Payments for Dividends</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(15,025)</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(15,234)</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(15,421)</w:t>
            </w:r>
          </w:p>
        </w:tc>
      </w:tr>
    </w:tbl>
    <w:p>
      <w:pPr>
        <w:spacing w:after="160" w:line="300"/>
        <w:jc w:val="both"/>
      </w:pPr>
      <w:r>
        <w:rPr>
          <w:sz w:val="22"/>
          <w:szCs w:val="22"/>
        </w:rPr>
        <w:t xml:space="preserve">Operating cash flow remained large and stable across all three years, generally moving independently of the swings seen in reported net income. This is a positive sign of earnings quality, the degree to which reported accounting profit is backed by real cash rather than non-cash accounting adjustments. The Financing Activities section confirms that the majority of Apple's excess cash is returned to shareholders through stock buybacks, which averaged close to 90,000 million dollars per year over the period, alongside a steady and modest dividend.</w:t>
      </w:r>
    </w:p>
    <w:p>
      <w:pPr>
        <w:pStyle w:val="Heading1"/>
        <w:spacing w:after="200" w:before="400"/>
      </w:pPr>
      <w:r>
        <w:rPr>
          <w:b/>
          <w:bCs/>
          <w:color w:val="1F4E78"/>
          <w:sz w:val="30"/>
          <w:szCs w:val="30"/>
        </w:rPr>
        <w:t xml:space="preserve">4. Ratio Analysis</w:t>
      </w:r>
    </w:p>
    <w:p>
      <w:pPr>
        <w:spacing w:after="160" w:line="300"/>
        <w:jc w:val="both"/>
      </w:pPr>
      <w:r>
        <w:rPr>
          <w:sz w:val="22"/>
          <w:szCs w:val="22"/>
        </w:rPr>
        <w:t xml:space="preserve">Ratio analysis translates the raw figures in the financial statements into standardized measures that can be tracked over time and compared against other companies. Four categories are reviewed here: liquidity, profitability, leverage, and efficiency.</w:t>
      </w:r>
    </w:p>
    <w:p>
      <w:pPr>
        <w:pStyle w:val="Heading2"/>
        <w:spacing w:after="150" w:before="300"/>
      </w:pPr>
      <w:r>
        <w:rPr>
          <w:b/>
          <w:bCs/>
          <w:color w:val="1F4E78"/>
          <w:sz w:val="25"/>
          <w:szCs w:val="25"/>
        </w:rPr>
        <w:t xml:space="preserve">4.1 Liquidity Ratios</w:t>
      </w:r>
    </w:p>
    <w:p>
      <w:pPr>
        <w:spacing w:after="160" w:line="300"/>
        <w:jc w:val="both"/>
      </w:pPr>
      <w:r>
        <w:rPr>
          <w:sz w:val="22"/>
          <w:szCs w:val="22"/>
        </w:rPr>
        <w:t xml:space="preserve">Liquidity ratios measure a company's ability to meet its short-term obligations, generally defined as those due within one year.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tblGrid>
      <w:tr>
        <w:trPr>
          <w:tblHeader/>
        </w:trPr>
        <w:tc>
          <w:tcPr>
            <w:tcW w:type="dxa" w:w="3400"/>
            <w:shd w:fill="1F4E78" w:val="clear"/>
            <w:tcMar>
              <w:top w:type="dxa" w:w="80"/>
              <w:left w:type="dxa" w:w="100"/>
              <w:bottom w:type="dxa" w:w="80"/>
              <w:right w:type="dxa" w:w="100"/>
            </w:tcMar>
            <w:vAlign w:val="center"/>
          </w:tcPr>
          <w:p>
            <w:pPr>
              <w:jc w:val="left"/>
            </w:pPr>
            <w:r>
              <w:rPr>
                <w:b/>
                <w:bCs/>
                <w:color w:val="FFFFFF"/>
                <w:sz w:val="20"/>
                <w:szCs w:val="20"/>
              </w:rPr>
              <w:t xml:space="preserve">Ratio</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FY2023</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FY2024</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FY2025</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Current Ratio</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0.99</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0.87</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0.89</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Quick Ratio</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0.94</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0.83</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0.86</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Cash Ratio</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0.21</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0.17</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0.22</w:t>
            </w:r>
          </w:p>
        </w:tc>
      </w:tr>
    </w:tbl>
    <w:p>
      <w:pPr>
        <w:spacing w:after="160" w:line="300"/>
        <w:jc w:val="both"/>
      </w:pPr>
      <w:r>
        <w:rPr>
          <w:sz w:val="22"/>
          <w:szCs w:val="22"/>
        </w:rPr>
        <w:t xml:space="preserve">The Current Ratio, calculated as Total Current Assets divided by Total Current Liabilities, remained below 1.0 throughout the period, which would typically be viewed as a warning sign. As discussed in Section 3.2, this is not a concern for Apple specifically, given the company's enormous and consistent operating cash flow, its top-tier credit rating, and the large pool of marketable securities held outside current assets that could be liquidated if needed. The Quick Ratio, which excludes inventory from current assets, is very close to the Current Ratio, reflecting how little inventory Apple carries relative to its total current assets, consistent with a company that manufactures largely to order rather than holding large stockpiles.</w:t>
      </w:r>
    </w:p>
    <w:p>
      <w:pPr>
        <w:pStyle w:val="Heading2"/>
        <w:spacing w:after="150" w:before="300"/>
      </w:pPr>
      <w:r>
        <w:rPr>
          <w:b/>
          <w:bCs/>
          <w:color w:val="1F4E78"/>
          <w:sz w:val="25"/>
          <w:szCs w:val="25"/>
        </w:rPr>
        <w:t xml:space="preserve">4.2 Profitability Ratios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tblGrid>
      <w:tr>
        <w:trPr>
          <w:tblHeader/>
        </w:trPr>
        <w:tc>
          <w:tcPr>
            <w:tcW w:type="dxa" w:w="3400"/>
            <w:shd w:fill="1F4E78" w:val="clear"/>
            <w:tcMar>
              <w:top w:type="dxa" w:w="80"/>
              <w:left w:type="dxa" w:w="100"/>
              <w:bottom w:type="dxa" w:w="80"/>
              <w:right w:type="dxa" w:w="100"/>
            </w:tcMar>
            <w:vAlign w:val="center"/>
          </w:tcPr>
          <w:p>
            <w:pPr>
              <w:jc w:val="left"/>
            </w:pPr>
            <w:r>
              <w:rPr>
                <w:b/>
                <w:bCs/>
                <w:color w:val="FFFFFF"/>
                <w:sz w:val="20"/>
                <w:szCs w:val="20"/>
              </w:rPr>
              <w:t xml:space="preserve">Ratio</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FY2023</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FY2024</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FY2025</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Gross Margin %</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44.1%</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46.2%</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46.9%</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Operating Margin %</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29.8%</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31.5%</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32.0%</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Net Profit Margin %</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25.3%</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24.0%</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26.9%</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Return on Assets (ROA)</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27.5%</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26.1%</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30.9%</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Return on Equity (ROE)</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171.9%</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157.4%</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171.4%</w:t>
            </w:r>
          </w:p>
        </w:tc>
      </w:tr>
    </w:tbl>
    <w:p>
      <w:pPr>
        <w:spacing w:after="200"/>
      </w:pPr>
      <w:r>
        <w:rPr>
          <w:i/>
          <w:iCs/>
          <w:color w:val="666666"/>
          <w:sz w:val="20"/>
          <w:szCs w:val="20"/>
        </w:rPr>
        <w:t xml:space="preserve">Return on Assets and Return on Equity in this report are calculated using average balances, meaning the average of the opening and closing balance for each year, rather than the closing balance alone. This is considered more accurate because net income is earned over the course of the entire year, not only at the year end.</w:t>
      </w:r>
    </w:p>
    <w:p>
      <w:pPr>
        <w:spacing w:after="160" w:line="300"/>
        <w:jc w:val="both"/>
      </w:pPr>
      <w:r>
        <w:rPr>
          <w:sz w:val="22"/>
          <w:szCs w:val="22"/>
        </w:rPr>
        <w:t xml:space="preserve">Return on Equity, calculated as Net Income divided by Average Shareholders' Equity, is exceptionally high, remaining above 150 percent throughout the period. Under normal circumstances a figure this high would suggest a highly efficient use of shareholder capital. In Apple's case, the more accurate explanation is the small size of the equity base itself, a direct consequence of the share buyback program described in Section 3.2 and 3.3. A company that returns most of its profit to shareholders rather than retaining it as equity will mechanically show an inflated Return on Equity, because the denominator of the ratio is kept artificially small. This is a financing decision rather than a pure signal of operating efficiency, and it is an important distinction for any reader of this report to keep in mind.</w:t>
      </w:r>
    </w:p>
    <w:p>
      <w:pPr>
        <w:pStyle w:val="Heading2"/>
        <w:spacing w:after="150" w:before="300"/>
      </w:pPr>
      <w:r>
        <w:rPr>
          <w:b/>
          <w:bCs/>
          <w:color w:val="1F4E78"/>
          <w:sz w:val="25"/>
          <w:szCs w:val="25"/>
        </w:rPr>
        <w:t xml:space="preserve">4.3 Leverage and Solvency Ratios</w:t>
      </w:r>
    </w:p>
    <w:p>
      <w:pPr>
        <w:spacing w:after="160" w:line="300"/>
        <w:jc w:val="both"/>
      </w:pPr>
      <w:r>
        <w:rPr>
          <w:sz w:val="22"/>
          <w:szCs w:val="22"/>
        </w:rPr>
        <w:t xml:space="preserve">These ratios assess how much a company relies on debt to fund itself, and its capacity to meet long-term obligations.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tblGrid>
      <w:tr>
        <w:trPr>
          <w:tblHeader/>
        </w:trPr>
        <w:tc>
          <w:tcPr>
            <w:tcW w:type="dxa" w:w="3400"/>
            <w:shd w:fill="1F4E78" w:val="clear"/>
            <w:tcMar>
              <w:top w:type="dxa" w:w="80"/>
              <w:left w:type="dxa" w:w="100"/>
              <w:bottom w:type="dxa" w:w="80"/>
              <w:right w:type="dxa" w:w="100"/>
            </w:tcMar>
            <w:vAlign w:val="center"/>
          </w:tcPr>
          <w:p>
            <w:pPr>
              <w:jc w:val="left"/>
            </w:pPr>
            <w:r>
              <w:rPr>
                <w:b/>
                <w:bCs/>
                <w:color w:val="FFFFFF"/>
                <w:sz w:val="20"/>
                <w:szCs w:val="20"/>
              </w:rPr>
              <w:t xml:space="preserve">Ratio</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FY2023</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FY2024</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FY2025</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Debt-to-Equity Ratio</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4.67x</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5.41x</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3.87x</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Interest Coverage Ratio</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29.06x</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n/a</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n/a</w:t>
            </w:r>
          </w:p>
        </w:tc>
      </w:tr>
    </w:tbl>
    <w:p>
      <w:pPr>
        <w:spacing w:after="200"/>
      </w:pPr>
      <w:r>
        <w:rPr>
          <w:i/>
          <w:iCs/>
          <w:color w:val="666666"/>
          <w:sz w:val="20"/>
          <w:szCs w:val="20"/>
        </w:rPr>
        <w:t xml:space="preserve">Apple stopped separately disclosing its total annual interest expense in the notes to its financial statements from FY2024 onward, so the Interest Coverage Ratio, which requires this figure, could only be calculated reliably for FY2023 using the company's own reported number. This is a data availability limitation, not an error in the analysis, and is disclosed here for transparency rather than estimated with an unverified figure.</w:t>
      </w:r>
    </w:p>
    <w:p>
      <w:pPr>
        <w:spacing w:after="160" w:line="300"/>
        <w:jc w:val="both"/>
      </w:pPr>
      <w:r>
        <w:rPr>
          <w:sz w:val="22"/>
          <w:szCs w:val="22"/>
        </w:rPr>
        <w:t xml:space="preserve">The Debt-to-Equity Ratio, calculated as Total Liabilities divided by Total Shareholders' Equity, appears high, again because of the small equity base discussed above rather than because Apple carries an unusually large amount of debt in absolute terms; in fact, Total Liabilities declined from 308,030 million dollars in FY2024 to 285,508 million dollars in FY2025. The Interest Coverage Ratio of 29.06 times in FY2023, calculated as Operating Income divided by Interest Expense, shows that operating profit covered interest obligations by a wide margin, indicating minimal risk of default on interest payments even though the Debt-to-Equity ratio looks elevated on paper.</w:t>
      </w:r>
    </w:p>
    <w:p>
      <w:pPr>
        <w:pStyle w:val="Heading2"/>
        <w:spacing w:after="150" w:before="300"/>
      </w:pPr>
      <w:r>
        <w:rPr>
          <w:b/>
          <w:bCs/>
          <w:color w:val="1F4E78"/>
          <w:sz w:val="25"/>
          <w:szCs w:val="25"/>
        </w:rPr>
        <w:t xml:space="preserve">4.4 Efficiency Ratios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2700"/>
      </w:tblGrid>
      <w:tr>
        <w:trPr>
          <w:tblHeader/>
        </w:trPr>
        <w:tc>
          <w:tcPr>
            <w:tcW w:type="dxa" w:w="3400"/>
            <w:shd w:fill="1F4E78" w:val="clear"/>
            <w:tcMar>
              <w:top w:type="dxa" w:w="80"/>
              <w:left w:type="dxa" w:w="100"/>
              <w:bottom w:type="dxa" w:w="80"/>
              <w:right w:type="dxa" w:w="100"/>
            </w:tcMar>
            <w:vAlign w:val="center"/>
          </w:tcPr>
          <w:p>
            <w:pPr>
              <w:jc w:val="left"/>
            </w:pPr>
            <w:r>
              <w:rPr>
                <w:b/>
                <w:bCs/>
                <w:color w:val="FFFFFF"/>
                <w:sz w:val="20"/>
                <w:szCs w:val="20"/>
              </w:rPr>
              <w:t xml:space="preserve">Ratio</w:t>
            </w:r>
          </w:p>
        </w:tc>
        <w:tc>
          <w:tcPr>
            <w:tcW w:type="dxa" w:w="2700"/>
            <w:shd w:fill="1F4E78" w:val="clear"/>
            <w:tcMar>
              <w:top w:type="dxa" w:w="80"/>
              <w:left w:type="dxa" w:w="100"/>
              <w:bottom w:type="dxa" w:w="80"/>
              <w:right w:type="dxa" w:w="100"/>
            </w:tcMar>
            <w:vAlign w:val="center"/>
          </w:tcPr>
          <w:p>
            <w:pPr>
              <w:jc w:val="center"/>
            </w:pPr>
            <w:r>
              <w:rPr>
                <w:b/>
                <w:bCs/>
                <w:color w:val="FFFFFF"/>
                <w:sz w:val="20"/>
                <w:szCs w:val="20"/>
              </w:rPr>
              <w:t xml:space="preserve">FY2024</w:t>
            </w:r>
          </w:p>
        </w:tc>
        <w:tc>
          <w:tcPr>
            <w:tcW w:type="dxa" w:w="2700"/>
            <w:shd w:fill="1F4E78" w:val="clear"/>
            <w:tcMar>
              <w:top w:type="dxa" w:w="80"/>
              <w:left w:type="dxa" w:w="100"/>
              <w:bottom w:type="dxa" w:w="80"/>
              <w:right w:type="dxa" w:w="100"/>
            </w:tcMar>
            <w:vAlign w:val="center"/>
          </w:tcPr>
          <w:p>
            <w:pPr>
              <w:jc w:val="center"/>
            </w:pPr>
            <w:r>
              <w:rPr>
                <w:b/>
                <w:bCs/>
                <w:color w:val="FFFFFF"/>
                <w:sz w:val="20"/>
                <w:szCs w:val="20"/>
              </w:rPr>
              <w:t xml:space="preserve">FY2025</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Inventory Turnover</w:t>
            </w:r>
          </w:p>
        </w:tc>
        <w:tc>
          <w:tcPr>
            <w:tcW w:type="dxa" w:w="2700"/>
            <w:tcMar>
              <w:top w:type="dxa" w:w="80"/>
              <w:left w:type="dxa" w:w="100"/>
              <w:bottom w:type="dxa" w:w="80"/>
              <w:right w:type="dxa" w:w="100"/>
            </w:tcMar>
            <w:vAlign w:val="center"/>
          </w:tcPr>
          <w:p>
            <w:pPr>
              <w:jc w:val="right"/>
            </w:pPr>
            <w:r>
              <w:rPr>
                <w:b w:val="false"/>
                <w:bCs w:val="false"/>
                <w:color w:val="000000"/>
                <w:sz w:val="20"/>
                <w:szCs w:val="20"/>
              </w:rPr>
              <w:t xml:space="preserve">27.21x</w:t>
            </w:r>
          </w:p>
        </w:tc>
        <w:tc>
          <w:tcPr>
            <w:tcW w:type="dxa" w:w="2700"/>
            <w:tcMar>
              <w:top w:type="dxa" w:w="80"/>
              <w:left w:type="dxa" w:w="100"/>
              <w:bottom w:type="dxa" w:w="80"/>
              <w:right w:type="dxa" w:w="100"/>
            </w:tcMar>
            <w:vAlign w:val="center"/>
          </w:tcPr>
          <w:p>
            <w:pPr>
              <w:jc w:val="right"/>
            </w:pPr>
            <w:r>
              <w:rPr>
                <w:b w:val="false"/>
                <w:bCs w:val="false"/>
                <w:color w:val="000000"/>
                <w:sz w:val="20"/>
                <w:szCs w:val="20"/>
              </w:rPr>
              <w:t xml:space="preserve">29.85x</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Receivables Turnover</w:t>
            </w:r>
          </w:p>
        </w:tc>
        <w:tc>
          <w:tcPr>
            <w:tcW w:type="dxa" w:w="27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12.43x</w:t>
            </w:r>
          </w:p>
        </w:tc>
        <w:tc>
          <w:tcPr>
            <w:tcW w:type="dxa" w:w="27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11.37x</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Days Sales Outstanding (DSO)</w:t>
            </w:r>
          </w:p>
        </w:tc>
        <w:tc>
          <w:tcPr>
            <w:tcW w:type="dxa" w:w="2700"/>
            <w:tcMar>
              <w:top w:type="dxa" w:w="80"/>
              <w:left w:type="dxa" w:w="100"/>
              <w:bottom w:type="dxa" w:w="80"/>
              <w:right w:type="dxa" w:w="100"/>
            </w:tcMar>
            <w:vAlign w:val="center"/>
          </w:tcPr>
          <w:p>
            <w:pPr>
              <w:jc w:val="right"/>
            </w:pPr>
            <w:r>
              <w:rPr>
                <w:b w:val="false"/>
                <w:bCs w:val="false"/>
                <w:color w:val="000000"/>
                <w:sz w:val="20"/>
                <w:szCs w:val="20"/>
              </w:rPr>
              <w:t xml:space="preserve">29.4 days</w:t>
            </w:r>
          </w:p>
        </w:tc>
        <w:tc>
          <w:tcPr>
            <w:tcW w:type="dxa" w:w="2700"/>
            <w:tcMar>
              <w:top w:type="dxa" w:w="80"/>
              <w:left w:type="dxa" w:w="100"/>
              <w:bottom w:type="dxa" w:w="80"/>
              <w:right w:type="dxa" w:w="100"/>
            </w:tcMar>
            <w:vAlign w:val="center"/>
          </w:tcPr>
          <w:p>
            <w:pPr>
              <w:jc w:val="right"/>
            </w:pPr>
            <w:r>
              <w:rPr>
                <w:b w:val="false"/>
                <w:bCs w:val="false"/>
                <w:color w:val="000000"/>
                <w:sz w:val="20"/>
                <w:szCs w:val="20"/>
              </w:rPr>
              <w:t xml:space="preserve">32.1 days</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Payables Turnover</w:t>
            </w:r>
          </w:p>
        </w:tc>
        <w:tc>
          <w:tcPr>
            <w:tcW w:type="dxa" w:w="27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3.20x</w:t>
            </w:r>
          </w:p>
        </w:tc>
        <w:tc>
          <w:tcPr>
            <w:tcW w:type="dxa" w:w="27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3.18x</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Days Payable Outstanding (DPO)</w:t>
            </w:r>
          </w:p>
        </w:tc>
        <w:tc>
          <w:tcPr>
            <w:tcW w:type="dxa" w:w="2700"/>
            <w:tcMar>
              <w:top w:type="dxa" w:w="80"/>
              <w:left w:type="dxa" w:w="100"/>
              <w:bottom w:type="dxa" w:w="80"/>
              <w:right w:type="dxa" w:w="100"/>
            </w:tcMar>
            <w:vAlign w:val="center"/>
          </w:tcPr>
          <w:p>
            <w:pPr>
              <w:jc w:val="right"/>
            </w:pPr>
            <w:r>
              <w:rPr>
                <w:b w:val="false"/>
                <w:bCs w:val="false"/>
                <w:color w:val="000000"/>
                <w:sz w:val="20"/>
                <w:szCs w:val="20"/>
              </w:rPr>
              <w:t xml:space="preserve">114.2 days</w:t>
            </w:r>
          </w:p>
        </w:tc>
        <w:tc>
          <w:tcPr>
            <w:tcW w:type="dxa" w:w="2700"/>
            <w:tcMar>
              <w:top w:type="dxa" w:w="80"/>
              <w:left w:type="dxa" w:w="100"/>
              <w:bottom w:type="dxa" w:w="80"/>
              <w:right w:type="dxa" w:w="100"/>
            </w:tcMar>
            <w:vAlign w:val="center"/>
          </w:tcPr>
          <w:p>
            <w:pPr>
              <w:jc w:val="right"/>
            </w:pPr>
            <w:r>
              <w:rPr>
                <w:b w:val="false"/>
                <w:bCs w:val="false"/>
                <w:color w:val="000000"/>
                <w:sz w:val="20"/>
                <w:szCs w:val="20"/>
              </w:rPr>
              <w:t xml:space="preserve">114.7 days</w:t>
            </w:r>
          </w:p>
        </w:tc>
      </w:tr>
    </w:tbl>
    <w:p>
      <w:pPr>
        <w:spacing w:after="200"/>
      </w:pPr>
      <w:r>
        <w:rPr>
          <w:i/>
          <w:iCs/>
          <w:color w:val="666666"/>
          <w:sz w:val="20"/>
          <w:szCs w:val="20"/>
        </w:rPr>
        <w:t xml:space="preserve">Turnover ratios for FY2023 could not be calculated because they require an average balance based on the prior year, FY2022, which fell outside the scope of the underlying data set for this project.</w:t>
      </w:r>
    </w:p>
    <w:p>
      <w:pPr>
        <w:spacing w:after="160" w:line="300"/>
        <w:jc w:val="both"/>
      </w:pPr>
      <w:r>
        <w:rPr>
          <w:sz w:val="22"/>
          <w:szCs w:val="22"/>
        </w:rPr>
        <w:t xml:space="preserve">The most significant finding in this section is the large gap between Days Sales Outstanding, the average number of days it takes to collect payment from customers, at roughly 30 days, and Days Payable Outstanding, the average number of days the company takes to pay its own suppliers, at roughly 114 days. This gap of around 84 days means Apple is effectively financing part of its operations using supplier credit rather than its own working capital, a pattern known as a negative cash conversion cycle. This is the direct explanation for the negative working capital observed on the balance sheet in Section 3.2, and it represents a genuine source of financial strength and supplier negotiating power rather than a weakness.</w:t>
      </w:r>
    </w:p>
    <w:p>
      <w:pPr>
        <w:pStyle w:val="Heading1"/>
        <w:spacing w:after="200" w:before="400"/>
      </w:pPr>
      <w:r>
        <w:rPr>
          <w:b/>
          <w:bCs/>
          <w:color w:val="1F4E78"/>
          <w:sz w:val="30"/>
          <w:szCs w:val="30"/>
        </w:rPr>
        <w:t xml:space="preserve">5. Valuation</w:t>
      </w:r>
    </w:p>
    <w:p>
      <w:pPr>
        <w:spacing w:after="160" w:line="300"/>
        <w:jc w:val="both"/>
      </w:pPr>
      <w:r>
        <w:rPr>
          <w:sz w:val="22"/>
          <w:szCs w:val="22"/>
        </w:rPr>
        <w:t xml:space="preserve">This section addresses a different question from the historical analysis above. Rather than asking how Apple has performed, it asks what the company is actually worth, using two standard and complementary methods: Comparable Company Analysis, which infers value from how the market prices similar businesses, and Discounted Cash Flow analysis, which estimates value directly from the company's own projected future cash generation.</w:t>
      </w:r>
    </w:p>
    <w:p>
      <w:pPr>
        <w:pStyle w:val="Heading2"/>
        <w:spacing w:after="150" w:before="300"/>
      </w:pPr>
      <w:r>
        <w:rPr>
          <w:b/>
          <w:bCs/>
          <w:color w:val="1F4E78"/>
          <w:sz w:val="25"/>
          <w:szCs w:val="25"/>
        </w:rPr>
        <w:t xml:space="preserve">5.1 Comparable Company Analysis</w:t>
      </w:r>
    </w:p>
    <w:p>
      <w:pPr>
        <w:spacing w:after="160" w:line="300"/>
        <w:jc w:val="both"/>
      </w:pPr>
      <w:r>
        <w:rPr>
          <w:sz w:val="22"/>
          <w:szCs w:val="22"/>
        </w:rPr>
        <w:t xml:space="preserve">This method compares Apple's valuation multiples to those of similar publicly traded companies, in this case Microsoft and Alphabet, both large technology companies combining hardware or platform revenue with high-margin services. All figures below reflect market data as of early September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tblHeader/>
        </w:trPr>
        <w:tc>
          <w:tcPr>
            <w:tcW w:type="dxa" w:w="3400"/>
            <w:shd w:fill="1F4E78" w:val="clear"/>
            <w:tcMar>
              <w:top w:type="dxa" w:w="80"/>
              <w:left w:type="dxa" w:w="100"/>
              <w:bottom w:type="dxa" w:w="80"/>
              <w:right w:type="dxa" w:w="100"/>
            </w:tcMar>
            <w:vAlign w:val="center"/>
          </w:tcPr>
          <w:p>
            <w:pPr>
              <w:jc w:val="left"/>
            </w:pPr>
            <w:r>
              <w:rPr>
                <w:b/>
                <w:bCs/>
                <w:color w:val="FFFFFF"/>
                <w:sz w:val="20"/>
                <w:szCs w:val="20"/>
              </w:rPr>
              <w:t xml:space="preserve">Company</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Trailing P/E</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EV/EBITDA</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Apple (AAPL)</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36.71x</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27.43x</w:t>
            </w:r>
          </w:p>
        </w:tc>
      </w:tr>
      <w:tr>
        <w:tc>
          <w:tcPr>
            <w:tcW w:type="dxa" w:w="3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Microsoft (MSFT)</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27.39x</w:t>
            </w:r>
          </w:p>
        </w:tc>
        <w:tc>
          <w:tcPr>
            <w:tcW w:type="dxa" w:w="18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19.07x</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Alphabet (GOOGL)</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17.39x</w:t>
            </w:r>
          </w:p>
        </w:tc>
        <w:tc>
          <w:tcPr>
            <w:tcW w:type="dxa" w:w="1800"/>
            <w:tcMar>
              <w:top w:type="dxa" w:w="80"/>
              <w:left w:type="dxa" w:w="100"/>
              <w:bottom w:type="dxa" w:w="80"/>
              <w:right w:type="dxa" w:w="100"/>
            </w:tcMar>
            <w:vAlign w:val="center"/>
          </w:tcPr>
          <w:p>
            <w:pPr>
              <w:jc w:val="right"/>
            </w:pPr>
            <w:r>
              <w:rPr>
                <w:b w:val="false"/>
                <w:bCs w:val="false"/>
                <w:color w:val="000000"/>
                <w:sz w:val="20"/>
                <w:szCs w:val="20"/>
              </w:rPr>
              <w:t xml:space="preserve">23.78x</w:t>
            </w:r>
          </w:p>
        </w:tc>
      </w:tr>
      <w:tr>
        <w:tc>
          <w:tcPr>
            <w:tcW w:type="dxa" w:w="3400"/>
            <w:shd w:fill="F2F2F2" w:val="clear"/>
            <w:tcMar>
              <w:top w:type="dxa" w:w="80"/>
              <w:left w:type="dxa" w:w="100"/>
              <w:bottom w:type="dxa" w:w="80"/>
              <w:right w:type="dxa" w:w="100"/>
            </w:tcMar>
            <w:vAlign w:val="center"/>
          </w:tcPr>
          <w:p>
            <w:pPr>
              <w:jc w:val="left"/>
            </w:pPr>
            <w:r>
              <w:rPr>
                <w:b/>
                <w:bCs/>
                <w:color w:val="000000"/>
                <w:sz w:val="20"/>
                <w:szCs w:val="20"/>
              </w:rPr>
              <w:t xml:space="preserve">Peer Average (excluding Apple)</w:t>
            </w:r>
          </w:p>
        </w:tc>
        <w:tc>
          <w:tcPr>
            <w:tcW w:type="dxa" w:w="1800"/>
            <w:shd w:fill="F2F2F2" w:val="clear"/>
            <w:tcMar>
              <w:top w:type="dxa" w:w="80"/>
              <w:left w:type="dxa" w:w="100"/>
              <w:bottom w:type="dxa" w:w="80"/>
              <w:right w:type="dxa" w:w="100"/>
            </w:tcMar>
            <w:vAlign w:val="center"/>
          </w:tcPr>
          <w:p>
            <w:pPr>
              <w:jc w:val="right"/>
            </w:pPr>
            <w:r>
              <w:rPr>
                <w:b/>
                <w:bCs/>
                <w:color w:val="000000"/>
                <w:sz w:val="20"/>
                <w:szCs w:val="20"/>
              </w:rPr>
              <w:t xml:space="preserve">22.39x</w:t>
            </w:r>
          </w:p>
        </w:tc>
        <w:tc>
          <w:tcPr>
            <w:tcW w:type="dxa" w:w="1800"/>
            <w:shd w:fill="F2F2F2" w:val="clear"/>
            <w:tcMar>
              <w:top w:type="dxa" w:w="80"/>
              <w:left w:type="dxa" w:w="100"/>
              <w:bottom w:type="dxa" w:w="80"/>
              <w:right w:type="dxa" w:w="100"/>
            </w:tcMar>
            <w:vAlign w:val="center"/>
          </w:tcPr>
          <w:p>
            <w:pPr>
              <w:jc w:val="right"/>
            </w:pPr>
            <w:r>
              <w:rPr>
                <w:b/>
                <w:bCs/>
                <w:color w:val="000000"/>
                <w:sz w:val="20"/>
                <w:szCs w:val="20"/>
              </w:rPr>
              <w:t xml:space="preserve">21.43x</w:t>
            </w:r>
          </w:p>
        </w:tc>
      </w:tr>
    </w:tbl>
    <w:p>
      <w:pPr>
        <w:spacing w:after="200"/>
      </w:pPr>
      <w:r>
        <w:rPr>
          <w:i/>
          <w:iCs/>
          <w:color w:val="666666"/>
          <w:sz w:val="20"/>
          <w:szCs w:val="20"/>
        </w:rPr>
        <w:t xml:space="preserve">P/E, or Price-to-Earnings ratio, is the share price divided by earnings per share, and shows how much investors are paying for each dollar of annual profit. EV/EBITDA compares Enterprise Value, the theoretical cost of buying the entire company including its debt, to EBITDA, Earnings Before Interest, Taxes, Depreciation and Amortization, a proxy for operating cash generation before non-cash and financing effects.</w:t>
      </w:r>
    </w:p>
    <w:p>
      <w:pPr>
        <w:spacing w:after="160" w:line="300"/>
        <w:jc w:val="both"/>
      </w:pPr>
      <w:r>
        <w:rPr>
          <w:sz w:val="22"/>
          <w:szCs w:val="22"/>
        </w:rPr>
        <w:t xml:space="preserve">Applying the peer average P/E multiple of 22.39 times to Apple's own trailing earnings per share of 8.72 dollars produces an implied share price of 195.24 dollars, well below Apple's actual trading price of 319.97 dollars at the time of writing. Applying the peer average EV/EBITDA multiple of 21.43 times to Apple's trailing EBITDA of 169,006 million dollars produces an implied enterprise value of approximately 3,620,954 million dollars, again below Apple's actual enterprise value of approximately 4,767,019 million dollars. Both methods point in the same direction: Apple trades at a clear premium to its closest peers. This premium likely reflects factors the simple multiples do not directly capture, including Apple's brand strength, the stickiness of its integrated hardware and services ecosystem, and the exceptional consistency of its cash generation.</w:t>
      </w:r>
    </w:p>
    <w:p>
      <w:pPr>
        <w:pStyle w:val="Heading2"/>
        <w:spacing w:after="150" w:before="300"/>
      </w:pPr>
      <w:r>
        <w:rPr>
          <w:b/>
          <w:bCs/>
          <w:color w:val="1F4E78"/>
          <w:sz w:val="25"/>
          <w:szCs w:val="25"/>
        </w:rPr>
        <w:t xml:space="preserve">5.2 Discounted Cash Flow Analysis</w:t>
      </w:r>
    </w:p>
    <w:p>
      <w:pPr>
        <w:spacing w:after="160" w:line="300"/>
        <w:jc w:val="both"/>
      </w:pPr>
      <w:r>
        <w:rPr>
          <w:sz w:val="22"/>
          <w:szCs w:val="22"/>
        </w:rPr>
        <w:t xml:space="preserve">The Discounted Cash Flow, or DCF, method estimates the value of a business as the sum of all the cash it is expected to generate in the future, converted into today's money. This conversion is necessary because of the time value of money: a dollar received five years from now is worth less than a dollar received today, since today's dollar could be invested and earn a return in the meantime.</w:t>
      </w:r>
    </w:p>
    <w:p>
      <w:pPr>
        <w:spacing w:after="160" w:line="300"/>
        <w:jc w:val="both"/>
      </w:pPr>
      <w:r>
        <w:rPr>
          <w:sz w:val="22"/>
          <w:szCs w:val="22"/>
        </w:rPr>
        <w:t xml:space="preserve">The building block of the model is Unlevered Free Cash Flow, the cash generated by the business before any effect of how it is financed, calculated as after-tax Operating Income, plus Depreciation and Amortization, a non-cash expense that is added back, less Capital Expenditures, the cash actually spent on long-term assets, less the change in Net Working Capital, the cash tied up in day-to-day operations.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600"/>
      </w:tblGrid>
      <w:tr>
        <w:trPr>
          <w:tblHeader/>
        </w:trPr>
        <w:tc>
          <w:tcPr>
            <w:tcW w:type="dxa" w:w="4000"/>
            <w:shd w:fill="1F4E78" w:val="clear"/>
            <w:tcMar>
              <w:top w:type="dxa" w:w="80"/>
              <w:left w:type="dxa" w:w="100"/>
              <w:bottom w:type="dxa" w:w="80"/>
              <w:right w:type="dxa" w:w="100"/>
            </w:tcMar>
            <w:vAlign w:val="center"/>
          </w:tcPr>
          <w:p>
            <w:pPr>
              <w:jc w:val="left"/>
            </w:pPr>
            <w:r>
              <w:rPr>
                <w:b/>
                <w:bCs/>
                <w:color w:val="FFFFFF"/>
                <w:sz w:val="20"/>
                <w:szCs w:val="20"/>
              </w:rPr>
              <w:t xml:space="preserve">Item ($ millions)</w:t>
            </w:r>
          </w:p>
        </w:tc>
        <w:tc>
          <w:tcPr>
            <w:tcW w:type="dxa" w:w="2600"/>
            <w:shd w:fill="1F4E78" w:val="clear"/>
            <w:tcMar>
              <w:top w:type="dxa" w:w="80"/>
              <w:left w:type="dxa" w:w="100"/>
              <w:bottom w:type="dxa" w:w="80"/>
              <w:right w:type="dxa" w:w="100"/>
            </w:tcMar>
            <w:vAlign w:val="center"/>
          </w:tcPr>
          <w:p>
            <w:pPr>
              <w:jc w:val="center"/>
            </w:pPr>
            <w:r>
              <w:rPr>
                <w:b/>
                <w:bCs/>
                <w:color w:val="FFFFFF"/>
                <w:sz w:val="20"/>
                <w:szCs w:val="20"/>
              </w:rPr>
              <w:t xml:space="preserve">FY2024</w:t>
            </w:r>
          </w:p>
        </w:tc>
        <w:tc>
          <w:tcPr>
            <w:tcW w:type="dxa" w:w="2600"/>
            <w:shd w:fill="1F4E78" w:val="clear"/>
            <w:tcMar>
              <w:top w:type="dxa" w:w="80"/>
              <w:left w:type="dxa" w:w="100"/>
              <w:bottom w:type="dxa" w:w="80"/>
              <w:right w:type="dxa" w:w="100"/>
            </w:tcMar>
            <w:vAlign w:val="center"/>
          </w:tcPr>
          <w:p>
            <w:pPr>
              <w:jc w:val="center"/>
            </w:pPr>
            <w:r>
              <w:rPr>
                <w:b/>
                <w:bCs/>
                <w:color w:val="FFFFFF"/>
                <w:sz w:val="20"/>
                <w:szCs w:val="20"/>
              </w:rPr>
              <w:t xml:space="preserve">FY2025</w:t>
            </w:r>
          </w:p>
        </w:tc>
      </w:tr>
      <w:tr>
        <w:tc>
          <w:tcPr>
            <w:tcW w:type="dxa" w:w="4000"/>
            <w:tcMar>
              <w:top w:type="dxa" w:w="80"/>
              <w:left w:type="dxa" w:w="100"/>
              <w:bottom w:type="dxa" w:w="80"/>
              <w:right w:type="dxa" w:w="100"/>
            </w:tcMar>
            <w:vAlign w:val="center"/>
          </w:tcPr>
          <w:p>
            <w:pPr>
              <w:jc w:val="left"/>
            </w:pPr>
            <w:r>
              <w:rPr>
                <w:b w:val="false"/>
                <w:bCs w:val="false"/>
                <w:color w:val="000000"/>
                <w:sz w:val="20"/>
                <w:szCs w:val="20"/>
              </w:rPr>
              <w:t xml:space="preserve">Operating Income (EBIT)</w:t>
            </w:r>
          </w:p>
        </w:tc>
        <w:tc>
          <w:tcPr>
            <w:tcW w:type="dxa" w:w="2600"/>
            <w:tcMar>
              <w:top w:type="dxa" w:w="80"/>
              <w:left w:type="dxa" w:w="100"/>
              <w:bottom w:type="dxa" w:w="80"/>
              <w:right w:type="dxa" w:w="100"/>
            </w:tcMar>
            <w:vAlign w:val="center"/>
          </w:tcPr>
          <w:p>
            <w:pPr>
              <w:jc w:val="right"/>
            </w:pPr>
            <w:r>
              <w:rPr>
                <w:b w:val="false"/>
                <w:bCs w:val="false"/>
                <w:color w:val="000000"/>
                <w:sz w:val="20"/>
                <w:szCs w:val="20"/>
              </w:rPr>
              <w:t xml:space="preserve">123,216</w:t>
            </w:r>
          </w:p>
        </w:tc>
        <w:tc>
          <w:tcPr>
            <w:tcW w:type="dxa" w:w="2600"/>
            <w:tcMar>
              <w:top w:type="dxa" w:w="80"/>
              <w:left w:type="dxa" w:w="100"/>
              <w:bottom w:type="dxa" w:w="80"/>
              <w:right w:type="dxa" w:w="100"/>
            </w:tcMar>
            <w:vAlign w:val="center"/>
          </w:tcPr>
          <w:p>
            <w:pPr>
              <w:jc w:val="right"/>
            </w:pPr>
            <w:r>
              <w:rPr>
                <w:b w:val="false"/>
                <w:bCs w:val="false"/>
                <w:color w:val="000000"/>
                <w:sz w:val="20"/>
                <w:szCs w:val="20"/>
              </w:rPr>
              <w:t xml:space="preserve">133,050</w:t>
            </w:r>
          </w:p>
        </w:tc>
      </w:tr>
      <w:tr>
        <w:tc>
          <w:tcPr>
            <w:tcW w:type="dxa" w:w="40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NOPAT (After-Tax Operating Profit)</w:t>
            </w:r>
          </w:p>
        </w:tc>
        <w:tc>
          <w:tcPr>
            <w:tcW w:type="dxa" w:w="26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93,532</w:t>
            </w:r>
          </w:p>
        </w:tc>
        <w:tc>
          <w:tcPr>
            <w:tcW w:type="dxa" w:w="26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112,281</w:t>
            </w:r>
          </w:p>
        </w:tc>
      </w:tr>
      <w:tr>
        <w:tc>
          <w:tcPr>
            <w:tcW w:type="dxa" w:w="4000"/>
            <w:tcMar>
              <w:top w:type="dxa" w:w="80"/>
              <w:left w:type="dxa" w:w="100"/>
              <w:bottom w:type="dxa" w:w="80"/>
              <w:right w:type="dxa" w:w="100"/>
            </w:tcMar>
            <w:vAlign w:val="center"/>
          </w:tcPr>
          <w:p>
            <w:pPr>
              <w:jc w:val="left"/>
            </w:pPr>
            <w:r>
              <w:rPr>
                <w:b w:val="false"/>
                <w:bCs w:val="false"/>
                <w:color w:val="000000"/>
                <w:sz w:val="20"/>
                <w:szCs w:val="20"/>
              </w:rPr>
              <w:t xml:space="preserve">Add: Depreciation and Amortization</w:t>
            </w:r>
          </w:p>
        </w:tc>
        <w:tc>
          <w:tcPr>
            <w:tcW w:type="dxa" w:w="2600"/>
            <w:tcMar>
              <w:top w:type="dxa" w:w="80"/>
              <w:left w:type="dxa" w:w="100"/>
              <w:bottom w:type="dxa" w:w="80"/>
              <w:right w:type="dxa" w:w="100"/>
            </w:tcMar>
            <w:vAlign w:val="center"/>
          </w:tcPr>
          <w:p>
            <w:pPr>
              <w:jc w:val="right"/>
            </w:pPr>
            <w:r>
              <w:rPr>
                <w:b w:val="false"/>
                <w:bCs w:val="false"/>
                <w:color w:val="000000"/>
                <w:sz w:val="20"/>
                <w:szCs w:val="20"/>
              </w:rPr>
              <w:t xml:space="preserve">11,445</w:t>
            </w:r>
          </w:p>
        </w:tc>
        <w:tc>
          <w:tcPr>
            <w:tcW w:type="dxa" w:w="2600"/>
            <w:tcMar>
              <w:top w:type="dxa" w:w="80"/>
              <w:left w:type="dxa" w:w="100"/>
              <w:bottom w:type="dxa" w:w="80"/>
              <w:right w:type="dxa" w:w="100"/>
            </w:tcMar>
            <w:vAlign w:val="center"/>
          </w:tcPr>
          <w:p>
            <w:pPr>
              <w:jc w:val="right"/>
            </w:pPr>
            <w:r>
              <w:rPr>
                <w:b w:val="false"/>
                <w:bCs w:val="false"/>
                <w:color w:val="000000"/>
                <w:sz w:val="20"/>
                <w:szCs w:val="20"/>
              </w:rPr>
              <w:t xml:space="preserve">11,698</w:t>
            </w:r>
          </w:p>
        </w:tc>
      </w:tr>
      <w:tr>
        <w:tc>
          <w:tcPr>
            <w:tcW w:type="dxa" w:w="40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Less: Capital Expenditures</w:t>
            </w:r>
          </w:p>
        </w:tc>
        <w:tc>
          <w:tcPr>
            <w:tcW w:type="dxa" w:w="26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(9,447)</w:t>
            </w:r>
          </w:p>
        </w:tc>
        <w:tc>
          <w:tcPr>
            <w:tcW w:type="dxa" w:w="26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(12,715)</w:t>
            </w:r>
          </w:p>
        </w:tc>
      </w:tr>
      <w:tr>
        <w:tc>
          <w:tcPr>
            <w:tcW w:type="dxa" w:w="4000"/>
            <w:tcMar>
              <w:top w:type="dxa" w:w="80"/>
              <w:left w:type="dxa" w:w="100"/>
              <w:bottom w:type="dxa" w:w="80"/>
              <w:right w:type="dxa" w:w="100"/>
            </w:tcMar>
            <w:vAlign w:val="center"/>
          </w:tcPr>
          <w:p>
            <w:pPr>
              <w:jc w:val="left"/>
            </w:pPr>
            <w:r>
              <w:rPr>
                <w:b w:val="false"/>
                <w:bCs w:val="false"/>
                <w:color w:val="000000"/>
                <w:sz w:val="20"/>
                <w:szCs w:val="20"/>
              </w:rPr>
              <w:t xml:space="preserve">Net Working Capital Impact</w:t>
            </w:r>
          </w:p>
        </w:tc>
        <w:tc>
          <w:tcPr>
            <w:tcW w:type="dxa" w:w="2600"/>
            <w:tcMar>
              <w:top w:type="dxa" w:w="80"/>
              <w:left w:type="dxa" w:w="100"/>
              <w:bottom w:type="dxa" w:w="80"/>
              <w:right w:type="dxa" w:w="100"/>
            </w:tcMar>
            <w:vAlign w:val="center"/>
          </w:tcPr>
          <w:p>
            <w:pPr>
              <w:jc w:val="right"/>
            </w:pPr>
            <w:r>
              <w:rPr>
                <w:b w:val="false"/>
                <w:bCs w:val="false"/>
                <w:color w:val="000000"/>
                <w:sz w:val="20"/>
                <w:szCs w:val="20"/>
              </w:rPr>
              <w:t xml:space="preserve">(7,444)</w:t>
            </w:r>
          </w:p>
        </w:tc>
        <w:tc>
          <w:tcPr>
            <w:tcW w:type="dxa" w:w="2600"/>
            <w:tcMar>
              <w:top w:type="dxa" w:w="80"/>
              <w:left w:type="dxa" w:w="100"/>
              <w:bottom w:type="dxa" w:w="80"/>
              <w:right w:type="dxa" w:w="100"/>
            </w:tcMar>
            <w:vAlign w:val="center"/>
          </w:tcPr>
          <w:p>
            <w:pPr>
              <w:jc w:val="right"/>
            </w:pPr>
            <w:r>
              <w:rPr>
                <w:b w:val="false"/>
                <w:bCs w:val="false"/>
                <w:color w:val="000000"/>
                <w:sz w:val="20"/>
                <w:szCs w:val="20"/>
              </w:rPr>
              <w:t xml:space="preserve">(15,958)</w:t>
            </w:r>
          </w:p>
        </w:tc>
      </w:tr>
      <w:tr>
        <w:tc>
          <w:tcPr>
            <w:tcW w:type="dxa" w:w="4000"/>
            <w:shd w:fill="F2F2F2" w:val="clear"/>
            <w:tcMar>
              <w:top w:type="dxa" w:w="80"/>
              <w:left w:type="dxa" w:w="100"/>
              <w:bottom w:type="dxa" w:w="80"/>
              <w:right w:type="dxa" w:w="100"/>
            </w:tcMar>
            <w:vAlign w:val="center"/>
          </w:tcPr>
          <w:p>
            <w:pPr>
              <w:jc w:val="left"/>
            </w:pPr>
            <w:r>
              <w:rPr>
                <w:b/>
                <w:bCs/>
                <w:color w:val="000000"/>
                <w:sz w:val="20"/>
                <w:szCs w:val="20"/>
              </w:rPr>
              <w:t xml:space="preserve">Unlevered Free Cash Flow</w:t>
            </w:r>
          </w:p>
        </w:tc>
        <w:tc>
          <w:tcPr>
            <w:tcW w:type="dxa" w:w="2600"/>
            <w:shd w:fill="F2F2F2" w:val="clear"/>
            <w:tcMar>
              <w:top w:type="dxa" w:w="80"/>
              <w:left w:type="dxa" w:w="100"/>
              <w:bottom w:type="dxa" w:w="80"/>
              <w:right w:type="dxa" w:w="100"/>
            </w:tcMar>
            <w:vAlign w:val="center"/>
          </w:tcPr>
          <w:p>
            <w:pPr>
              <w:jc w:val="right"/>
            </w:pPr>
            <w:r>
              <w:rPr>
                <w:b/>
                <w:bCs/>
                <w:color w:val="000000"/>
                <w:sz w:val="20"/>
                <w:szCs w:val="20"/>
              </w:rPr>
              <w:t xml:space="preserve">88,086</w:t>
            </w:r>
          </w:p>
        </w:tc>
        <w:tc>
          <w:tcPr>
            <w:tcW w:type="dxa" w:w="2600"/>
            <w:shd w:fill="F2F2F2" w:val="clear"/>
            <w:tcMar>
              <w:top w:type="dxa" w:w="80"/>
              <w:left w:type="dxa" w:w="100"/>
              <w:bottom w:type="dxa" w:w="80"/>
              <w:right w:type="dxa" w:w="100"/>
            </w:tcMar>
            <w:vAlign w:val="center"/>
          </w:tcPr>
          <w:p>
            <w:pPr>
              <w:jc w:val="right"/>
            </w:pPr>
            <w:r>
              <w:rPr>
                <w:b/>
                <w:bCs/>
                <w:color w:val="000000"/>
                <w:sz w:val="20"/>
                <w:szCs w:val="20"/>
              </w:rPr>
              <w:t xml:space="preserve">95,306</w:t>
            </w:r>
          </w:p>
        </w:tc>
      </w:tr>
    </w:tbl>
    <w:p>
      <w:pPr>
        <w:spacing w:after="160" w:line="300"/>
        <w:jc w:val="both"/>
      </w:pPr>
      <w:r>
        <w:rPr>
          <w:sz w:val="22"/>
          <w:szCs w:val="22"/>
        </w:rPr>
        <w:t xml:space="preserve">Based on this FY2025 base, and using a revenue growth assumption of 6.5 percent per year, consistent with published analyst consensus estimates for Apple at the time of writing, Unlevered Free Cash Flow was projected forward for five years, from FY2026 to FY2030, holding the FY2025 Free Cash Flow margin, Unlevered Free Cash Flow as a percentage of revenue, constant at 22.9 percent as a simplifying assumption.</w:t>
      </w:r>
    </w:p>
    <w:tbl>
      <w:tblPr>
        <w:tblW w:type="dxa" w:w="1115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750"/>
        <w:gridCol w:w="1750"/>
        <w:gridCol w:w="1750"/>
        <w:gridCol w:w="1750"/>
      </w:tblGrid>
      <w:tr>
        <w:trPr>
          <w:tblHeader/>
        </w:trPr>
        <w:tc>
          <w:tcPr>
            <w:tcW w:type="dxa" w:w="2400"/>
            <w:shd w:fill="1F4E78" w:val="clear"/>
            <w:tcMar>
              <w:top w:type="dxa" w:w="80"/>
              <w:left w:type="dxa" w:w="100"/>
              <w:bottom w:type="dxa" w:w="80"/>
              <w:right w:type="dxa" w:w="100"/>
            </w:tcMar>
            <w:vAlign w:val="center"/>
          </w:tcPr>
          <w:p>
            <w:pPr>
              <w:jc w:val="left"/>
            </w:pPr>
            <w:r>
              <w:rPr>
                <w:b/>
                <w:bCs/>
                <w:color w:val="FFFFFF"/>
                <w:sz w:val="20"/>
                <w:szCs w:val="20"/>
              </w:rPr>
              <w:t xml:space="preserve">Year</w:t>
            </w:r>
          </w:p>
        </w:tc>
        <w:tc>
          <w:tcPr>
            <w:tcW w:type="dxa" w:w="1750"/>
            <w:shd w:fill="1F4E78" w:val="clear"/>
            <w:tcMar>
              <w:top w:type="dxa" w:w="80"/>
              <w:left w:type="dxa" w:w="100"/>
              <w:bottom w:type="dxa" w:w="80"/>
              <w:right w:type="dxa" w:w="100"/>
            </w:tcMar>
            <w:vAlign w:val="center"/>
          </w:tcPr>
          <w:p>
            <w:pPr>
              <w:jc w:val="center"/>
            </w:pPr>
            <w:r>
              <w:rPr>
                <w:b/>
                <w:bCs/>
                <w:color w:val="FFFFFF"/>
                <w:sz w:val="20"/>
                <w:szCs w:val="20"/>
              </w:rPr>
              <w:t xml:space="preserve">FY2026</w:t>
            </w:r>
          </w:p>
        </w:tc>
        <w:tc>
          <w:tcPr>
            <w:tcW w:type="dxa" w:w="1750"/>
            <w:shd w:fill="1F4E78" w:val="clear"/>
            <w:tcMar>
              <w:top w:type="dxa" w:w="80"/>
              <w:left w:type="dxa" w:w="100"/>
              <w:bottom w:type="dxa" w:w="80"/>
              <w:right w:type="dxa" w:w="100"/>
            </w:tcMar>
            <w:vAlign w:val="center"/>
          </w:tcPr>
          <w:p>
            <w:pPr>
              <w:jc w:val="center"/>
            </w:pPr>
            <w:r>
              <w:rPr>
                <w:b/>
                <w:bCs/>
                <w:color w:val="FFFFFF"/>
                <w:sz w:val="20"/>
                <w:szCs w:val="20"/>
              </w:rPr>
              <w:t xml:space="preserve">FY2027</w:t>
            </w:r>
          </w:p>
        </w:tc>
        <w:tc>
          <w:tcPr>
            <w:tcW w:type="dxa" w:w="1750"/>
            <w:shd w:fill="1F4E78" w:val="clear"/>
            <w:tcMar>
              <w:top w:type="dxa" w:w="80"/>
              <w:left w:type="dxa" w:w="100"/>
              <w:bottom w:type="dxa" w:w="80"/>
              <w:right w:type="dxa" w:w="100"/>
            </w:tcMar>
            <w:vAlign w:val="center"/>
          </w:tcPr>
          <w:p>
            <w:pPr>
              <w:jc w:val="center"/>
            </w:pPr>
            <w:r>
              <w:rPr>
                <w:b/>
                <w:bCs/>
                <w:color w:val="FFFFFF"/>
                <w:sz w:val="20"/>
                <w:szCs w:val="20"/>
              </w:rPr>
              <w:t xml:space="preserve">FY2028</w:t>
            </w:r>
          </w:p>
        </w:tc>
        <w:tc>
          <w:tcPr>
            <w:tcW w:type="dxa" w:w="1750"/>
            <w:shd w:fill="1F4E78" w:val="clear"/>
            <w:tcMar>
              <w:top w:type="dxa" w:w="80"/>
              <w:left w:type="dxa" w:w="100"/>
              <w:bottom w:type="dxa" w:w="80"/>
              <w:right w:type="dxa" w:w="100"/>
            </w:tcMar>
            <w:vAlign w:val="center"/>
          </w:tcPr>
          <w:p>
            <w:pPr>
              <w:jc w:val="center"/>
            </w:pPr>
            <w:r>
              <w:rPr>
                <w:b/>
                <w:bCs/>
                <w:color w:val="FFFFFF"/>
                <w:sz w:val="20"/>
                <w:szCs w:val="20"/>
              </w:rPr>
              <w:t xml:space="preserve">FY2029</w:t>
            </w:r>
          </w:p>
        </w:tc>
        <w:tc>
          <w:tcPr>
            <w:tcW w:type="dxa" w:w="1750"/>
            <w:shd w:fill="1F4E78" w:val="clear"/>
            <w:tcMar>
              <w:top w:type="dxa" w:w="80"/>
              <w:left w:type="dxa" w:w="100"/>
              <w:bottom w:type="dxa" w:w="80"/>
              <w:right w:type="dxa" w:w="100"/>
            </w:tcMar>
            <w:vAlign w:val="center"/>
          </w:tcPr>
          <w:p>
            <w:pPr>
              <w:jc w:val="center"/>
            </w:pPr>
            <w:r>
              <w:rPr>
                <w:b/>
                <w:bCs/>
                <w:color w:val="FFFFFF"/>
                <w:sz w:val="20"/>
                <w:szCs w:val="20"/>
              </w:rPr>
              <w:t xml:space="preserve">FY2030</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Projected Revenue</w:t>
            </w:r>
          </w:p>
        </w:tc>
        <w:tc>
          <w:tcPr>
            <w:tcW w:type="dxa" w:w="1750"/>
            <w:tcMar>
              <w:top w:type="dxa" w:w="80"/>
              <w:left w:type="dxa" w:w="100"/>
              <w:bottom w:type="dxa" w:w="80"/>
              <w:right w:type="dxa" w:w="100"/>
            </w:tcMar>
            <w:vAlign w:val="center"/>
          </w:tcPr>
          <w:p>
            <w:pPr>
              <w:jc w:val="right"/>
            </w:pPr>
            <w:r>
              <w:rPr>
                <w:b w:val="false"/>
                <w:bCs w:val="false"/>
                <w:color w:val="000000"/>
                <w:sz w:val="20"/>
                <w:szCs w:val="20"/>
              </w:rPr>
              <w:t xml:space="preserve">443,211</w:t>
            </w:r>
          </w:p>
        </w:tc>
        <w:tc>
          <w:tcPr>
            <w:tcW w:type="dxa" w:w="1750"/>
            <w:tcMar>
              <w:top w:type="dxa" w:w="80"/>
              <w:left w:type="dxa" w:w="100"/>
              <w:bottom w:type="dxa" w:w="80"/>
              <w:right w:type="dxa" w:w="100"/>
            </w:tcMar>
            <w:vAlign w:val="center"/>
          </w:tcPr>
          <w:p>
            <w:pPr>
              <w:jc w:val="right"/>
            </w:pPr>
            <w:r>
              <w:rPr>
                <w:b w:val="false"/>
                <w:bCs w:val="false"/>
                <w:color w:val="000000"/>
                <w:sz w:val="20"/>
                <w:szCs w:val="20"/>
              </w:rPr>
              <w:t xml:space="preserve">472,020</w:t>
            </w:r>
          </w:p>
        </w:tc>
        <w:tc>
          <w:tcPr>
            <w:tcW w:type="dxa" w:w="1750"/>
            <w:tcMar>
              <w:top w:type="dxa" w:w="80"/>
              <w:left w:type="dxa" w:w="100"/>
              <w:bottom w:type="dxa" w:w="80"/>
              <w:right w:type="dxa" w:w="100"/>
            </w:tcMar>
            <w:vAlign w:val="center"/>
          </w:tcPr>
          <w:p>
            <w:pPr>
              <w:jc w:val="right"/>
            </w:pPr>
            <w:r>
              <w:rPr>
                <w:b w:val="false"/>
                <w:bCs w:val="false"/>
                <w:color w:val="000000"/>
                <w:sz w:val="20"/>
                <w:szCs w:val="20"/>
              </w:rPr>
              <w:t xml:space="preserve">502,702</w:t>
            </w:r>
          </w:p>
        </w:tc>
        <w:tc>
          <w:tcPr>
            <w:tcW w:type="dxa" w:w="1750"/>
            <w:tcMar>
              <w:top w:type="dxa" w:w="80"/>
              <w:left w:type="dxa" w:w="100"/>
              <w:bottom w:type="dxa" w:w="80"/>
              <w:right w:type="dxa" w:w="100"/>
            </w:tcMar>
            <w:vAlign w:val="center"/>
          </w:tcPr>
          <w:p>
            <w:pPr>
              <w:jc w:val="right"/>
            </w:pPr>
            <w:r>
              <w:rPr>
                <w:b w:val="false"/>
                <w:bCs w:val="false"/>
                <w:color w:val="000000"/>
                <w:sz w:val="20"/>
                <w:szCs w:val="20"/>
              </w:rPr>
              <w:t xml:space="preserve">535,377</w:t>
            </w:r>
          </w:p>
        </w:tc>
        <w:tc>
          <w:tcPr>
            <w:tcW w:type="dxa" w:w="1750"/>
            <w:tcMar>
              <w:top w:type="dxa" w:w="80"/>
              <w:left w:type="dxa" w:w="100"/>
              <w:bottom w:type="dxa" w:w="80"/>
              <w:right w:type="dxa" w:w="100"/>
            </w:tcMar>
            <w:vAlign w:val="center"/>
          </w:tcPr>
          <w:p>
            <w:pPr>
              <w:jc w:val="right"/>
            </w:pPr>
            <w:r>
              <w:rPr>
                <w:b w:val="false"/>
                <w:bCs w:val="false"/>
                <w:color w:val="000000"/>
                <w:sz w:val="20"/>
                <w:szCs w:val="20"/>
              </w:rPr>
              <w:t xml:space="preserve">570,177</w:t>
            </w:r>
          </w:p>
        </w:tc>
      </w:tr>
      <w:tr>
        <w:tc>
          <w:tcPr>
            <w:tcW w:type="dxa" w:w="2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Projected Unlevered FCF</w:t>
            </w:r>
          </w:p>
        </w:tc>
        <w:tc>
          <w:tcPr>
            <w:tcW w:type="dxa" w:w="175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101,501</w:t>
            </w:r>
          </w:p>
        </w:tc>
        <w:tc>
          <w:tcPr>
            <w:tcW w:type="dxa" w:w="175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108,098</w:t>
            </w:r>
          </w:p>
        </w:tc>
        <w:tc>
          <w:tcPr>
            <w:tcW w:type="dxa" w:w="175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115,125</w:t>
            </w:r>
          </w:p>
        </w:tc>
        <w:tc>
          <w:tcPr>
            <w:tcW w:type="dxa" w:w="175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122,608</w:t>
            </w:r>
          </w:p>
        </w:tc>
        <w:tc>
          <w:tcPr>
            <w:tcW w:type="dxa" w:w="175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130,577</w:t>
            </w:r>
          </w:p>
        </w:tc>
      </w:tr>
    </w:tbl>
    <w:p>
      <w:pPr>
        <w:spacing w:after="160" w:line="300"/>
        <w:jc w:val="both"/>
      </w:pPr>
      <w:r>
        <w:rPr>
          <w:sz w:val="22"/>
          <w:szCs w:val="22"/>
        </w:rPr>
        <w:t xml:space="preserve">Each of these projected cash flows was then discounted back to its present value using the Weighted Average Cost of Capital, or WACC, the blended rate of return required by both the company's shareholders and its lenders, weighted by how much of the company is funded by each. WACC was calculated at 9.59 percent, built from a Cost of Equity of 9.69 percent, derived using the Capital Asset Pricing Model from a risk-free rate of 4.84 percent, the yield on 10-year US Treasury bonds, a company Beta of 1.09, a measure of Apple's share price volatility relative to the overall market, and an Equity Risk Premium of 4.45 percent, and a small contribution from an after-tax Cost of Debt of 4.69 percent, reflecting that equity funds roughly 98 percent of Apple's market capital structure.</w:t>
      </w:r>
    </w:p>
    <w:p>
      <w:pPr>
        <w:spacing w:after="160" w:line="300"/>
        <w:jc w:val="both"/>
      </w:pPr>
      <w:r>
        <w:rPr>
          <w:sz w:val="22"/>
          <w:szCs w:val="22"/>
        </w:rPr>
        <w:t xml:space="preserve">Beyond the five-year projection window, a Terminal Value was calculated using the Gordon Growth Model, which assumes the business continues to grow at a stable, modest rate indefinitely, set here at 2.5 percent, broadly in line with long-run expectations for the US economy. The present value of this Terminal Value was 1,194,895 million dollars, which together with the present value of the five explicit projection years, 437,739 million dollars, produced a total Enterprise Value of 1,632,634 million dollars. Subtracting Apple's Total Debt of 98,657 million dollars and adding back Cash and Cash Equivalents of 35,934 million dollars produced an Equity Value of 1,569,911 million dollars, which divided across 14,590 million shares outstanding gives an implied share price of 107.60 dollars.</w:t>
      </w:r>
    </w:p>
    <w:p>
      <w:pPr>
        <w:spacing w:after="160" w:line="300"/>
        <w:jc w:val="both"/>
      </w:pPr>
      <w:r>
        <w:rPr>
          <w:sz w:val="22"/>
          <w:szCs w:val="22"/>
        </w:rPr>
        <w:t xml:space="preserve">This implied value is approximately 66 percent below Apple's actual share price of 319.97 dollars, a considerably larger gap than the one found under the Comparable Company Analysis. This does not necessarily mean the market is wrong. DCF models are known to be highly sensitive to their long-term assumptions, particularly the terminal growth rate and the discount rate, and small changes to either can move the resulting valuation substantially. The model also cannot easily capture qualitative sources of value such as brand loyalty, ecosystem lock-in, and the potential value of future products not yet reflected in current cash flows. Taken together, the Comparable Company Analysis and the Discounted Cash Flow analysis both point in the same direction, toward a valuation premium in Apple's current share price, even if they disagree on the exact size of that premium.</w:t>
      </w:r>
    </w:p>
    <w:p>
      <w:pPr>
        <w:pStyle w:val="Heading1"/>
        <w:spacing w:after="200" w:before="400"/>
      </w:pPr>
      <w:r>
        <w:rPr>
          <w:b/>
          <w:bCs/>
          <w:color w:val="1F4E78"/>
          <w:sz w:val="30"/>
          <w:szCs w:val="30"/>
        </w:rPr>
        <w:t xml:space="preserve">6. Credit Risk Assessment: Altman Z-Score</w:t>
      </w:r>
    </w:p>
    <w:p>
      <w:pPr>
        <w:spacing w:after="160" w:line="300"/>
        <w:jc w:val="both"/>
      </w:pPr>
      <w:r>
        <w:rPr>
          <w:sz w:val="22"/>
          <w:szCs w:val="22"/>
        </w:rPr>
        <w:t xml:space="preserve">The Altman Z-Score is a statistical model developed by Professor Edward Altman in 1968 that combines five financial ratios into a single score used to estimate the probability that a company will face bankruptcy within the next two years. It remains widely used today in banking and credit risk analysis.</w:t>
      </w:r>
    </w:p>
    <w:p>
      <w:pPr>
        <w:spacing w:after="160" w:line="300"/>
        <w:jc w:val="both"/>
      </w:pPr>
      <w:r>
        <w:rPr>
          <w:sz w:val="22"/>
          <w:szCs w:val="22"/>
        </w:rPr>
        <w:t xml:space="preserve">The score is calculated as Z equals 1.2 times A, plus 1.4 times B, plus 3.3 times C, plus 0.6 times D, plus 1.0 times E, where A is Working Capital divided by Total Assets, B is Retained Earnings divided by Total Assets, C is EBIT divided by Total Assets, D is the Market Value of Equity divided by Total Liabilities, and E is Total Sales divided by Total Assets. This report calculates the score as of FY2025, since component D requires a current market value rather than a historical accounting figure.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tblGrid>
      <w:tr>
        <w:trPr>
          <w:tblHeader/>
        </w:trPr>
        <w:tc>
          <w:tcPr>
            <w:tcW w:type="dxa" w:w="5400"/>
            <w:shd w:fill="1F4E78"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2400"/>
            <w:shd w:fill="1F4E78"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5400"/>
            <w:tcMar>
              <w:top w:type="dxa" w:w="80"/>
              <w:left w:type="dxa" w:w="100"/>
              <w:bottom w:type="dxa" w:w="80"/>
              <w:right w:type="dxa" w:w="100"/>
            </w:tcMar>
            <w:vAlign w:val="center"/>
          </w:tcPr>
          <w:p>
            <w:pPr>
              <w:jc w:val="left"/>
            </w:pPr>
            <w:r>
              <w:rPr>
                <w:b w:val="false"/>
                <w:bCs w:val="false"/>
                <w:color w:val="000000"/>
                <w:sz w:val="20"/>
                <w:szCs w:val="20"/>
              </w:rPr>
              <w:t xml:space="preserve">A: Working Capital / Total Assets</w:t>
            </w:r>
          </w:p>
        </w:tc>
        <w:tc>
          <w:tcPr>
            <w:tcW w:type="dxa" w:w="2400"/>
            <w:tcMar>
              <w:top w:type="dxa" w:w="80"/>
              <w:left w:type="dxa" w:w="100"/>
              <w:bottom w:type="dxa" w:w="80"/>
              <w:right w:type="dxa" w:w="100"/>
            </w:tcMar>
            <w:vAlign w:val="center"/>
          </w:tcPr>
          <w:p>
            <w:pPr>
              <w:jc w:val="right"/>
            </w:pPr>
            <w:r>
              <w:rPr>
                <w:b w:val="false"/>
                <w:bCs w:val="false"/>
                <w:color w:val="000000"/>
                <w:sz w:val="20"/>
                <w:szCs w:val="20"/>
              </w:rPr>
              <w:t xml:space="preserve">-0.05</w:t>
            </w:r>
          </w:p>
        </w:tc>
      </w:tr>
      <w:tr>
        <w:tc>
          <w:tcPr>
            <w:tcW w:type="dxa" w:w="5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B: Retained Earnings / Total Assets</w:t>
            </w:r>
          </w:p>
        </w:tc>
        <w:tc>
          <w:tcPr>
            <w:tcW w:type="dxa" w:w="24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-0.04</w:t>
            </w:r>
          </w:p>
        </w:tc>
      </w:tr>
      <w:tr>
        <w:tc>
          <w:tcPr>
            <w:tcW w:type="dxa" w:w="5400"/>
            <w:tcMar>
              <w:top w:type="dxa" w:w="80"/>
              <w:left w:type="dxa" w:w="100"/>
              <w:bottom w:type="dxa" w:w="80"/>
              <w:right w:type="dxa" w:w="100"/>
            </w:tcMar>
            <w:vAlign w:val="center"/>
          </w:tcPr>
          <w:p>
            <w:pPr>
              <w:jc w:val="left"/>
            </w:pPr>
            <w:r>
              <w:rPr>
                <w:b w:val="false"/>
                <w:bCs w:val="false"/>
                <w:color w:val="000000"/>
                <w:sz w:val="20"/>
                <w:szCs w:val="20"/>
              </w:rPr>
              <w:t xml:space="preserve">C: EBIT / Total Assets</w:t>
            </w:r>
          </w:p>
        </w:tc>
        <w:tc>
          <w:tcPr>
            <w:tcW w:type="dxa" w:w="2400"/>
            <w:tcMar>
              <w:top w:type="dxa" w:w="80"/>
              <w:left w:type="dxa" w:w="100"/>
              <w:bottom w:type="dxa" w:w="80"/>
              <w:right w:type="dxa" w:w="100"/>
            </w:tcMar>
            <w:vAlign w:val="center"/>
          </w:tcPr>
          <w:p>
            <w:pPr>
              <w:jc w:val="right"/>
            </w:pPr>
            <w:r>
              <w:rPr>
                <w:b w:val="false"/>
                <w:bCs w:val="false"/>
                <w:color w:val="000000"/>
                <w:sz w:val="20"/>
                <w:szCs w:val="20"/>
              </w:rPr>
              <w:t xml:space="preserve">0.37</w:t>
            </w:r>
          </w:p>
        </w:tc>
      </w:tr>
      <w:tr>
        <w:tc>
          <w:tcPr>
            <w:tcW w:type="dxa" w:w="5400"/>
            <w:shd w:fill="FAFAFA" w:val="clear"/>
            <w:tcMar>
              <w:top w:type="dxa" w:w="80"/>
              <w:left w:type="dxa" w:w="100"/>
              <w:bottom w:type="dxa" w:w="80"/>
              <w:right w:type="dxa" w:w="100"/>
            </w:tcMar>
            <w:vAlign w:val="center"/>
          </w:tcPr>
          <w:p>
            <w:pPr>
              <w:jc w:val="left"/>
            </w:pPr>
            <w:r>
              <w:rPr>
                <w:b w:val="false"/>
                <w:bCs w:val="false"/>
                <w:color w:val="000000"/>
                <w:sz w:val="20"/>
                <w:szCs w:val="20"/>
              </w:rPr>
              <w:t xml:space="preserve">D: Market Value of Equity / Total Liabilities</w:t>
            </w:r>
          </w:p>
        </w:tc>
        <w:tc>
          <w:tcPr>
            <w:tcW w:type="dxa" w:w="2400"/>
            <w:shd w:fill="FAFAFA" w:val="clear"/>
            <w:tcMar>
              <w:top w:type="dxa" w:w="80"/>
              <w:left w:type="dxa" w:w="100"/>
              <w:bottom w:type="dxa" w:w="80"/>
              <w:right w:type="dxa" w:w="100"/>
            </w:tcMar>
            <w:vAlign w:val="center"/>
          </w:tcPr>
          <w:p>
            <w:pPr>
              <w:jc w:val="right"/>
            </w:pPr>
            <w:r>
              <w:rPr>
                <w:b w:val="false"/>
                <w:bCs w:val="false"/>
                <w:color w:val="000000"/>
                <w:sz w:val="20"/>
                <w:szCs w:val="20"/>
              </w:rPr>
              <w:t xml:space="preserve">16.35</w:t>
            </w:r>
          </w:p>
        </w:tc>
      </w:tr>
      <w:tr>
        <w:tc>
          <w:tcPr>
            <w:tcW w:type="dxa" w:w="5400"/>
            <w:tcMar>
              <w:top w:type="dxa" w:w="80"/>
              <w:left w:type="dxa" w:w="100"/>
              <w:bottom w:type="dxa" w:w="80"/>
              <w:right w:type="dxa" w:w="100"/>
            </w:tcMar>
            <w:vAlign w:val="center"/>
          </w:tcPr>
          <w:p>
            <w:pPr>
              <w:jc w:val="left"/>
            </w:pPr>
            <w:r>
              <w:rPr>
                <w:b w:val="false"/>
                <w:bCs w:val="false"/>
                <w:color w:val="000000"/>
                <w:sz w:val="20"/>
                <w:szCs w:val="20"/>
              </w:rPr>
              <w:t xml:space="preserve">E: Sales / Total Assets</w:t>
            </w:r>
          </w:p>
        </w:tc>
        <w:tc>
          <w:tcPr>
            <w:tcW w:type="dxa" w:w="2400"/>
            <w:tcMar>
              <w:top w:type="dxa" w:w="80"/>
              <w:left w:type="dxa" w:w="100"/>
              <w:bottom w:type="dxa" w:w="80"/>
              <w:right w:type="dxa" w:w="100"/>
            </w:tcMar>
            <w:vAlign w:val="center"/>
          </w:tcPr>
          <w:p>
            <w:pPr>
              <w:jc w:val="right"/>
            </w:pPr>
            <w:r>
              <w:rPr>
                <w:b w:val="false"/>
                <w:bCs w:val="false"/>
                <w:color w:val="000000"/>
                <w:sz w:val="20"/>
                <w:szCs w:val="20"/>
              </w:rPr>
              <w:t xml:space="preserve">1.16</w:t>
            </w:r>
          </w:p>
        </w:tc>
      </w:tr>
      <w:tr>
        <w:tc>
          <w:tcPr>
            <w:tcW w:type="dxa" w:w="5400"/>
            <w:shd w:fill="F2F2F2" w:val="clear"/>
            <w:tcMar>
              <w:top w:type="dxa" w:w="80"/>
              <w:left w:type="dxa" w:w="100"/>
              <w:bottom w:type="dxa" w:w="80"/>
              <w:right w:type="dxa" w:w="100"/>
            </w:tcMar>
            <w:vAlign w:val="center"/>
          </w:tcPr>
          <w:p>
            <w:pPr>
              <w:jc w:val="left"/>
            </w:pPr>
            <w:r>
              <w:rPr>
                <w:b/>
                <w:bCs/>
                <w:color w:val="000000"/>
                <w:sz w:val="20"/>
                <w:szCs w:val="20"/>
              </w:rPr>
              <w:t xml:space="preserve">Altman Z-Score</w:t>
            </w:r>
          </w:p>
        </w:tc>
        <w:tc>
          <w:tcPr>
            <w:tcW w:type="dxa" w:w="2400"/>
            <w:shd w:fill="F2F2F2" w:val="clear"/>
            <w:tcMar>
              <w:top w:type="dxa" w:w="80"/>
              <w:left w:type="dxa" w:w="100"/>
              <w:bottom w:type="dxa" w:w="80"/>
              <w:right w:type="dxa" w:w="100"/>
            </w:tcMar>
            <w:vAlign w:val="center"/>
          </w:tcPr>
          <w:p>
            <w:pPr>
              <w:jc w:val="right"/>
            </w:pPr>
            <w:r>
              <w:rPr>
                <w:b/>
                <w:bCs/>
                <w:color w:val="000000"/>
                <w:sz w:val="20"/>
                <w:szCs w:val="20"/>
              </w:rPr>
              <w:t xml:space="preserve">12.08</w:t>
            </w:r>
          </w:p>
        </w:tc>
      </w:tr>
    </w:tbl>
    <w:p>
      <w:pPr>
        <w:spacing w:after="160" w:line="300"/>
        <w:jc w:val="both"/>
      </w:pPr>
      <w:r>
        <w:rPr>
          <w:sz w:val="22"/>
          <w:szCs w:val="22"/>
        </w:rPr>
        <w:t xml:space="preserve">A Z-Score above 2.99 is classified as the Safe Zone, indicating a low probability of financial distress. Apple's score of 12.08 sits far above this threshold, driven overwhelmingly by component D, the ratio of its very large market capitalization to its liabilities. This confirms that Apple carries negligible bankruptcy risk under this model. It is also worth noting as a limitation that the Altman Z-Score was originally developed in the 1960s using data from manufacturing companies of a very different scale, so a score this far above the safe threshold reflects the model being applied to a company far larger than those it was originally calibrated on, rather than suggesting the underlying risk assessment framework itself is unusually informative at this extreme.</w:t>
      </w:r>
    </w:p>
    <w:p>
      <w:pPr>
        <w:pStyle w:val="Heading1"/>
        <w:spacing w:after="200" w:before="400"/>
      </w:pPr>
      <w:r>
        <w:rPr>
          <w:b/>
          <w:bCs/>
          <w:color w:val="1F4E78"/>
          <w:sz w:val="30"/>
          <w:szCs w:val="30"/>
        </w:rPr>
        <w:t xml:space="preserve">7. Conclusion and Recommendation</w:t>
      </w:r>
    </w:p>
    <w:p>
      <w:pPr>
        <w:spacing w:after="160" w:line="300"/>
        <w:jc w:val="both"/>
      </w:pPr>
      <w:r>
        <w:rPr>
          <w:sz w:val="22"/>
          <w:szCs w:val="22"/>
        </w:rPr>
        <w:t xml:space="preserve">Apple's underlying business fundamentals are strong across nearly every dimension examined in this report. Operating margins have improved consistently for three straight years. Cash generation is large, stable, and of high quality relative to reported net income. The company's negative working capital and unusually long payment terms to suppliers reflect genuine commercial leverage rather than financial weakness. Leverage and credit risk are both very low by any reasonable standard, as confirmed by the Interest Coverage Ratio and the Altman Z-Score.</w:t>
      </w:r>
    </w:p>
    <w:p>
      <w:pPr>
        <w:spacing w:after="160" w:line="300"/>
        <w:jc w:val="both"/>
      </w:pPr>
      <w:r>
        <w:rPr>
          <w:sz w:val="22"/>
          <w:szCs w:val="22"/>
        </w:rPr>
        <w:t xml:space="preserve">At the same time, both valuation methods applied in this report, Comparable Company Analysis and Discounted Cash Flow analysis, independently conclude that Apple's current share price embeds a significant premium over what its own fundamentals and its closest peers would justify. Based on this combination of strong operating performance but a stretched valuation, this report assigns a Hold recommendation. Existing holders of the stock are not given a fundamental reason to sell given the quality of the underlying business, but the valuation gap identified here does not support fresh purchases at current prices without a clear catalyst, such as a new product cycle or a re-acceleration in revenue growth, that could justify the premium over time.</w:t>
      </w:r>
    </w:p>
    <w:p>
      <w:pPr>
        <w:pStyle w:val="Heading1"/>
        <w:spacing w:after="200" w:before="400"/>
      </w:pPr>
      <w:r>
        <w:rPr>
          <w:b/>
          <w:bCs/>
          <w:color w:val="1F4E78"/>
          <w:sz w:val="30"/>
          <w:szCs w:val="30"/>
        </w:rPr>
        <w:t xml:space="preserve">8. Methodology Notes and Limitations</w:t>
      </w:r>
    </w:p>
    <w:p>
      <w:pPr>
        <w:pStyle w:val="ListParagraph"/>
        <w:numPr>
          <w:ilvl w:val="0"/>
          <w:numId w:val="1"/>
        </w:numPr>
        <w:spacing w:after="100"/>
      </w:pPr>
      <w:r>
        <w:rPr>
          <w:sz w:val="22"/>
          <w:szCs w:val="22"/>
        </w:rPr>
        <w:t xml:space="preserve">All historical financial figures are sourced directly from Apple's audited Form 10-K filings with the SEC and the company's official quarterly financial statement press releases, and are not estimated or adjusted unless explicitly noted.</w:t>
      </w:r>
    </w:p>
    <w:p>
      <w:pPr>
        <w:pStyle w:val="ListParagraph"/>
        <w:numPr>
          <w:ilvl w:val="0"/>
          <w:numId w:val="1"/>
        </w:numPr>
        <w:spacing w:after="100"/>
      </w:pPr>
      <w:r>
        <w:rPr>
          <w:sz w:val="22"/>
          <w:szCs w:val="22"/>
        </w:rPr>
        <w:t xml:space="preserve">Apple discontinued separate disclosure of its total interest expense in its financial statement notes starting in FY2024. As a result, the Interest Coverage Ratio in Section 4.3 could only be calculated for FY2023, using the last year in which this figure was disclosed.</w:t>
      </w:r>
    </w:p>
    <w:p>
      <w:pPr>
        <w:pStyle w:val="ListParagraph"/>
        <w:numPr>
          <w:ilvl w:val="0"/>
          <w:numId w:val="1"/>
        </w:numPr>
        <w:spacing w:after="100"/>
      </w:pPr>
      <w:r>
        <w:rPr>
          <w:sz w:val="22"/>
          <w:szCs w:val="22"/>
        </w:rPr>
        <w:t xml:space="preserve">Turnover and Days Outstanding ratios in Section 4.4 could not be calculated for FY2023, since they require an average balance based on FY2022 data, which was outside the scope of this analysis.</w:t>
      </w:r>
    </w:p>
    <w:p>
      <w:pPr>
        <w:pStyle w:val="ListParagraph"/>
        <w:numPr>
          <w:ilvl w:val="0"/>
          <w:numId w:val="1"/>
        </w:numPr>
        <w:spacing w:after="100"/>
      </w:pPr>
      <w:r>
        <w:rPr>
          <w:sz w:val="22"/>
          <w:szCs w:val="22"/>
        </w:rPr>
        <w:t xml:space="preserve">Return on Assets and Return on Equity are calculated using average, rather than year-end, balances, following standard analytical practice.</w:t>
      </w:r>
    </w:p>
    <w:p>
      <w:pPr>
        <w:pStyle w:val="ListParagraph"/>
        <w:numPr>
          <w:ilvl w:val="0"/>
          <w:numId w:val="1"/>
        </w:numPr>
        <w:spacing w:after="100"/>
      </w:pPr>
      <w:r>
        <w:rPr>
          <w:sz w:val="22"/>
          <w:szCs w:val="22"/>
        </w:rPr>
        <w:t xml:space="preserve">The Discounted Cash Flow model in Section 5.2 uses a simplifying assumption that Apple's Free Cash Flow margin remains constant at its FY2025 level throughout the five-year projection period, rather than modeling each income statement line item independently. This was a deliberate simplification for the purposes of this project and is disclosed here for full transparency.</w:t>
      </w:r>
    </w:p>
    <w:p>
      <w:pPr>
        <w:pStyle w:val="ListParagraph"/>
        <w:numPr>
          <w:ilvl w:val="0"/>
          <w:numId w:val="1"/>
        </w:numPr>
        <w:spacing w:after="100"/>
      </w:pPr>
      <w:r>
        <w:rPr>
          <w:sz w:val="22"/>
          <w:szCs w:val="22"/>
        </w:rPr>
        <w:t xml:space="preserve">All market data, including share price, market capitalization, peer multiples, the risk-free rate, and Beta, reflects conditions as of early September 2026 and will change over time.</w:t>
      </w:r>
    </w:p>
    <w:p>
      <w:pPr>
        <w:pStyle w:val="Heading1"/>
        <w:spacing w:after="200" w:before="400"/>
      </w:pPr>
      <w:r>
        <w:rPr>
          <w:b/>
          <w:bCs/>
          <w:color w:val="1F4E78"/>
          <w:sz w:val="30"/>
          <w:szCs w:val="30"/>
        </w:rPr>
        <w:t xml:space="preserve">9. Sources</w:t>
      </w:r>
    </w:p>
    <w:p>
      <w:pPr>
        <w:pStyle w:val="ListParagraph"/>
        <w:numPr>
          <w:ilvl w:val="0"/>
          <w:numId w:val="1"/>
        </w:numPr>
        <w:spacing w:after="100"/>
      </w:pPr>
      <w:r>
        <w:rPr>
          <w:sz w:val="22"/>
          <w:szCs w:val="22"/>
        </w:rPr>
        <w:t xml:space="preserve">Apple Inc., Form 10-K for the fiscal year ended September 27, 2025, filed with the U.S. Securities and Exchange Commission.</w:t>
      </w:r>
    </w:p>
    <w:p>
      <w:pPr>
        <w:pStyle w:val="ListParagraph"/>
        <w:numPr>
          <w:ilvl w:val="0"/>
          <w:numId w:val="1"/>
        </w:numPr>
        <w:spacing w:after="100"/>
      </w:pPr>
      <w:r>
        <w:rPr>
          <w:sz w:val="22"/>
          <w:szCs w:val="22"/>
        </w:rPr>
        <w:t xml:space="preserve">Apple Inc., Form 10-K for the fiscal year ended September 30, 2023, filed with the U.S. Securities and Exchange Commission.</w:t>
      </w:r>
    </w:p>
    <w:p>
      <w:pPr>
        <w:pStyle w:val="ListParagraph"/>
        <w:numPr>
          <w:ilvl w:val="0"/>
          <w:numId w:val="1"/>
        </w:numPr>
        <w:spacing w:after="100"/>
      </w:pPr>
      <w:r>
        <w:rPr>
          <w:sz w:val="22"/>
          <w:szCs w:val="22"/>
        </w:rPr>
        <w:t xml:space="preserve">Apple Inc., official quarterly consolidated financial statement press releases, fiscal years 2024 and 2025.</w:t>
      </w:r>
    </w:p>
    <w:p>
      <w:pPr>
        <w:pStyle w:val="ListParagraph"/>
        <w:numPr>
          <w:ilvl w:val="0"/>
          <w:numId w:val="1"/>
        </w:numPr>
        <w:spacing w:after="100"/>
      </w:pPr>
      <w:r>
        <w:rPr>
          <w:sz w:val="22"/>
          <w:szCs w:val="22"/>
        </w:rPr>
        <w:t xml:space="preserve">Aswath Damodaran, New York University Stern School of Business, Equity Risk Premium data update, July 2026.</w:t>
      </w:r>
    </w:p>
    <w:p>
      <w:pPr>
        <w:pStyle w:val="ListParagraph"/>
        <w:numPr>
          <w:ilvl w:val="0"/>
          <w:numId w:val="1"/>
        </w:numPr>
        <w:spacing w:after="100"/>
      </w:pPr>
      <w:r>
        <w:rPr>
          <w:sz w:val="22"/>
          <w:szCs w:val="22"/>
        </w:rPr>
        <w:t xml:space="preserve">U.S. Department of the Treasury, 10-Year Treasury Note yield data, September 2026.</w:t>
      </w:r>
    </w:p>
    <w:p>
      <w:pPr>
        <w:pStyle w:val="ListParagraph"/>
        <w:numPr>
          <w:ilvl w:val="0"/>
          <w:numId w:val="1"/>
        </w:numPr>
        <w:spacing w:after="100"/>
      </w:pPr>
      <w:r>
        <w:rPr>
          <w:sz w:val="22"/>
          <w:szCs w:val="22"/>
        </w:rPr>
        <w:t xml:space="preserve">Publicly available market data for Microsoft Corporation and Alphabet Inc., early September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Apple Inc. Financial Health and 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2026-09-13T09:07:44.810Z</dcterms:created>
  <dcterms:modified xsi:type="dcterms:W3CDTF">2026-09-13T09:07:44.820Z</dcterms:modified>
</cp:coreProperties>
</file>

<file path=docProps/custom.xml><?xml version="1.0" encoding="utf-8"?>
<Properties xmlns="http://schemas.openxmlformats.org/officeDocument/2006/custom-properties" xmlns:vt="http://schemas.openxmlformats.org/officeDocument/2006/docPropsVTypes"/>
</file>