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pPr>
      <w:r>
        <w:rPr>
          <w:rFonts w:ascii="Calibri" w:cs="Calibri" w:eastAsia="Calibri" w:hAnsi="Calibri"/>
          <w:b/>
          <w:bCs/>
          <w:color w:val="0F6E56"/>
          <w:sz w:val="22"/>
          <w:szCs w:val="22"/>
        </w:rPr>
        <w:t xml:space="preserve">LIVING STONES FOUNDATION</w:t>
      </w:r>
    </w:p>
    <w:p>
      <w:pPr>
        <w:spacing w:after="800"/>
      </w:pPr>
      <w:r>
        <w:rPr>
          <w:color w:val="6B6963"/>
          <w:sz w:val="20"/>
          <w:szCs w:val="20"/>
        </w:rPr>
        <w:t xml:space="preserve">Applied Data &amp; Digital Innovation Lab · LATAM</w:t>
      </w:r>
    </w:p>
    <w:p>
      <w:pPr>
        <w:spacing w:after="200"/>
      </w:pPr>
      <w:r>
        <w:rPr>
          <w:rFonts w:ascii="Cambria" w:cs="Cambria" w:eastAsia="Cambria" w:hAnsi="Cambria"/>
          <w:b/>
          <w:bCs/>
          <w:color w:val="2C2C2A"/>
          <w:sz w:val="52"/>
          <w:szCs w:val="52"/>
        </w:rPr>
        <w:t xml:space="preserve">Economic Development in Latin America</w:t>
      </w:r>
    </w:p>
    <w:p>
      <w:pPr>
        <w:spacing w:after="900"/>
      </w:pPr>
      <w:r>
        <w:rPr>
          <w:rFonts w:ascii="Cambria" w:cs="Cambria" w:eastAsia="Cambria" w:hAnsi="Cambria"/>
          <w:i/>
          <w:iCs/>
          <w:color w:val="6B6963"/>
          <w:sz w:val="24"/>
          <w:szCs w:val="24"/>
        </w:rPr>
        <w:t xml:space="preserve">A Data Analysis of Economic Growth, Resilience, and Social Development Across Six Latin American Economies (2014–2024)</w:t>
      </w:r>
    </w:p>
    <w:p>
      <w:pPr>
        <w:pBdr>
          <w:top w:val="single" w:color="D85A30" w:sz="18" w:space="8"/>
        </w:pBdr>
        <w:spacing w:after="300"/>
      </w:pPr>
    </w:p>
    <w:p>
      <w:pPr>
        <w:spacing w:after="60"/>
      </w:pPr>
      <w:r>
        <w:rPr>
          <w:color w:val="3D3D3B"/>
          <w:sz w:val="22"/>
          <w:szCs w:val="22"/>
        </w:rPr>
        <w:t xml:space="preserve">Prepared by: Manar Mohammed</w:t>
      </w:r>
    </w:p>
    <w:p>
      <w:pPr>
        <w:spacing w:after="60"/>
      </w:pPr>
      <w:r>
        <w:rPr>
          <w:color w:val="3D3D3B"/>
          <w:sz w:val="22"/>
          <w:szCs w:val="22"/>
        </w:rPr>
        <w:t xml:space="preserve">Role: Volunteer Data Analyst</w:t>
      </w:r>
    </w:p>
    <w:p>
      <w:pPr>
        <w:spacing w:after="60"/>
      </w:pPr>
      <w:r>
        <w:rPr>
          <w:color w:val="3D3D3B"/>
          <w:sz w:val="22"/>
          <w:szCs w:val="22"/>
        </w:rPr>
        <w:t xml:space="preserve">Data source: World Bank Open Data – World Development Indicators</w:t>
      </w:r>
    </w:p>
    <w:p>
      <w:r>
        <w:rPr>
          <w:color w:val="3D3D3B"/>
          <w:sz w:val="22"/>
          <w:szCs w:val="22"/>
        </w:rPr>
        <w:t xml:space="preserve">Reporting period covered: 2014–2024</w:t>
      </w:r>
    </w:p>
    <w:p>
      <w:r>
        <w:br w:type="page"/>
      </w:r>
    </w:p>
    <w:p>
      <w:pPr>
        <w:sectPr>
          <w:pgSz w:w="12240" w:h="15840" w:orient="portrait"/>
          <w:pgMar w:top="1440" w:right="1440" w:bottom="1440" w:left="1440" w:header="708" w:footer="708" w:gutter="0"/>
          <w:pgNumType/>
          <w:docGrid w:linePitch="360"/>
        </w:sectPr>
      </w:pPr>
    </w:p>
    <w:p>
      <w:pPr>
        <w:pStyle w:val="Heading1"/>
        <w:spacing w:after="200" w:before="420"/>
      </w:pPr>
      <w:r>
        <w:t xml:space="preserve">1. Introduction</w:t>
      </w:r>
    </w:p>
    <w:p>
      <w:pPr>
        <w:spacing w:after="180" w:line="300"/>
      </w:pPr>
      <w:r>
        <w:rPr>
          <w:color w:val="3D3D3B"/>
          <w:sz w:val="22"/>
          <w:szCs w:val="22"/>
        </w:rPr>
        <w:t xml:space="preserve">This document is the final written record of an individual data analysis project carried out as part of the Living Stones Foundation's Applied Data &amp; Digital Innovation Lab (LATAM). The project set out to look at how six Latin American economies performed between 2014 and 2024, using publicly available World Bank indicators as the underlying evidence base.</w:t>
      </w:r>
    </w:p>
    <w:p>
      <w:pPr>
        <w:spacing w:after="180" w:line="300"/>
      </w:pPr>
      <w:r>
        <w:rPr>
          <w:color w:val="3D3D3B"/>
          <w:sz w:val="22"/>
          <w:szCs w:val="22"/>
        </w:rPr>
        <w:t xml:space="preserve">The work moved through five stages: planning, data collection, cleaning and exploratory analysis, dashboard development, and this final documentation stage. Each stage is described below, along with the reasoning behind key decisions – particularly around missing data, since not every indicator was reported consistently by every country.</w:t>
      </w:r>
    </w:p>
    <w:p>
      <w:pPr>
        <w:pStyle w:val="Heading1"/>
        <w:spacing w:after="200" w:before="420"/>
      </w:pPr>
      <w:r>
        <w:t xml:space="preserve">2. Project Objective</w:t>
      </w:r>
    </w:p>
    <w:p>
      <w:pPr>
        <w:spacing w:after="180" w:line="300"/>
      </w:pPr>
      <w:r>
        <w:rPr>
          <w:color w:val="3D3D3B"/>
          <w:sz w:val="22"/>
          <w:szCs w:val="22"/>
        </w:rPr>
        <w:t xml:space="preserve">The objective of this project is to analyze the key factors influencing economic development in Latin America through a data-driven approach. By exploring the relationships between economic and social indicators, the project aims to identify meaningful patterns, generate actionable insights, and support data-informed decision-making related to economic development in the region.</w:t>
      </w:r>
    </w:p>
    <w:p>
      <w:pPr>
        <w:spacing w:after="180" w:line="300"/>
      </w:pPr>
      <w:r>
        <w:rPr>
          <w:color w:val="3D3D3B"/>
          <w:sz w:val="22"/>
          <w:szCs w:val="22"/>
        </w:rPr>
        <w:t xml:space="preserve">It's worth being explicit about what this project is not. It does not attempt to establish causal relationships between variables, and it is not a predictive or forecasting model. Where two indicators move together (for example, GDP and life expectancy both dropping in the same year), the analysis treats this as a correlation worth noting, not proof of cause and effect.</w:t>
      </w:r>
    </w:p>
    <w:p>
      <w:pPr>
        <w:pStyle w:val="Heading1"/>
        <w:spacing w:after="200" w:before="420"/>
      </w:pPr>
      <w:r>
        <w:t xml:space="preserve">3. Data Source and Scope</w:t>
      </w:r>
    </w:p>
    <w:p>
      <w:pPr>
        <w:pStyle w:val="Heading2"/>
        <w:spacing w:after="140" w:before="300"/>
      </w:pPr>
      <w:r>
        <w:t xml:space="preserve">3.1 Source</w:t>
      </w:r>
    </w:p>
    <w:p>
      <w:pPr>
        <w:spacing w:after="180" w:line="300"/>
      </w:pPr>
      <w:r>
        <w:rPr>
          <w:color w:val="3D3D3B"/>
          <w:sz w:val="22"/>
          <w:szCs w:val="22"/>
        </w:rPr>
        <w:t xml:space="preserve">All data used in this project comes from World Bank Open Data (World Development Indicators), a publicly available and internationally recognized database. No proprietary or private data sources were used.</w:t>
      </w:r>
    </w:p>
    <w:p>
      <w:pPr>
        <w:pStyle w:val="Heading2"/>
        <w:spacing w:after="140" w:before="300"/>
      </w:pPr>
      <w:r>
        <w:t xml:space="preserve">3.2 Countries and time frame</w:t>
      </w:r>
    </w:p>
    <w:p>
      <w:pPr>
        <w:spacing w:after="180" w:line="300"/>
      </w:pPr>
      <w:r>
        <w:rPr>
          <w:color w:val="3D3D3B"/>
          <w:sz w:val="22"/>
          <w:szCs w:val="22"/>
        </w:rPr>
        <w:t xml:space="preserve">The analysis covers six countries – Argentina, Brazil, Chile, Colombia, Mexico, and Peru – over an eleven-year period from 2014 to 2024.</w:t>
      </w:r>
    </w:p>
    <w:p>
      <w:pPr>
        <w:pStyle w:val="Heading2"/>
        <w:spacing w:after="140" w:before="300"/>
      </w:pPr>
      <w:r>
        <w:t xml:space="preserve">3.3 Indicators</w:t>
      </w:r>
    </w:p>
    <w:p>
      <w:pPr>
        <w:spacing w:after="180" w:line="300"/>
      </w:pPr>
      <w:r>
        <w:rPr>
          <w:color w:val="3D3D3B"/>
          <w:sz w:val="22"/>
          <w:szCs w:val="22"/>
        </w:rPr>
        <w:t xml:space="preserve">Twelve indicators were selected to give a rounded view of development, spanning four broad areas:</w:t>
      </w:r>
    </w:p>
    <w:p>
      <w:pPr>
        <w:pStyle w:val="ListParagraph"/>
        <w:numPr>
          <w:ilvl w:val="0"/>
          <w:numId w:val="2"/>
        </w:numPr>
        <w:spacing w:after="100" w:line="288"/>
      </w:pPr>
      <w:r>
        <w:rPr>
          <w:color w:val="3D3D3B"/>
          <w:sz w:val="22"/>
          <w:szCs w:val="22"/>
        </w:rPr>
        <w:t xml:space="preserve">Core economic: GDP per capita, GDP growth, inflation, foreign direct investment (FDI)</w:t>
      </w:r>
    </w:p>
    <w:p>
      <w:pPr>
        <w:pStyle w:val="ListParagraph"/>
        <w:numPr>
          <w:ilvl w:val="0"/>
          <w:numId w:val="2"/>
        </w:numPr>
        <w:spacing w:after="100" w:line="288"/>
      </w:pPr>
      <w:r>
        <w:rPr>
          <w:color w:val="3D3D3B"/>
          <w:sz w:val="22"/>
          <w:szCs w:val="22"/>
        </w:rPr>
        <w:t xml:space="preserve">Labor market: unemployment rate</w:t>
      </w:r>
    </w:p>
    <w:p>
      <w:pPr>
        <w:pStyle w:val="ListParagraph"/>
        <w:numPr>
          <w:ilvl w:val="0"/>
          <w:numId w:val="2"/>
        </w:numPr>
        <w:spacing w:after="100" w:line="288"/>
      </w:pPr>
      <w:r>
        <w:rPr>
          <w:color w:val="3D3D3B"/>
          <w:sz w:val="22"/>
          <w:szCs w:val="22"/>
        </w:rPr>
        <w:t xml:space="preserve">Social development: poverty headcount ratio, life expectancy at birth, secondary school enrollment</w:t>
      </w:r>
    </w:p>
    <w:p>
      <w:pPr>
        <w:pStyle w:val="ListParagraph"/>
        <w:numPr>
          <w:ilvl w:val="0"/>
          <w:numId w:val="2"/>
        </w:numPr>
        <w:spacing w:after="100" w:line="288"/>
      </w:pPr>
      <w:r>
        <w:rPr>
          <w:color w:val="3D3D3B"/>
          <w:sz w:val="22"/>
          <w:szCs w:val="22"/>
        </w:rPr>
        <w:t xml:space="preserve">Infrastructure and connectivity: population, urban population, internet access, electricity access</w:t>
      </w:r>
    </w:p>
    <w:p>
      <w:pPr>
        <w:spacing w:after="180" w:line="300"/>
      </w:pPr>
      <w:r>
        <w:rPr>
          <w:color w:val="3D3D3B"/>
          <w:sz w:val="22"/>
          <w:szCs w:val="22"/>
        </w:rPr>
        <w:t xml:space="preserve">In total, the cleaned dataset contains 792 data points (6 countries × 12 indicators × 11 years).</w:t>
      </w:r>
    </w:p>
    <w:p>
      <w:pPr>
        <w:pStyle w:val="Heading1"/>
        <w:spacing w:after="200" w:before="420"/>
      </w:pPr>
      <w:r>
        <w:t xml:space="preserve">4. Methodology</w:t>
      </w:r>
    </w:p>
    <w:p>
      <w:pPr>
        <w:spacing w:after="180" w:line="300"/>
      </w:pPr>
      <w:r>
        <w:rPr>
          <w:color w:val="3D3D3B"/>
          <w:sz w:val="22"/>
          <w:szCs w:val="22"/>
        </w:rPr>
        <w:t xml:space="preserve">The project followed five phases, consistent with the timeline agreed in the initial project white paper:</w:t>
      </w:r>
    </w:p>
    <w:p>
      <w:pPr>
        <w:pStyle w:val="ListParagraph"/>
        <w:numPr>
          <w:ilvl w:val="0"/>
          <w:numId w:val="2"/>
        </w:numPr>
        <w:spacing w:after="100" w:line="288"/>
      </w:pPr>
      <w:r>
        <w:rPr>
          <w:color w:val="3D3D3B"/>
          <w:sz w:val="22"/>
          <w:szCs w:val="22"/>
        </w:rPr>
        <w:t xml:space="preserve">Phase 1 – Planning and topic refinement</w:t>
      </w:r>
    </w:p>
    <w:p>
      <w:pPr>
        <w:pStyle w:val="ListParagraph"/>
        <w:numPr>
          <w:ilvl w:val="0"/>
          <w:numId w:val="2"/>
        </w:numPr>
        <w:spacing w:after="100" w:line="288"/>
      </w:pPr>
      <w:r>
        <w:rPr>
          <w:color w:val="3D3D3B"/>
          <w:sz w:val="22"/>
          <w:szCs w:val="22"/>
        </w:rPr>
        <w:t xml:space="preserve">Phase 2 – Data collection and preparation</w:t>
      </w:r>
    </w:p>
    <w:p>
      <w:pPr>
        <w:pStyle w:val="ListParagraph"/>
        <w:numPr>
          <w:ilvl w:val="0"/>
          <w:numId w:val="2"/>
        </w:numPr>
        <w:spacing w:after="100" w:line="288"/>
      </w:pPr>
      <w:r>
        <w:rPr>
          <w:color w:val="3D3D3B"/>
          <w:sz w:val="22"/>
          <w:szCs w:val="22"/>
        </w:rPr>
        <w:t xml:space="preserve">Phase 3 – Data cleaning and exploratory data analysis</w:t>
      </w:r>
    </w:p>
    <w:p>
      <w:pPr>
        <w:pStyle w:val="ListParagraph"/>
        <w:numPr>
          <w:ilvl w:val="0"/>
          <w:numId w:val="2"/>
        </w:numPr>
        <w:spacing w:after="100" w:line="288"/>
      </w:pPr>
      <w:r>
        <w:rPr>
          <w:color w:val="3D3D3B"/>
          <w:sz w:val="22"/>
          <w:szCs w:val="22"/>
        </w:rPr>
        <w:t xml:space="preserve">Phase 4 – Data visualization and dashboard development</w:t>
      </w:r>
    </w:p>
    <w:p>
      <w:pPr>
        <w:pStyle w:val="ListParagraph"/>
        <w:numPr>
          <w:ilvl w:val="0"/>
          <w:numId w:val="2"/>
        </w:numPr>
        <w:spacing w:after="100" w:line="288"/>
      </w:pPr>
      <w:r>
        <w:rPr>
          <w:color w:val="3D3D3B"/>
          <w:sz w:val="22"/>
          <w:szCs w:val="22"/>
        </w:rPr>
        <w:t xml:space="preserve">Phase 5 – Documentation, review, and final submission</w:t>
      </w:r>
    </w:p>
    <w:p>
      <w:pPr>
        <w:spacing w:after="180" w:line="300"/>
      </w:pPr>
      <w:r>
        <w:rPr>
          <w:color w:val="3D3D3B"/>
          <w:sz w:val="22"/>
          <w:szCs w:val="22"/>
        </w:rPr>
        <w:t xml:space="preserve">Two tools were used throughout: Python (pandas, in Google Colab) for data cleaning and exploratory analysis, and Power BI for the interactive dashboard. This combination matches the toolset used in comparable Living Stones Foundation projects, and was chosen because it was sufficient for the size and structure of the dataset without introducing unnecessary complexity.</w:t>
      </w:r>
    </w:p>
    <w:p>
      <w:pPr>
        <w:pStyle w:val="Heading1"/>
        <w:spacing w:after="200" w:before="420"/>
      </w:pPr>
      <w:r>
        <w:t xml:space="preserve">5. Data Cleaning</w:t>
      </w:r>
    </w:p>
    <w:p>
      <w:pPr>
        <w:spacing w:after="180" w:line="300"/>
      </w:pPr>
      <w:r>
        <w:rPr>
          <w:color w:val="3D3D3B"/>
          <w:sz w:val="22"/>
          <w:szCs w:val="22"/>
        </w:rPr>
        <w:t xml:space="preserve">The raw data, as downloaded from the World Bank Data Bank, required several cleaning steps before it was usable:</w:t>
      </w:r>
    </w:p>
    <w:p>
      <w:pPr>
        <w:pStyle w:val="ListParagraph"/>
        <w:numPr>
          <w:ilvl w:val="0"/>
          <w:numId w:val="2"/>
        </w:numPr>
        <w:spacing w:after="100" w:line="288"/>
      </w:pPr>
      <w:r>
        <w:rPr>
          <w:color w:val="3D3D3B"/>
          <w:sz w:val="22"/>
          <w:szCs w:val="22"/>
        </w:rPr>
        <w:t xml:space="preserve">Removed two metadata rows (source citation and last-updated notices) that were not part of the actual data.</w:t>
      </w:r>
    </w:p>
    <w:p>
      <w:pPr>
        <w:pStyle w:val="ListParagraph"/>
        <w:numPr>
          <w:ilvl w:val="0"/>
          <w:numId w:val="2"/>
        </w:numPr>
        <w:spacing w:after="100" w:line="288"/>
      </w:pPr>
      <w:r>
        <w:rPr>
          <w:color w:val="3D3D3B"/>
          <w:sz w:val="22"/>
          <w:szCs w:val="22"/>
        </w:rPr>
        <w:t xml:space="preserve">Converted World Bank's placeholder character ('..') for missing values into proper null values.</w:t>
      </w:r>
    </w:p>
    <w:p>
      <w:pPr>
        <w:pStyle w:val="ListParagraph"/>
        <w:numPr>
          <w:ilvl w:val="0"/>
          <w:numId w:val="2"/>
        </w:numPr>
        <w:spacing w:after="100" w:line="288"/>
      </w:pPr>
      <w:r>
        <w:rPr>
          <w:color w:val="3D3D3B"/>
          <w:sz w:val="22"/>
          <w:szCs w:val="22"/>
        </w:rPr>
        <w:t xml:space="preserve">Simplified year column headers from the format "2014 [YR2014]" to plain "2014".</w:t>
      </w:r>
    </w:p>
    <w:p>
      <w:pPr>
        <w:pStyle w:val="ListParagraph"/>
        <w:numPr>
          <w:ilvl w:val="0"/>
          <w:numId w:val="2"/>
        </w:numPr>
        <w:spacing w:after="100" w:line="288"/>
      </w:pPr>
      <w:r>
        <w:rPr>
          <w:color w:val="3D3D3B"/>
          <w:sz w:val="22"/>
          <w:szCs w:val="22"/>
        </w:rPr>
        <w:t xml:space="preserve">Reshaped the dataset from wide format (one column per year) to long format (one row per country-indicator-year), which is the structure required for time-series analysis and for Power BI.</w:t>
      </w:r>
    </w:p>
    <w:p>
      <w:pPr>
        <w:pStyle w:val="ListParagraph"/>
        <w:numPr>
          <w:ilvl w:val="0"/>
          <w:numId w:val="2"/>
        </w:numPr>
        <w:spacing w:after="100" w:line="288"/>
      </w:pPr>
      <w:r>
        <w:rPr>
          <w:color w:val="3D3D3B"/>
          <w:sz w:val="22"/>
          <w:szCs w:val="22"/>
        </w:rPr>
        <w:t xml:space="preserve">Converted the Year field from text to a numeric/integer type.</w:t>
      </w:r>
    </w:p>
    <w:p>
      <w:pPr>
        <w:pStyle w:val="ListParagraph"/>
        <w:numPr>
          <w:ilvl w:val="0"/>
          <w:numId w:val="2"/>
        </w:numPr>
        <w:spacing w:after="100" w:line="288"/>
      </w:pPr>
      <w:r>
        <w:rPr>
          <w:color w:val="3D3D3B"/>
          <w:sz w:val="22"/>
          <w:szCs w:val="22"/>
        </w:rPr>
        <w:t xml:space="preserve">Checked for and confirmed there were no duplicate rows after reshaping.</w:t>
      </w:r>
    </w:p>
    <w:p>
      <w:pPr>
        <w:pStyle w:val="Heading2"/>
        <w:spacing w:after="140" w:before="300"/>
      </w:pPr>
      <w:r>
        <w:t xml:space="preserve">5.1 Handling missing data</w:t>
      </w:r>
    </w:p>
    <w:p>
      <w:pPr>
        <w:spacing w:after="180" w:line="300"/>
      </w:pPr>
      <w:r>
        <w:rPr>
          <w:color w:val="3D3D3B"/>
          <w:sz w:val="22"/>
          <w:szCs w:val="22"/>
        </w:rPr>
        <w:t xml:space="preserve">Two indicators had meaningful gaps. Secondary school enrollment was missing only 4 of 66 possible values, scattered across a few country-year combinations, most likely due to reporting lag for the most recent years – these were left as-is, since the gap was too small to materially affect the analysis.</w:t>
      </w:r>
    </w:p>
    <w:p>
      <w:pPr>
        <w:spacing w:after="180" w:line="300"/>
      </w:pPr>
      <w:r>
        <w:rPr>
          <w:color w:val="3D3D3B"/>
          <w:sz w:val="22"/>
          <w:szCs w:val="22"/>
        </w:rPr>
        <w:t xml:space="preserve">The poverty headcount ratio was missing 26 of 66 values. On closer inspection, Brazil had no poverty data at all for the entire 2014–2024 period, while Chile and Mexico had partial coverage. This is a structural gap rather than a data error: poverty rates are typically measured through periodic household surveys rather than annual reporting, so not every country publishes a figure every year. Brazil was excluded from poverty-specific analysis and visualizations as a result; all other indicators for Brazil remain complete and were used normally.</w:t>
      </w:r>
    </w:p>
    <w:p>
      <w:pPr>
        <w:spacing w:after="180" w:line="300"/>
      </w:pPr>
      <w:r>
        <w:rPr>
          <w:color w:val="3D3D3B"/>
          <w:sz w:val="22"/>
          <w:szCs w:val="22"/>
        </w:rPr>
        <w:t xml:space="preserve">No values were interpolated or estimated to fill these gaps. Where data was missing, it was left missing, and charts simply skip those points rather than implying a number that wasn't actually reported.</w:t>
      </w:r>
    </w:p>
    <w:p>
      <w:pPr>
        <w:pStyle w:val="Heading1"/>
        <w:spacing w:after="200" w:before="420"/>
      </w:pPr>
      <w:r>
        <w:t xml:space="preserve">6. Key Findings</w:t>
      </w:r>
    </w:p>
    <w:p>
      <w:pPr>
        <w:spacing w:after="180" w:line="300"/>
      </w:pPr>
      <w:r>
        <w:rPr>
          <w:color w:val="3D3D3B"/>
          <w:sz w:val="22"/>
          <w:szCs w:val="22"/>
        </w:rPr>
        <w:t xml:space="preserve">Sixteen insights were documented over the course of the exploratory analysis. They are grouped below by theme rather than listed in the order they were discovered.</w:t>
      </w:r>
    </w:p>
    <w:p>
      <w:pPr>
        <w:pStyle w:val="Heading2"/>
        <w:spacing w:after="140" w:before="300"/>
      </w:pPr>
      <w:r>
        <w:t xml:space="preserve">6.1 The 2020 crisis was region-wide and multi-dimensional</w:t>
      </w:r>
    </w:p>
    <w:p>
      <w:pPr>
        <w:pStyle w:val="ListParagraph"/>
        <w:numPr>
          <w:ilvl w:val="0"/>
          <w:numId w:val="2"/>
        </w:numPr>
        <w:spacing w:after="100" w:line="288"/>
      </w:pPr>
      <w:r>
        <w:rPr>
          <w:color w:val="3D3D3B"/>
          <w:sz w:val="22"/>
          <w:szCs w:val="22"/>
        </w:rPr>
        <w:t xml:space="preserve">All six countries saw GDP per capita fall in 2020, with declines ranging from –9.5% (Chile) to –21.7% (Brazil). Every country had recovered by 2021.</w:t>
      </w:r>
    </w:p>
    <w:p>
      <w:pPr>
        <w:pStyle w:val="ListParagraph"/>
        <w:numPr>
          <w:ilvl w:val="0"/>
          <w:numId w:val="2"/>
        </w:numPr>
        <w:spacing w:after="100" w:line="288"/>
      </w:pPr>
      <w:r>
        <w:rPr>
          <w:color w:val="3D3D3B"/>
          <w:sz w:val="22"/>
          <w:szCs w:val="22"/>
        </w:rPr>
        <w:t xml:space="preserve">Unemployment rose in all six countries between 2019 and 2020. Colombia's increase was the sharpest (+5.7 percentage points, reaching 15.98%, the highest rate in the dataset), and it also recorded the slowest recovery afterward, still the highest of the six by 2024.</w:t>
      </w:r>
    </w:p>
    <w:p>
      <w:pPr>
        <w:pStyle w:val="ListParagraph"/>
        <w:numPr>
          <w:ilvl w:val="0"/>
          <w:numId w:val="2"/>
        </w:numPr>
        <w:spacing w:after="100" w:line="288"/>
      </w:pPr>
      <w:r>
        <w:rPr>
          <w:color w:val="3D3D3B"/>
          <w:sz w:val="22"/>
          <w:szCs w:val="22"/>
        </w:rPr>
        <w:t xml:space="preserve">Life expectancy dropped in all six countries between 2019 and 2021. Mexico was hit hardest (–4.78 years), followed by Peru (–4.68) and Colombia (–4.10). Chile's decline was comparatively small (–1.45 years).</w:t>
      </w:r>
    </w:p>
    <w:p>
      <w:pPr>
        <w:pStyle w:val="ListParagraph"/>
        <w:numPr>
          <w:ilvl w:val="0"/>
          <w:numId w:val="2"/>
        </w:numPr>
        <w:spacing w:after="100" w:line="288"/>
      </w:pPr>
      <w:r>
        <w:rPr>
          <w:color w:val="3D3D3B"/>
          <w:sz w:val="22"/>
          <w:szCs w:val="22"/>
        </w:rPr>
        <w:t xml:space="preserve">Mexico's poverty rate peaked at 43.9% in 2020, the same year it recorded its sharpest life expectancy decline and one of its weakest GDP contractions, suggesting a compounding crisis rather than three separate events.</w:t>
      </w:r>
    </w:p>
    <w:p>
      <w:pPr>
        <w:pStyle w:val="ListParagraph"/>
        <w:numPr>
          <w:ilvl w:val="0"/>
          <w:numId w:val="2"/>
        </w:numPr>
        <w:spacing w:after="100" w:line="288"/>
      </w:pPr>
      <w:r>
        <w:rPr>
          <w:color w:val="3D3D3B"/>
          <w:sz w:val="22"/>
          <w:szCs w:val="22"/>
        </w:rPr>
        <w:t xml:space="preserve">Foreign direct investment also dropped sharply in 2020: Peru recorded the lowest FDI inflow in the entire dataset that year (0.46% of GDP), consistent with investor caution during the pandemic.</w:t>
      </w:r>
    </w:p>
    <w:p>
      <w:pPr>
        <w:pStyle w:val="Heading2"/>
        <w:spacing w:after="140" w:before="300"/>
      </w:pPr>
      <w:r>
        <w:t xml:space="preserve">6.2 Argentina's inflation is a separate, escalating story</w:t>
      </w:r>
    </w:p>
    <w:p>
      <w:pPr>
        <w:pStyle w:val="ListParagraph"/>
        <w:numPr>
          <w:ilvl w:val="0"/>
          <w:numId w:val="2"/>
        </w:numPr>
        <w:spacing w:after="100" w:line="288"/>
      </w:pPr>
      <w:r>
        <w:rPr>
          <w:color w:val="3D3D3B"/>
          <w:sz w:val="22"/>
          <w:szCs w:val="22"/>
        </w:rPr>
        <w:t xml:space="preserve">Argentina's inflation rose from roughly 34% (2018) to 219.9% (2024), with the increases accelerating each year rather than growing at a steady pace: +24 points in 2022, +61 in 2023, +86 in 2024.</w:t>
      </w:r>
    </w:p>
    <w:p>
      <w:pPr>
        <w:pStyle w:val="ListParagraph"/>
        <w:numPr>
          <w:ilvl w:val="0"/>
          <w:numId w:val="2"/>
        </w:numPr>
        <w:spacing w:after="100" w:line="288"/>
      </w:pPr>
      <w:r>
        <w:rPr>
          <w:color w:val="3D3D3B"/>
          <w:sz w:val="22"/>
          <w:szCs w:val="22"/>
        </w:rPr>
        <w:t xml:space="preserve">Argentina also recorded the highest GDP-per-capita volatility of the six countries (standard deviation ≈ $1,969, more than double Peru's $738), suggesting inflation is a likely driver of broader economic instability there, separate from the 2020 shock affecting the rest of the region.</w:t>
      </w:r>
    </w:p>
    <w:p>
      <w:pPr>
        <w:pStyle w:val="ListParagraph"/>
        <w:numPr>
          <w:ilvl w:val="0"/>
          <w:numId w:val="2"/>
        </w:numPr>
        <w:spacing w:after="100" w:line="288"/>
      </w:pPr>
      <w:r>
        <w:rPr>
          <w:color w:val="3D3D3B"/>
          <w:sz w:val="22"/>
          <w:szCs w:val="22"/>
        </w:rPr>
        <w:t xml:space="preserve">Excluding Argentina's outlier values, Colombia had the highest and slowest-recovering inflation among the remaining five countries (peaking at 11.74% in 2023), while Peru consistently had the lowest inflation and the fastest recovery, returning to 2.01% by 2024.</w:t>
      </w:r>
    </w:p>
    <w:p>
      <w:pPr>
        <w:pStyle w:val="Heading2"/>
        <w:spacing w:after="140" w:before="300"/>
      </w:pPr>
      <w:r>
        <w:t xml:space="preserve">6.3 Chile stands out as a consistent top performer</w:t>
      </w:r>
    </w:p>
    <w:p>
      <w:pPr>
        <w:pStyle w:val="ListParagraph"/>
        <w:numPr>
          <w:ilvl w:val="0"/>
          <w:numId w:val="2"/>
        </w:numPr>
        <w:spacing w:after="100" w:line="288"/>
      </w:pPr>
      <w:r>
        <w:rPr>
          <w:color w:val="3D3D3B"/>
          <w:sz w:val="22"/>
          <w:szCs w:val="22"/>
        </w:rPr>
        <w:t xml:space="preserve">Highest GDP per capita in the dataset ($17,081 in 2023), with a consistent gap over the other five countries throughout the full period.</w:t>
      </w:r>
    </w:p>
    <w:p>
      <w:pPr>
        <w:pStyle w:val="ListParagraph"/>
        <w:numPr>
          <w:ilvl w:val="0"/>
          <w:numId w:val="2"/>
        </w:numPr>
        <w:spacing w:after="100" w:line="288"/>
      </w:pPr>
      <w:r>
        <w:rPr>
          <w:color w:val="3D3D3B"/>
          <w:sz w:val="22"/>
          <w:szCs w:val="22"/>
        </w:rPr>
        <w:t xml:space="preserve">Highest FDI inflow recorded (9.84% of GDP in 2014).</w:t>
      </w:r>
    </w:p>
    <w:p>
      <w:pPr>
        <w:pStyle w:val="ListParagraph"/>
        <w:numPr>
          <w:ilvl w:val="0"/>
          <w:numId w:val="2"/>
        </w:numPr>
        <w:spacing w:after="100" w:line="288"/>
      </w:pPr>
      <w:r>
        <w:rPr>
          <w:color w:val="3D3D3B"/>
          <w:sz w:val="22"/>
          <w:szCs w:val="22"/>
        </w:rPr>
        <w:t xml:space="preserve">Lowest poverty rate recorded (6.5% in 2022).</w:t>
      </w:r>
    </w:p>
    <w:p>
      <w:pPr>
        <w:pStyle w:val="ListParagraph"/>
        <w:numPr>
          <w:ilvl w:val="0"/>
          <w:numId w:val="2"/>
        </w:numPr>
        <w:spacing w:after="100" w:line="288"/>
      </w:pPr>
      <w:r>
        <w:rPr>
          <w:color w:val="3D3D3B"/>
          <w:sz w:val="22"/>
          <w:szCs w:val="22"/>
        </w:rPr>
        <w:t xml:space="preserve">Smallest life expectancy decline during the 2019–2021 period (–1.45 years, versus –4.78 for Mexico), the most resilient health outcome in the region.</w:t>
      </w:r>
    </w:p>
    <w:p>
      <w:pPr>
        <w:pStyle w:val="Heading2"/>
        <w:spacing w:after="140" w:before="300"/>
      </w:pPr>
      <w:r>
        <w:t xml:space="preserve">6.4 Population growth is not a reliable predictor of economic performance</w:t>
      </w:r>
    </w:p>
    <w:p>
      <w:pPr>
        <w:pStyle w:val="ListParagraph"/>
        <w:numPr>
          <w:ilvl w:val="0"/>
          <w:numId w:val="2"/>
        </w:numPr>
        <w:spacing w:after="100" w:line="288"/>
      </w:pPr>
      <w:r>
        <w:rPr>
          <w:color w:val="3D3D3B"/>
          <w:sz w:val="22"/>
          <w:szCs w:val="22"/>
        </w:rPr>
        <w:t xml:space="preserve">Peru had both the highest population growth (13.6%, 2014–2024) and the highest GDP-per-capita growth (27.9%) over the same period – the opposite of what a simple "more people, less growth per person" assumption would predict.</w:t>
      </w:r>
    </w:p>
    <w:p>
      <w:pPr>
        <w:pStyle w:val="ListParagraph"/>
        <w:numPr>
          <w:ilvl w:val="0"/>
          <w:numId w:val="2"/>
        </w:numPr>
        <w:spacing w:after="100" w:line="288"/>
      </w:pPr>
      <w:r>
        <w:rPr>
          <w:color w:val="3D3D3B"/>
          <w:sz w:val="22"/>
          <w:szCs w:val="22"/>
        </w:rPr>
        <w:t xml:space="preserve">Brazil had the lowest population growth (5.95%) but the weakest GDP-per-capita performance (–16.0%) of the six countries. This indicates that other factors – economic policy, external shocks – played a far larger role than demographic pressure alone.</w:t>
      </w:r>
    </w:p>
    <w:p>
      <w:pPr>
        <w:pStyle w:val="Heading2"/>
        <w:spacing w:after="140" w:before="300"/>
      </w:pPr>
      <w:r>
        <w:t xml:space="preserve">6.5 Internet access grew fastest where it started lowest</w:t>
      </w:r>
    </w:p>
    <w:p>
      <w:pPr>
        <w:pStyle w:val="ListParagraph"/>
        <w:numPr>
          <w:ilvl w:val="0"/>
          <w:numId w:val="2"/>
        </w:numPr>
        <w:spacing w:after="100" w:line="288"/>
      </w:pPr>
      <w:r>
        <w:rPr>
          <w:color w:val="3D3D3B"/>
          <w:sz w:val="22"/>
          <w:szCs w:val="22"/>
        </w:rPr>
        <w:t xml:space="preserve">All six countries added 25–42 percentage points of internet penetration between 2014 and 2024. Countries starting from a lower base grew fastest (Peru +41.7pp, Mexico +38.7pp), while countries already near saturation grew more slowly (Argentina +25.0pp), a typical "catch-up" pattern.</w:t>
      </w:r>
    </w:p>
    <w:p>
      <w:pPr>
        <w:pStyle w:val="ListParagraph"/>
        <w:numPr>
          <w:ilvl w:val="0"/>
          <w:numId w:val="2"/>
        </w:numPr>
        <w:spacing w:after="100" w:line="288"/>
      </w:pPr>
      <w:r>
        <w:rPr>
          <w:color w:val="3D3D3B"/>
          <w:sz w:val="22"/>
          <w:szCs w:val="22"/>
        </w:rPr>
        <w:t xml:space="preserve">Chile reached near-universal internet access by 2024 (95.6%), the highest in the region.</w:t>
      </w:r>
    </w:p>
    <w:p>
      <w:pPr>
        <w:pStyle w:val="Heading1"/>
        <w:spacing w:after="200" w:before="420"/>
      </w:pPr>
      <w:r>
        <w:t xml:space="preserve">7. Dashboard Overview</w:t>
      </w:r>
    </w:p>
    <w:p>
      <w:pPr>
        <w:spacing w:after="180" w:line="300"/>
      </w:pPr>
      <w:r>
        <w:rPr>
          <w:color w:val="3D3D3B"/>
          <w:sz w:val="22"/>
          <w:szCs w:val="22"/>
        </w:rPr>
        <w:t xml:space="preserve">The accompanying Power BI dashboard translates the findings above into an interactive, three-page format:</w:t>
      </w:r>
    </w:p>
    <w:p>
      <w:pPr>
        <w:pStyle w:val="ListParagraph"/>
        <w:numPr>
          <w:ilvl w:val="0"/>
          <w:numId w:val="2"/>
        </w:numPr>
        <w:spacing w:after="100" w:line="288"/>
      </w:pPr>
      <w:r>
        <w:rPr>
          <w:color w:val="3D3D3B"/>
          <w:sz w:val="22"/>
          <w:szCs w:val="22"/>
        </w:rPr>
        <w:t xml:space="preserve">Page 1 – Overview: headline KPIs, GDP per capita trend, unemployment trend, and inflation trend (Argentina shown separately due to its outlier values), with country and year filters.</w:t>
      </w:r>
    </w:p>
    <w:p>
      <w:pPr>
        <w:pStyle w:val="ListParagraph"/>
        <w:numPr>
          <w:ilvl w:val="0"/>
          <w:numId w:val="2"/>
        </w:numPr>
        <w:spacing w:after="100" w:line="288"/>
      </w:pPr>
      <w:r>
        <w:rPr>
          <w:color w:val="3D3D3B"/>
          <w:sz w:val="22"/>
          <w:szCs w:val="22"/>
        </w:rPr>
        <w:t xml:space="preserve">Page 2 – Social Development: life expectancy trend, poverty rate by country (most recent available year), and secondary school enrollment trend.</w:t>
      </w:r>
    </w:p>
    <w:p>
      <w:pPr>
        <w:pStyle w:val="ListParagraph"/>
        <w:numPr>
          <w:ilvl w:val="0"/>
          <w:numId w:val="2"/>
        </w:numPr>
        <w:spacing w:after="100" w:line="288"/>
      </w:pPr>
      <w:r>
        <w:rPr>
          <w:color w:val="3D3D3B"/>
          <w:sz w:val="22"/>
          <w:szCs w:val="22"/>
        </w:rPr>
        <w:t xml:space="preserve">Page 3 – Investment, Technology &amp; Demographics: FDI trend, internet access growth, and population by country.</w:t>
      </w:r>
    </w:p>
    <w:p>
      <w:pPr>
        <w:spacing w:after="180" w:line="300"/>
      </w:pPr>
      <w:r>
        <w:rPr>
          <w:color w:val="3D3D3B"/>
          <w:sz w:val="22"/>
          <w:szCs w:val="22"/>
        </w:rPr>
        <w:t xml:space="preserve">All three pages share a consistent visual identity (color palette, typography, and layout conventions) so the dashboard reads as a single, coherent tool rather than three unrelated pages.</w:t>
      </w:r>
    </w:p>
    <w:p>
      <w:pPr>
        <w:pStyle w:val="Heading1"/>
        <w:spacing w:after="200" w:before="420"/>
      </w:pPr>
      <w:r>
        <w:t xml:space="preserve">8. Limitations</w:t>
      </w:r>
    </w:p>
    <w:p>
      <w:pPr>
        <w:pStyle w:val="ListParagraph"/>
        <w:numPr>
          <w:ilvl w:val="0"/>
          <w:numId w:val="2"/>
        </w:numPr>
        <w:spacing w:after="100" w:line="288"/>
      </w:pPr>
      <w:r>
        <w:rPr>
          <w:color w:val="3D3D3B"/>
          <w:sz w:val="22"/>
          <w:szCs w:val="22"/>
        </w:rPr>
        <w:t xml:space="preserve">This is a descriptive analysis. It identifies patterns and correlations; it does not test or claim causation.</w:t>
      </w:r>
    </w:p>
    <w:p>
      <w:pPr>
        <w:pStyle w:val="ListParagraph"/>
        <w:numPr>
          <w:ilvl w:val="0"/>
          <w:numId w:val="2"/>
        </w:numPr>
        <w:spacing w:after="100" w:line="288"/>
      </w:pPr>
      <w:r>
        <w:rPr>
          <w:color w:val="3D3D3B"/>
          <w:sz w:val="22"/>
          <w:szCs w:val="22"/>
        </w:rPr>
        <w:t xml:space="preserve">Poverty data is incomplete for three of the six countries, and Brazil has none at all, for the reasons explained in Section 5.1.</w:t>
      </w:r>
    </w:p>
    <w:p>
      <w:pPr>
        <w:pStyle w:val="ListParagraph"/>
        <w:numPr>
          <w:ilvl w:val="0"/>
          <w:numId w:val="2"/>
        </w:numPr>
        <w:spacing w:after="100" w:line="288"/>
      </w:pPr>
      <w:r>
        <w:rPr>
          <w:color w:val="3D3D3B"/>
          <w:sz w:val="22"/>
          <w:szCs w:val="22"/>
        </w:rPr>
        <w:t xml:space="preserve">Argentina's inflation data before 2018 was not available in the source dataset.</w:t>
      </w:r>
    </w:p>
    <w:p>
      <w:pPr>
        <w:pStyle w:val="ListParagraph"/>
        <w:numPr>
          <w:ilvl w:val="0"/>
          <w:numId w:val="2"/>
        </w:numPr>
        <w:spacing w:after="100" w:line="288"/>
      </w:pPr>
      <w:r>
        <w:rPr>
          <w:color w:val="3D3D3B"/>
          <w:sz w:val="22"/>
          <w:szCs w:val="22"/>
        </w:rPr>
        <w:t xml:space="preserve">The dataset ends in 2024; more recent developments are not reflected.</w:t>
      </w:r>
    </w:p>
    <w:p>
      <w:pPr>
        <w:pStyle w:val="Heading1"/>
        <w:spacing w:after="200" w:before="420"/>
      </w:pPr>
      <w:r>
        <w:t xml:space="preserve">9. Conclusion and Next Steps</w:t>
      </w:r>
    </w:p>
    <w:p>
      <w:pPr>
        <w:spacing w:after="180" w:line="300"/>
      </w:pPr>
      <w:r>
        <w:rPr>
          <w:color w:val="3D3D3B"/>
          <w:sz w:val="22"/>
          <w:szCs w:val="22"/>
        </w:rPr>
        <w:t xml:space="preserve">Across the twelve indicators examined, two findings stand out as the clearest storylines in the data: 2020 was a genuine, multi-dimensional crisis that touched every country in the sample, and Chile's economic and social performance was consistently stronger than its five regional peers across nearly every metric analyzed. A number of smaller, more specific patterns (Argentina's accelerating inflation, the weak link between population growth and GDP performance) add useful nuance beyond those two headline stories.</w:t>
      </w:r>
    </w:p>
    <w:p>
      <w:pPr>
        <w:spacing w:after="180" w:line="300"/>
      </w:pPr>
      <w:r>
        <w:rPr>
          <w:color w:val="3D3D3B"/>
          <w:sz w:val="22"/>
          <w:szCs w:val="22"/>
        </w:rPr>
        <w:t xml:space="preserve">The next steps for this project are to publish the accompanying presentation, make the analysis notebook available on GitHub for transparency and reproducibility, and, pending further discussion with the project's team lead, scope out an interactive web application phase that would let users explore these indicators directly.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963"/>
        <w:sz w:val="16"/>
        <w:szCs w:val="16"/>
      </w:rPr>
      <w:t xml:space="preserve">Page </w:t>
    </w:r>
    <w:r>
      <w:rPr>
        <w:color w:val="6B69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963"/>
        <w:sz w:val="16"/>
        <w:szCs w:val="16"/>
      </w:rPr>
      <w:t xml:space="preserve">Economic Development in Latin America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6CC" w:sz="6" w:space="6"/>
      </w:pBdr>
      <w:spacing w:after="200" w:before="400"/>
    </w:pPr>
    <w:rPr>
      <w:rFonts w:ascii="Cambria" w:cs="Cambria" w:eastAsia="Cambria" w:hAnsi="Cambria"/>
      <w:b/>
      <w:bCs/>
      <w:color w:val="0F6E56"/>
      <w:sz w:val="30"/>
      <w:szCs w:val="30"/>
    </w:rPr>
  </w:style>
  <w:style w:type="paragraph" w:styleId="Heading2">
    <w:name w:val="Heading 2"/>
    <w:basedOn w:val="Normal"/>
    <w:next w:val="Normal"/>
    <w:qFormat/>
    <w:rPr>
      <w:rFonts w:ascii="Cambria" w:cs="Cambria" w:eastAsia="Cambria" w:hAnsi="Cambria"/>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2026-08-21T07:26:41.508Z</dcterms:created>
  <dcterms:modified xsi:type="dcterms:W3CDTF">2026-08-21T07:26:41.527Z</dcterms:modified>
</cp:coreProperties>
</file>

<file path=docProps/custom.xml><?xml version="1.0" encoding="utf-8"?>
<Properties xmlns="http://schemas.openxmlformats.org/officeDocument/2006/custom-properties" xmlns:vt="http://schemas.openxmlformats.org/officeDocument/2006/docPropsVTypes"/>
</file>