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1F4E79"/>
          <w:sz w:val="40"/>
          <w:szCs w:val="40"/>
        </w:rPr>
        <w:t xml:space="preserve">Hardware Architecture &amp; Bill of Materials</w:t>
      </w:r>
    </w:p>
    <w:p>
      <w:pPr>
        <w:spacing w:after="400"/>
        <w:jc w:val="center"/>
      </w:pPr>
      <w:r>
        <w:rPr>
          <w:b/>
          <w:bCs/>
          <w:sz w:val="26"/>
          <w:szCs w:val="26"/>
        </w:rPr>
        <w:t xml:space="preserve">Intelligent Safety Gear Compliance, Health Monitoring, and Navigation System for Miners</w:t>
      </w:r>
    </w:p>
    <w:p>
      <w:pPr>
        <w:spacing w:after="400"/>
        <w:jc w:val="center"/>
      </w:pPr>
      <w:r>
        <w:rPr>
          <w:i/>
          <w:iCs/>
          <w:sz w:val="22"/>
          <w:szCs w:val="22"/>
        </w:rPr>
        <w:t xml:space="preserve">Full system architecture from worker identity and PPE tagging through the entry-chamber verification checkpoint, the wearable hub, the underground repeater chain, and the surface server/dashboard — with a consolidated component list and approximate cost estimates.</w:t>
      </w:r>
    </w:p>
    <w:p>
      <w:pPr>
        <w:jc w:val="center"/>
      </w:pPr>
      <w:r>
        <w:rPr>
          <w:sz w:val="20"/>
          <w:szCs w:val="20"/>
        </w:rPr>
        <w:t xml:space="preserve">Prepared for: Manas | Final-Year B.E. Mechatronics Engineering, TCET Mumbai</w:t>
      </w:r>
    </w:p>
    <w:p>
      <w:pPr>
        <w:jc w:val="center"/>
      </w:pPr>
      <w:r>
        <w:rPr>
          <w:color w:val="666666"/>
          <w:sz w:val="20"/>
          <w:szCs w:val="20"/>
        </w:rPr>
        <w:t xml:space="preserve">Compiled July 2026</w:t>
      </w:r>
    </w:p>
    <w:p>
      <w:r>
        <w:br w:type="page"/>
      </w:r>
    </w:p>
    <w:p>
      <w:pPr>
        <w:pStyle w:val="Heading1"/>
        <w:spacing w:after="160" w:before="360"/>
      </w:pPr>
      <w:r>
        <w:t xml:space="preserve">1. System Overview</w:t>
      </w:r>
    </w:p>
    <w:p>
      <w:pPr>
        <w:spacing w:after="140"/>
      </w:pPr>
      <w:r>
        <w:t xml:space="preserve">The system is organized into seven functional layers, from worker/PPE identity at the point of issuance through to the supervisor-facing dashboard. Data flows one direction (worker to surface) for telemetry and alerts, and a lighter configuration/acknowledgement flow runs the other way (surface to chamber/hub) for shift assignment and remote commands.</w:t>
      </w:r>
    </w:p>
    <w:p>
      <w:pPr>
        <w:spacing w:after="20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57600"/>
                    </a:xfrm>
                    <a:prstGeom prst="rect">
                      <a:avLst/>
                    </a:prstGeom>
                  </pic:spPr>
                </pic:pic>
              </a:graphicData>
            </a:graphic>
          </wp:inline>
        </w:drawing>
      </w:r>
    </w:p>
    <w:p>
      <w:pPr>
        <w:spacing w:after="140"/>
      </w:pPr>
      <w:r>
        <w:t xml:space="preserve">The diagram above shows the full chain. Each layer is detailed in Section 2, with its own component list and design logic.</w:t>
      </w:r>
    </w:p>
    <w:p>
      <w:pPr>
        <w:pStyle w:val="Heading1"/>
        <w:spacing w:after="160" w:before="360"/>
      </w:pPr>
      <w:r>
        <w:t xml:space="preserve">2. Layer-by-Layer Architecture</w:t>
      </w:r>
    </w:p>
    <w:p>
      <w:pPr>
        <w:pStyle w:val="Heading2"/>
        <w:spacing w:after="120" w:before="260"/>
      </w:pPr>
      <w:r>
        <w:t xml:space="preserve">2.1 Layer 1 — Worker and PPE Identity</w:t>
      </w:r>
    </w:p>
    <w:p>
      <w:pPr>
        <w:spacing w:after="140"/>
      </w:pPr>
      <w:r>
        <w:t xml:space="preserve">Two separate tag types exist at this layer, deliberately kept simple and low-cost since they are the most numerous and most exposed to loss/damage:</w:t>
      </w:r>
    </w:p>
    <w:p>
      <w:pPr>
        <w:pStyle w:val="ListParagraph"/>
        <w:numPr>
          <w:ilvl w:val="0"/>
          <w:numId w:val="1"/>
        </w:numPr>
        <w:spacing w:after="80"/>
      </w:pPr>
      <w:r>
        <w:t xml:space="preserve">Worker ID badge: passive NFC/HF tag (13.56 MHz, NTAG213/215 or Mifare Classic) embedded in a wristband or badge. Carries only a unique Worker ID — all personal, medical, and shift data is stored server-side against that ID, so a lost or damaged badge does not expose sensitive data.</w:t>
      </w:r>
    </w:p>
    <w:p>
      <w:pPr>
        <w:pStyle w:val="ListParagraph"/>
        <w:numPr>
          <w:ilvl w:val="0"/>
          <w:numId w:val="1"/>
        </w:numPr>
        <w:spacing w:after="80"/>
      </w:pPr>
      <w:r>
        <w:t xml:space="preserve">PPE kit tags: passive UHF RFID tags (860–960 MHz, e.g. Alien Higgs-3 inlay) embedded in helmet shell, vest lining, glove cuffs, and boots. UHF is chosen over NFC/HF specifically because the entry chamber must read several tags at once across a portal gate — HF read range is too short for a walk-through checkpoint.</w:t>
      </w:r>
    </w:p>
    <w:p>
      <w:pPr>
        <w:pStyle w:val="Heading2"/>
        <w:spacing w:after="120" w:before="260"/>
      </w:pPr>
      <w:r>
        <w:t xml:space="preserve">2.2 Layer 2 — Entry Chamber (Assignment + Verification)</w:t>
      </w:r>
    </w:p>
    <w:p>
      <w:pPr>
        <w:spacing w:after="140"/>
      </w:pPr>
      <w:r>
        <w:t xml:space="preserve">The chamber performs two distinct functions that should not be conflated in the design: association (matching a PPE tag set to a Worker ID) and verification (confirming the items are actually worn, not just present). The logic sequence is:</w:t>
      </w:r>
    </w:p>
    <w:p>
      <w:pPr>
        <w:pStyle w:val="ListParagraph"/>
        <w:numPr>
          <w:ilvl w:val="0"/>
          <w:numId w:val="1"/>
        </w:numPr>
        <w:spacing w:after="80"/>
      </w:pPr>
      <w:r>
        <w:t xml:space="preserve">1. Worker's NFC badge is read by a fixed reader at the chamber entrance, opening a short (2–3 second) assignment window.</w:t>
      </w:r>
    </w:p>
    <w:p>
      <w:pPr>
        <w:pStyle w:val="ListParagraph"/>
        <w:numPr>
          <w:ilvl w:val="0"/>
          <w:numId w:val="1"/>
        </w:numPr>
        <w:spacing w:after="80"/>
      </w:pPr>
      <w:r>
        <w:t xml:space="preserve">2. A UHF RFID portal (multi-antenna gate reader, similar to retail anti-theft gates) scans all PPE tags present in that window.</w:t>
      </w:r>
    </w:p>
    <w:p>
      <w:pPr>
        <w:pStyle w:val="ListParagraph"/>
        <w:numPr>
          <w:ilvl w:val="0"/>
          <w:numId w:val="1"/>
        </w:numPr>
        <w:spacing w:after="80"/>
      </w:pPr>
      <w:r>
        <w:t xml:space="preserve">3. The server links the detected PPE tag set to that Worker ID and timestamps the assignment for the shift.</w:t>
      </w:r>
    </w:p>
    <w:p>
      <w:pPr>
        <w:pStyle w:val="ListParagraph"/>
        <w:numPr>
          <w:ilvl w:val="0"/>
          <w:numId w:val="1"/>
        </w:numPr>
        <w:spacing w:after="80"/>
      </w:pPr>
      <w:r>
        <w:t xml:space="preserve">4. An AI camera at the chamber runs a YOLO-based PPE-detection model on the worker's image, classifying which items are visibly worn (helmet, vest, gloves, boots).</w:t>
      </w:r>
    </w:p>
    <w:p>
      <w:pPr>
        <w:pStyle w:val="ListParagraph"/>
        <w:numPr>
          <w:ilvl w:val="0"/>
          <w:numId w:val="1"/>
        </w:numPr>
        <w:spacing w:after="80"/>
      </w:pPr>
      <w:r>
        <w:t xml:space="preserve">5. If the RFID-detected tag set and the camera's visual classification agree, the gate unlocks. If they disagree (e.g. a helmet tag is detected but the camera does not see a worn helmet — meaning it may be in a bag), the gate holds and a supervisor is alerted.</w:t>
      </w:r>
    </w:p>
    <w:p>
      <w:pPr>
        <w:pStyle w:val="ListParagraph"/>
        <w:numPr>
          <w:ilvl w:val="0"/>
          <w:numId w:val="1"/>
        </w:numPr>
        <w:spacing w:after="80"/>
      </w:pPr>
      <w:r>
        <w:t xml:space="preserve">6. If lighting or camera line-of-sight is poor, the system falls back to RFID-only assignment, but logs it as "unverified" rather than camera-confirmed, preserving audit-trail accuracy.</w:t>
      </w:r>
    </w:p>
    <w:p>
      <w:pPr>
        <w:pStyle w:val="ListParagraph"/>
        <w:numPr>
          <w:ilvl w:val="0"/>
          <w:numId w:val="1"/>
        </w:numPr>
        <w:spacing w:after="80"/>
      </w:pPr>
      <w:r>
        <w:t xml:space="preserve">7. For repeat entries within the same shift (lunch break, tool runs), the last verified PPE set is cached against the Worker ID and full re-verification is skipped unless the tag set changes.</w:t>
      </w:r>
    </w:p>
    <w:p>
      <w:pPr>
        <w:pStyle w:val="Heading2"/>
        <w:spacing w:after="120" w:before="260"/>
      </w:pPr>
      <w:r>
        <w:t xml:space="preserve">2.3 Layer 3 — Worker Wearable Hub</w:t>
      </w:r>
    </w:p>
    <w:p>
      <w:pPr>
        <w:spacing w:after="140"/>
      </w:pPr>
      <w:r>
        <w:t xml:space="preserve">The hub is the single most important component in the system: it must hold the worker's session identity, continuously confirm PPE is worn, stream vitals, and report position, all on one battery for a full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1F4E79" w:val="clear"/>
            <w:tcMar>
              <w:top w:type="dxa" w:w="60"/>
              <w:left w:type="dxa" w:w="90"/>
              <w:bottom w:type="dxa" w:w="60"/>
              <w:right w:type="dxa" w:w="90"/>
            </w:tcMar>
          </w:tcPr>
          <w:p>
            <w:r>
              <w:rPr>
                <w:b/>
                <w:bCs/>
                <w:color w:val="FFFFFF"/>
                <w:sz w:val="18"/>
                <w:szCs w:val="18"/>
              </w:rPr>
              <w:t xml:space="preserve">Function</w:t>
            </w:r>
          </w:p>
        </w:tc>
        <w:tc>
          <w:tcPr>
            <w:tcW w:type="dxa" w:w="3200"/>
            <w:shd w:fill="1F4E79" w:val="clear"/>
            <w:tcMar>
              <w:top w:type="dxa" w:w="60"/>
              <w:left w:type="dxa" w:w="90"/>
              <w:bottom w:type="dxa" w:w="60"/>
              <w:right w:type="dxa" w:w="90"/>
            </w:tcMar>
          </w:tcPr>
          <w:p>
            <w:r>
              <w:rPr>
                <w:b/>
                <w:bCs/>
                <w:color w:val="FFFFFF"/>
                <w:sz w:val="18"/>
                <w:szCs w:val="18"/>
              </w:rPr>
              <w:t xml:space="preserve">Component</w:t>
            </w:r>
          </w:p>
        </w:tc>
        <w:tc>
          <w:tcPr>
            <w:tcW w:type="dxa" w:w="4160"/>
            <w:shd w:fill="1F4E79" w:val="clear"/>
            <w:tcMar>
              <w:top w:type="dxa" w:w="60"/>
              <w:left w:type="dxa" w:w="90"/>
              <w:bottom w:type="dxa" w:w="60"/>
              <w:right w:type="dxa" w:w="90"/>
            </w:tcMar>
          </w:tcPr>
          <w:p>
            <w:r>
              <w:rPr>
                <w:b/>
                <w:bCs/>
                <w:color w:val="FFFFFF"/>
                <w:sz w:val="18"/>
                <w:szCs w:val="18"/>
              </w:rPr>
              <w:t xml:space="preserve">Purpose</w:t>
            </w:r>
          </w:p>
        </w:tc>
      </w:tr>
      <w:tr>
        <w:tc>
          <w:tcPr>
            <w:tcW w:type="dxa" w:w="2000"/>
            <w:tcMar>
              <w:top w:type="dxa" w:w="60"/>
              <w:left w:type="dxa" w:w="90"/>
              <w:bottom w:type="dxa" w:w="60"/>
              <w:right w:type="dxa" w:w="90"/>
            </w:tcMar>
          </w:tcPr>
          <w:p>
            <w:r>
              <w:rPr>
                <w:b w:val="false"/>
                <w:bCs w:val="false"/>
                <w:sz w:val="18"/>
                <w:szCs w:val="18"/>
              </w:rPr>
              <w:t xml:space="preserve">Controller</w:t>
            </w:r>
          </w:p>
        </w:tc>
        <w:tc>
          <w:tcPr>
            <w:tcW w:type="dxa" w:w="3200"/>
            <w:tcMar>
              <w:top w:type="dxa" w:w="60"/>
              <w:left w:type="dxa" w:w="90"/>
              <w:bottom w:type="dxa" w:w="60"/>
              <w:right w:type="dxa" w:w="90"/>
            </w:tcMar>
          </w:tcPr>
          <w:p>
            <w:r>
              <w:rPr>
                <w:b w:val="false"/>
                <w:bCs w:val="false"/>
                <w:sz w:val="18"/>
                <w:szCs w:val="18"/>
              </w:rPr>
              <w:t xml:space="preserve">ESP32 or ESP32-S3</w:t>
            </w:r>
          </w:p>
        </w:tc>
        <w:tc>
          <w:tcPr>
            <w:tcW w:type="dxa" w:w="4160"/>
            <w:tcMar>
              <w:top w:type="dxa" w:w="60"/>
              <w:left w:type="dxa" w:w="90"/>
              <w:bottom w:type="dxa" w:w="60"/>
              <w:right w:type="dxa" w:w="90"/>
            </w:tcMar>
          </w:tcPr>
          <w:p>
            <w:r>
              <w:rPr>
                <w:b w:val="false"/>
                <w:bCs w:val="false"/>
                <w:sz w:val="18"/>
                <w:szCs w:val="18"/>
              </w:rPr>
              <w:t xml:space="preserve">Central MCU; dual connectivity, deep-sleep support for battery life</w:t>
            </w:r>
          </w:p>
        </w:tc>
      </w:tr>
      <w:tr>
        <w:tc>
          <w:tcPr>
            <w:tcW w:type="dxa" w:w="2000"/>
            <w:shd w:fill="DCE6F1" w:val="clear"/>
            <w:tcMar>
              <w:top w:type="dxa" w:w="60"/>
              <w:left w:type="dxa" w:w="90"/>
              <w:bottom w:type="dxa" w:w="60"/>
              <w:right w:type="dxa" w:w="90"/>
            </w:tcMar>
          </w:tcPr>
          <w:p>
            <w:r>
              <w:rPr>
                <w:b w:val="false"/>
                <w:bCs w:val="false"/>
                <w:sz w:val="18"/>
                <w:szCs w:val="18"/>
              </w:rPr>
              <w:t xml:space="preserve">Positioning</w:t>
            </w:r>
          </w:p>
        </w:tc>
        <w:tc>
          <w:tcPr>
            <w:tcW w:type="dxa" w:w="3200"/>
            <w:shd w:fill="DCE6F1" w:val="clear"/>
            <w:tcMar>
              <w:top w:type="dxa" w:w="60"/>
              <w:left w:type="dxa" w:w="90"/>
              <w:bottom w:type="dxa" w:w="60"/>
              <w:right w:type="dxa" w:w="90"/>
            </w:tcMar>
          </w:tcPr>
          <w:p>
            <w:r>
              <w:rPr>
                <w:b w:val="false"/>
                <w:bCs w:val="false"/>
                <w:sz w:val="18"/>
                <w:szCs w:val="18"/>
              </w:rPr>
              <w:t xml:space="preserve">UWB module (Qorvo/DecaWave DW3000)</w:t>
            </w:r>
          </w:p>
        </w:tc>
        <w:tc>
          <w:tcPr>
            <w:tcW w:type="dxa" w:w="4160"/>
            <w:shd w:fill="DCE6F1" w:val="clear"/>
            <w:tcMar>
              <w:top w:type="dxa" w:w="60"/>
              <w:left w:type="dxa" w:w="90"/>
              <w:bottom w:type="dxa" w:w="60"/>
              <w:right w:type="dxa" w:w="90"/>
            </w:tcMar>
          </w:tcPr>
          <w:p>
            <w:r>
              <w:rPr>
                <w:b w:val="false"/>
                <w:bCs w:val="false"/>
                <w:sz w:val="18"/>
                <w:szCs w:val="18"/>
              </w:rPr>
              <w:t xml:space="preserve">Sub-metre ranging against fixed underground anchors</w:t>
            </w:r>
          </w:p>
        </w:tc>
      </w:tr>
      <w:tr>
        <w:tc>
          <w:tcPr>
            <w:tcW w:type="dxa" w:w="2000"/>
            <w:tcMar>
              <w:top w:type="dxa" w:w="60"/>
              <w:left w:type="dxa" w:w="90"/>
              <w:bottom w:type="dxa" w:w="60"/>
              <w:right w:type="dxa" w:w="90"/>
            </w:tcMar>
          </w:tcPr>
          <w:p>
            <w:r>
              <w:rPr>
                <w:b w:val="false"/>
                <w:bCs w:val="false"/>
                <w:sz w:val="18"/>
                <w:szCs w:val="18"/>
              </w:rPr>
              <w:t xml:space="preserve">Motion / fall</w:t>
            </w:r>
          </w:p>
        </w:tc>
        <w:tc>
          <w:tcPr>
            <w:tcW w:type="dxa" w:w="3200"/>
            <w:tcMar>
              <w:top w:type="dxa" w:w="60"/>
              <w:left w:type="dxa" w:w="90"/>
              <w:bottom w:type="dxa" w:w="60"/>
              <w:right w:type="dxa" w:w="90"/>
            </w:tcMar>
          </w:tcPr>
          <w:p>
            <w:r>
              <w:rPr>
                <w:b w:val="false"/>
                <w:bCs w:val="false"/>
                <w:sz w:val="18"/>
                <w:szCs w:val="18"/>
              </w:rPr>
              <w:t xml:space="preserve">MPU6050 (accelerometer + gyroscope)</w:t>
            </w:r>
          </w:p>
        </w:tc>
        <w:tc>
          <w:tcPr>
            <w:tcW w:type="dxa" w:w="4160"/>
            <w:tcMar>
              <w:top w:type="dxa" w:w="60"/>
              <w:left w:type="dxa" w:w="90"/>
              <w:bottom w:type="dxa" w:w="60"/>
              <w:right w:type="dxa" w:w="90"/>
            </w:tcMar>
          </w:tcPr>
          <w:p>
            <w:r>
              <w:rPr>
                <w:b w:val="false"/>
                <w:bCs w:val="false"/>
                <w:sz w:val="18"/>
                <w:szCs w:val="18"/>
              </w:rPr>
              <w:t xml:space="preserve">Fall/impact detection, feeds dead-reckoning between UWB fixes</w:t>
            </w:r>
          </w:p>
        </w:tc>
      </w:tr>
      <w:tr>
        <w:tc>
          <w:tcPr>
            <w:tcW w:type="dxa" w:w="2000"/>
            <w:shd w:fill="DCE6F1" w:val="clear"/>
            <w:tcMar>
              <w:top w:type="dxa" w:w="60"/>
              <w:left w:type="dxa" w:w="90"/>
              <w:bottom w:type="dxa" w:w="60"/>
              <w:right w:type="dxa" w:w="90"/>
            </w:tcMar>
          </w:tcPr>
          <w:p>
            <w:r>
              <w:rPr>
                <w:b w:val="false"/>
                <w:bCs w:val="false"/>
                <w:sz w:val="18"/>
                <w:szCs w:val="18"/>
              </w:rPr>
              <w:t xml:space="preserve">Heart rate / SpO2</w:t>
            </w:r>
          </w:p>
        </w:tc>
        <w:tc>
          <w:tcPr>
            <w:tcW w:type="dxa" w:w="3200"/>
            <w:shd w:fill="DCE6F1" w:val="clear"/>
            <w:tcMar>
              <w:top w:type="dxa" w:w="60"/>
              <w:left w:type="dxa" w:w="90"/>
              <w:bottom w:type="dxa" w:w="60"/>
              <w:right w:type="dxa" w:w="90"/>
            </w:tcMar>
          </w:tcPr>
          <w:p>
            <w:r>
              <w:rPr>
                <w:b w:val="false"/>
                <w:bCs w:val="false"/>
                <w:sz w:val="18"/>
                <w:szCs w:val="18"/>
              </w:rPr>
              <w:t xml:space="preserve">MAX30102</w:t>
            </w:r>
          </w:p>
        </w:tc>
        <w:tc>
          <w:tcPr>
            <w:tcW w:type="dxa" w:w="4160"/>
            <w:shd w:fill="DCE6F1" w:val="clear"/>
            <w:tcMar>
              <w:top w:type="dxa" w:w="60"/>
              <w:left w:type="dxa" w:w="90"/>
              <w:bottom w:type="dxa" w:w="60"/>
              <w:right w:type="dxa" w:w="90"/>
            </w:tcMar>
          </w:tcPr>
          <w:p>
            <w:r>
              <w:rPr>
                <w:b w:val="false"/>
                <w:bCs w:val="false"/>
                <w:sz w:val="18"/>
                <w:szCs w:val="18"/>
              </w:rPr>
              <w:t xml:space="preserve">Continuous PPG-based vitals</w:t>
            </w:r>
          </w:p>
        </w:tc>
      </w:tr>
      <w:tr>
        <w:tc>
          <w:tcPr>
            <w:tcW w:type="dxa" w:w="2000"/>
            <w:tcMar>
              <w:top w:type="dxa" w:w="60"/>
              <w:left w:type="dxa" w:w="90"/>
              <w:bottom w:type="dxa" w:w="60"/>
              <w:right w:type="dxa" w:w="90"/>
            </w:tcMar>
          </w:tcPr>
          <w:p>
            <w:r>
              <w:rPr>
                <w:b w:val="false"/>
                <w:bCs w:val="false"/>
                <w:sz w:val="18"/>
                <w:szCs w:val="18"/>
              </w:rPr>
              <w:t xml:space="preserve">Body temperature</w:t>
            </w:r>
          </w:p>
        </w:tc>
        <w:tc>
          <w:tcPr>
            <w:tcW w:type="dxa" w:w="3200"/>
            <w:tcMar>
              <w:top w:type="dxa" w:w="60"/>
              <w:left w:type="dxa" w:w="90"/>
              <w:bottom w:type="dxa" w:w="60"/>
              <w:right w:type="dxa" w:w="90"/>
            </w:tcMar>
          </w:tcPr>
          <w:p>
            <w:r>
              <w:rPr>
                <w:b w:val="false"/>
                <w:bCs w:val="false"/>
                <w:sz w:val="18"/>
                <w:szCs w:val="18"/>
              </w:rPr>
              <w:t xml:space="preserve">MLX90614</w:t>
            </w:r>
          </w:p>
        </w:tc>
        <w:tc>
          <w:tcPr>
            <w:tcW w:type="dxa" w:w="4160"/>
            <w:tcMar>
              <w:top w:type="dxa" w:w="60"/>
              <w:left w:type="dxa" w:w="90"/>
              <w:bottom w:type="dxa" w:w="60"/>
              <w:right w:type="dxa" w:w="90"/>
            </w:tcMar>
          </w:tcPr>
          <w:p>
            <w:r>
              <w:rPr>
                <w:b w:val="false"/>
                <w:bCs w:val="false"/>
                <w:sz w:val="18"/>
                <w:szCs w:val="18"/>
              </w:rPr>
              <w:t xml:space="preserve">Non-contact infrared temperature, works through minor clothing gaps</w:t>
            </w:r>
          </w:p>
        </w:tc>
      </w:tr>
      <w:tr>
        <w:tc>
          <w:tcPr>
            <w:tcW w:type="dxa" w:w="2000"/>
            <w:shd w:fill="DCE6F1" w:val="clear"/>
            <w:tcMar>
              <w:top w:type="dxa" w:w="60"/>
              <w:left w:type="dxa" w:w="90"/>
              <w:bottom w:type="dxa" w:w="60"/>
              <w:right w:type="dxa" w:w="90"/>
            </w:tcMar>
          </w:tcPr>
          <w:p>
            <w:r>
              <w:rPr>
                <w:b w:val="false"/>
                <w:bCs w:val="false"/>
                <w:sz w:val="18"/>
                <w:szCs w:val="18"/>
              </w:rPr>
              <w:t xml:space="preserve">PPE proximity</w:t>
            </w:r>
          </w:p>
        </w:tc>
        <w:tc>
          <w:tcPr>
            <w:tcW w:type="dxa" w:w="3200"/>
            <w:shd w:fill="DCE6F1" w:val="clear"/>
            <w:tcMar>
              <w:top w:type="dxa" w:w="60"/>
              <w:left w:type="dxa" w:w="90"/>
              <w:bottom w:type="dxa" w:w="60"/>
              <w:right w:type="dxa" w:w="90"/>
            </w:tcMar>
          </w:tcPr>
          <w:p>
            <w:r>
              <w:rPr>
                <w:b w:val="false"/>
                <w:bCs w:val="false"/>
                <w:sz w:val="18"/>
                <w:szCs w:val="18"/>
              </w:rPr>
              <w:t xml:space="preserve">BLE 5.0 radio (on-chip with ESP32)</w:t>
            </w:r>
          </w:p>
        </w:tc>
        <w:tc>
          <w:tcPr>
            <w:tcW w:type="dxa" w:w="4160"/>
            <w:shd w:fill="DCE6F1" w:val="clear"/>
            <w:tcMar>
              <w:top w:type="dxa" w:w="60"/>
              <w:left w:type="dxa" w:w="90"/>
              <w:bottom w:type="dxa" w:w="60"/>
              <w:right w:type="dxa" w:w="90"/>
            </w:tcMar>
          </w:tcPr>
          <w:p>
            <w:r>
              <w:rPr>
                <w:b w:val="false"/>
                <w:bCs w:val="false"/>
                <w:sz w:val="18"/>
                <w:szCs w:val="18"/>
              </w:rPr>
              <w:t xml:space="preserve">Scans RSSI of assigned PPE kit tags to confirm continued wear</w:t>
            </w:r>
          </w:p>
        </w:tc>
      </w:tr>
      <w:tr>
        <w:tc>
          <w:tcPr>
            <w:tcW w:type="dxa" w:w="2000"/>
            <w:tcMar>
              <w:top w:type="dxa" w:w="60"/>
              <w:left w:type="dxa" w:w="90"/>
              <w:bottom w:type="dxa" w:w="60"/>
              <w:right w:type="dxa" w:w="90"/>
            </w:tcMar>
          </w:tcPr>
          <w:p>
            <w:r>
              <w:rPr>
                <w:b w:val="false"/>
                <w:bCs w:val="false"/>
                <w:sz w:val="18"/>
                <w:szCs w:val="18"/>
              </w:rPr>
              <w:t xml:space="preserve">Helmet strap sensor</w:t>
            </w:r>
          </w:p>
        </w:tc>
        <w:tc>
          <w:tcPr>
            <w:tcW w:type="dxa" w:w="3200"/>
            <w:tcMar>
              <w:top w:type="dxa" w:w="60"/>
              <w:left w:type="dxa" w:w="90"/>
              <w:bottom w:type="dxa" w:w="60"/>
              <w:right w:type="dxa" w:w="90"/>
            </w:tcMar>
          </w:tcPr>
          <w:p>
            <w:r>
              <w:rPr>
                <w:b w:val="false"/>
                <w:bCs w:val="false"/>
                <w:sz w:val="18"/>
                <w:szCs w:val="18"/>
              </w:rPr>
              <w:t xml:space="preserve">Simple microswitch on chin strap</w:t>
            </w:r>
          </w:p>
        </w:tc>
        <w:tc>
          <w:tcPr>
            <w:tcW w:type="dxa" w:w="4160"/>
            <w:tcMar>
              <w:top w:type="dxa" w:w="60"/>
              <w:left w:type="dxa" w:w="90"/>
              <w:bottom w:type="dxa" w:w="60"/>
              <w:right w:type="dxa" w:w="90"/>
            </w:tcMar>
          </w:tcPr>
          <w:p>
            <w:r>
              <w:rPr>
                <w:b w:val="false"/>
                <w:bCs w:val="false"/>
                <w:sz w:val="18"/>
                <w:szCs w:val="18"/>
              </w:rPr>
              <w:t xml:space="preserve">Direct mechanical confirmation the helmet is fastened</w:t>
            </w:r>
          </w:p>
        </w:tc>
      </w:tr>
      <w:tr>
        <w:tc>
          <w:tcPr>
            <w:tcW w:type="dxa" w:w="2000"/>
            <w:shd w:fill="DCE6F1" w:val="clear"/>
            <w:tcMar>
              <w:top w:type="dxa" w:w="60"/>
              <w:left w:type="dxa" w:w="90"/>
              <w:bottom w:type="dxa" w:w="60"/>
              <w:right w:type="dxa" w:w="90"/>
            </w:tcMar>
          </w:tcPr>
          <w:p>
            <w:r>
              <w:rPr>
                <w:b w:val="false"/>
                <w:bCs w:val="false"/>
                <w:sz w:val="18"/>
                <w:szCs w:val="18"/>
              </w:rPr>
              <w:t xml:space="preserve">Backhaul radio</w:t>
            </w:r>
          </w:p>
        </w:tc>
        <w:tc>
          <w:tcPr>
            <w:tcW w:type="dxa" w:w="3200"/>
            <w:shd w:fill="DCE6F1" w:val="clear"/>
            <w:tcMar>
              <w:top w:type="dxa" w:w="60"/>
              <w:left w:type="dxa" w:w="90"/>
              <w:bottom w:type="dxa" w:w="60"/>
              <w:right w:type="dxa" w:w="90"/>
            </w:tcMar>
          </w:tcPr>
          <w:p>
            <w:r>
              <w:rPr>
                <w:b w:val="false"/>
                <w:bCs w:val="false"/>
                <w:sz w:val="18"/>
                <w:szCs w:val="18"/>
              </w:rPr>
              <w:t xml:space="preserve">LoRa module (SX1262)</w:t>
            </w:r>
          </w:p>
        </w:tc>
        <w:tc>
          <w:tcPr>
            <w:tcW w:type="dxa" w:w="4160"/>
            <w:shd w:fill="DCE6F1" w:val="clear"/>
            <w:tcMar>
              <w:top w:type="dxa" w:w="60"/>
              <w:left w:type="dxa" w:w="90"/>
              <w:bottom w:type="dxa" w:w="60"/>
              <w:right w:type="dxa" w:w="90"/>
            </w:tcMar>
          </w:tcPr>
          <w:p>
            <w:r>
              <w:rPr>
                <w:b w:val="false"/>
                <w:bCs w:val="false"/>
                <w:sz w:val="18"/>
                <w:szCs w:val="18"/>
              </w:rPr>
              <w:t xml:space="preserve">Long-range, low-power uplink to nearest repeater for alerts/telemetry</w:t>
            </w:r>
          </w:p>
        </w:tc>
      </w:tr>
      <w:tr>
        <w:tc>
          <w:tcPr>
            <w:tcW w:type="dxa" w:w="2000"/>
            <w:tcMar>
              <w:top w:type="dxa" w:w="60"/>
              <w:left w:type="dxa" w:w="90"/>
              <w:bottom w:type="dxa" w:w="60"/>
              <w:right w:type="dxa" w:w="90"/>
            </w:tcMar>
          </w:tcPr>
          <w:p>
            <w:r>
              <w:rPr>
                <w:b w:val="false"/>
                <w:bCs w:val="false"/>
                <w:sz w:val="18"/>
                <w:szCs w:val="18"/>
              </w:rPr>
              <w:t xml:space="preserve">ID reader</w:t>
            </w:r>
          </w:p>
        </w:tc>
        <w:tc>
          <w:tcPr>
            <w:tcW w:type="dxa" w:w="3200"/>
            <w:tcMar>
              <w:top w:type="dxa" w:w="60"/>
              <w:left w:type="dxa" w:w="90"/>
              <w:bottom w:type="dxa" w:w="60"/>
              <w:right w:type="dxa" w:w="90"/>
            </w:tcMar>
          </w:tcPr>
          <w:p>
            <w:r>
              <w:rPr>
                <w:b w:val="false"/>
                <w:bCs w:val="false"/>
                <w:sz w:val="18"/>
                <w:szCs w:val="18"/>
              </w:rPr>
              <w:t xml:space="preserve">NFC reader IC (PN532)</w:t>
            </w:r>
          </w:p>
        </w:tc>
        <w:tc>
          <w:tcPr>
            <w:tcW w:type="dxa" w:w="4160"/>
            <w:tcMar>
              <w:top w:type="dxa" w:w="60"/>
              <w:left w:type="dxa" w:w="90"/>
              <w:bottom w:type="dxa" w:w="60"/>
              <w:right w:type="dxa" w:w="90"/>
            </w:tcMar>
          </w:tcPr>
          <w:p>
            <w:r>
              <w:rPr>
                <w:b w:val="false"/>
                <w:bCs w:val="false"/>
                <w:sz w:val="18"/>
                <w:szCs w:val="18"/>
              </w:rPr>
              <w:t xml:space="preserve">Reads worker badge at shift start to bind session to the hub</w:t>
            </w:r>
          </w:p>
        </w:tc>
      </w:tr>
      <w:tr>
        <w:tc>
          <w:tcPr>
            <w:tcW w:type="dxa" w:w="2000"/>
            <w:shd w:fill="DCE6F1" w:val="clear"/>
            <w:tcMar>
              <w:top w:type="dxa" w:w="60"/>
              <w:left w:type="dxa" w:w="90"/>
              <w:bottom w:type="dxa" w:w="60"/>
              <w:right w:type="dxa" w:w="90"/>
            </w:tcMar>
          </w:tcPr>
          <w:p>
            <w:r>
              <w:rPr>
                <w:b w:val="false"/>
                <w:bCs w:val="false"/>
                <w:sz w:val="18"/>
                <w:szCs w:val="18"/>
              </w:rPr>
              <w:t xml:space="preserve">Manual escalation</w:t>
            </w:r>
          </w:p>
        </w:tc>
        <w:tc>
          <w:tcPr>
            <w:tcW w:type="dxa" w:w="3200"/>
            <w:shd w:fill="DCE6F1" w:val="clear"/>
            <w:tcMar>
              <w:top w:type="dxa" w:w="60"/>
              <w:left w:type="dxa" w:w="90"/>
              <w:bottom w:type="dxa" w:w="60"/>
              <w:right w:type="dxa" w:w="90"/>
            </w:tcMar>
          </w:tcPr>
          <w:p>
            <w:r>
              <w:rPr>
                <w:b w:val="false"/>
                <w:bCs w:val="false"/>
                <w:sz w:val="18"/>
                <w:szCs w:val="18"/>
              </w:rPr>
              <w:t xml:space="preserve">SOS push-button</w:t>
            </w:r>
          </w:p>
        </w:tc>
        <w:tc>
          <w:tcPr>
            <w:tcW w:type="dxa" w:w="4160"/>
            <w:shd w:fill="DCE6F1" w:val="clear"/>
            <w:tcMar>
              <w:top w:type="dxa" w:w="60"/>
              <w:left w:type="dxa" w:w="90"/>
              <w:bottom w:type="dxa" w:w="60"/>
              <w:right w:type="dxa" w:w="90"/>
            </w:tcMar>
          </w:tcPr>
          <w:p>
            <w:r>
              <w:rPr>
                <w:b w:val="false"/>
                <w:bCs w:val="false"/>
                <w:sz w:val="18"/>
                <w:szCs w:val="18"/>
              </w:rPr>
              <w:t xml:space="preserve">Direct emergency trigger, bypasses automated rules</w:t>
            </w:r>
          </w:p>
        </w:tc>
      </w:tr>
      <w:tr>
        <w:tc>
          <w:tcPr>
            <w:tcW w:type="dxa" w:w="2000"/>
            <w:tcMar>
              <w:top w:type="dxa" w:w="60"/>
              <w:left w:type="dxa" w:w="90"/>
              <w:bottom w:type="dxa" w:w="60"/>
              <w:right w:type="dxa" w:w="90"/>
            </w:tcMar>
          </w:tcPr>
          <w:p>
            <w:r>
              <w:rPr>
                <w:b w:val="false"/>
                <w:bCs w:val="false"/>
                <w:sz w:val="18"/>
                <w:szCs w:val="18"/>
              </w:rPr>
              <w:t xml:space="preserve">Local hazard sensing (optional)</w:t>
            </w:r>
          </w:p>
        </w:tc>
        <w:tc>
          <w:tcPr>
            <w:tcW w:type="dxa" w:w="3200"/>
            <w:tcMar>
              <w:top w:type="dxa" w:w="60"/>
              <w:left w:type="dxa" w:w="90"/>
              <w:bottom w:type="dxa" w:w="60"/>
              <w:right w:type="dxa" w:w="90"/>
            </w:tcMar>
          </w:tcPr>
          <w:p>
            <w:r>
              <w:rPr>
                <w:b w:val="false"/>
                <w:bCs w:val="false"/>
                <w:sz w:val="18"/>
                <w:szCs w:val="18"/>
              </w:rPr>
              <w:t xml:space="preserve">Electrochemical or MQ-series gas sensor</w:t>
            </w:r>
          </w:p>
        </w:tc>
        <w:tc>
          <w:tcPr>
            <w:tcW w:type="dxa" w:w="4160"/>
            <w:tcMar>
              <w:top w:type="dxa" w:w="60"/>
              <w:left w:type="dxa" w:w="90"/>
              <w:bottom w:type="dxa" w:w="60"/>
              <w:right w:type="dxa" w:w="90"/>
            </w:tcMar>
          </w:tcPr>
          <w:p>
            <w:r>
              <w:rPr>
                <w:b w:val="false"/>
                <w:bCs w:val="false"/>
                <w:sz w:val="18"/>
                <w:szCs w:val="18"/>
              </w:rPr>
              <w:t xml:space="preserve">Per-worker gas exposure reading where zone sensors are sparse</w:t>
            </w:r>
          </w:p>
        </w:tc>
      </w:tr>
      <w:tr>
        <w:tc>
          <w:tcPr>
            <w:tcW w:type="dxa" w:w="2000"/>
            <w:shd w:fill="DCE6F1" w:val="clear"/>
            <w:tcMar>
              <w:top w:type="dxa" w:w="60"/>
              <w:left w:type="dxa" w:w="90"/>
              <w:bottom w:type="dxa" w:w="60"/>
              <w:right w:type="dxa" w:w="90"/>
            </w:tcMar>
          </w:tcPr>
          <w:p>
            <w:r>
              <w:rPr>
                <w:b w:val="false"/>
                <w:bCs w:val="false"/>
                <w:sz w:val="18"/>
                <w:szCs w:val="18"/>
              </w:rPr>
              <w:t xml:space="preserve">Power</w:t>
            </w:r>
          </w:p>
        </w:tc>
        <w:tc>
          <w:tcPr>
            <w:tcW w:type="dxa" w:w="3200"/>
            <w:shd w:fill="DCE6F1" w:val="clear"/>
            <w:tcMar>
              <w:top w:type="dxa" w:w="60"/>
              <w:left w:type="dxa" w:w="90"/>
              <w:bottom w:type="dxa" w:w="60"/>
              <w:right w:type="dxa" w:w="90"/>
            </w:tcMar>
          </w:tcPr>
          <w:p>
            <w:r>
              <w:rPr>
                <w:b w:val="false"/>
                <w:bCs w:val="false"/>
                <w:sz w:val="18"/>
                <w:szCs w:val="18"/>
              </w:rPr>
              <w:t xml:space="preserve">Li-ion pack (2600–3400 mAh) + PMIC</w:t>
            </w:r>
          </w:p>
        </w:tc>
        <w:tc>
          <w:tcPr>
            <w:tcW w:type="dxa" w:w="4160"/>
            <w:shd w:fill="DCE6F1" w:val="clear"/>
            <w:tcMar>
              <w:top w:type="dxa" w:w="60"/>
              <w:left w:type="dxa" w:w="90"/>
              <w:bottom w:type="dxa" w:w="60"/>
              <w:right w:type="dxa" w:w="90"/>
            </w:tcMar>
          </w:tcPr>
          <w:p>
            <w:r>
              <w:rPr>
                <w:b w:val="false"/>
                <w:bCs w:val="false"/>
                <w:sz w:val="18"/>
                <w:szCs w:val="18"/>
              </w:rPr>
              <w:t xml:space="preserve">Sized for an 8+ hour shift with duty-cycled sensor polling</w:t>
            </w:r>
          </w:p>
        </w:tc>
      </w:tr>
    </w:tbl>
    <w:p>
      <w:pPr>
        <w:pStyle w:val="Heading2"/>
        <w:spacing w:after="120" w:before="260"/>
      </w:pPr>
      <w:r>
        <w:t xml:space="preserve">2.4 Layer 4 — Underground Repeater Chain</w:t>
      </w:r>
    </w:p>
    <w:p>
      <w:pPr>
        <w:spacing w:after="140"/>
      </w:pPr>
      <w:r>
        <w:t xml:space="preserve">The repeater chain is a hybrid design because no single radio technology handles positioning, range, and power efficiency simultaneously. Each fixed repeater node performs two roles at once:</w:t>
      </w:r>
    </w:p>
    <w:p>
      <w:pPr>
        <w:pStyle w:val="ListParagraph"/>
        <w:numPr>
          <w:ilvl w:val="0"/>
          <w:numId w:val="1"/>
        </w:numPr>
        <w:spacing w:after="80"/>
      </w:pPr>
      <w:r>
        <w:t xml:space="preserve">UWB anchor role — a surveyed, fixed reference point used for ranging (Time-of-Flight/TWR) against the worker's UWB tag, feeding the same UWB+IMU Kalman-filter sensor-fusion approach validated in the underground positioning literature.</w:t>
      </w:r>
    </w:p>
    <w:p>
      <w:pPr>
        <w:pStyle w:val="ListParagraph"/>
        <w:numPr>
          <w:ilvl w:val="0"/>
          <w:numId w:val="1"/>
        </w:numPr>
        <w:spacing w:after="80"/>
      </w:pPr>
      <w:r>
        <w:t xml:space="preserve">Relay role — receives the worker hub's BLE/LoRa packet (ID, vitals, PPE status, gas, alerts) and forwards it hop-by-hop toward the surface.</w:t>
      </w:r>
    </w:p>
    <w:p>
      <w:pPr>
        <w:spacing w:after="20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4E79" w:val="clear"/>
            <w:tcMar>
              <w:top w:type="dxa" w:w="60"/>
              <w:left w:type="dxa" w:w="90"/>
              <w:bottom w:type="dxa" w:w="60"/>
              <w:right w:type="dxa" w:w="90"/>
            </w:tcMar>
          </w:tcPr>
          <w:p>
            <w:r>
              <w:rPr>
                <w:b/>
                <w:bCs/>
                <w:color w:val="FFFFFF"/>
                <w:sz w:val="18"/>
                <w:szCs w:val="18"/>
              </w:rPr>
              <w:t xml:space="preserve">Function</w:t>
            </w:r>
          </w:p>
        </w:tc>
        <w:tc>
          <w:tcPr>
            <w:tcW w:type="dxa" w:w="3400"/>
            <w:shd w:fill="1F4E79" w:val="clear"/>
            <w:tcMar>
              <w:top w:type="dxa" w:w="60"/>
              <w:left w:type="dxa" w:w="90"/>
              <w:bottom w:type="dxa" w:w="60"/>
              <w:right w:type="dxa" w:w="90"/>
            </w:tcMar>
          </w:tcPr>
          <w:p>
            <w:r>
              <w:rPr>
                <w:b/>
                <w:bCs/>
                <w:color w:val="FFFFFF"/>
                <w:sz w:val="18"/>
                <w:szCs w:val="18"/>
              </w:rPr>
              <w:t xml:space="preserve">Component</w:t>
            </w:r>
          </w:p>
        </w:tc>
        <w:tc>
          <w:tcPr>
            <w:tcW w:type="dxa" w:w="3760"/>
            <w:shd w:fill="1F4E79" w:val="clear"/>
            <w:tcMar>
              <w:top w:type="dxa" w:w="60"/>
              <w:left w:type="dxa" w:w="90"/>
              <w:bottom w:type="dxa" w:w="60"/>
              <w:right w:type="dxa" w:w="90"/>
            </w:tcMar>
          </w:tcPr>
          <w:p>
            <w:r>
              <w:rPr>
                <w:b/>
                <w:bCs/>
                <w:color w:val="FFFFFF"/>
                <w:sz w:val="18"/>
                <w:szCs w:val="18"/>
              </w:rPr>
              <w:t xml:space="preserve">Note</w:t>
            </w:r>
          </w:p>
        </w:tc>
      </w:tr>
      <w:tr>
        <w:tc>
          <w:tcPr>
            <w:tcW w:type="dxa" w:w="2200"/>
            <w:tcMar>
              <w:top w:type="dxa" w:w="60"/>
              <w:left w:type="dxa" w:w="90"/>
              <w:bottom w:type="dxa" w:w="60"/>
              <w:right w:type="dxa" w:w="90"/>
            </w:tcMar>
          </w:tcPr>
          <w:p>
            <w:r>
              <w:rPr>
                <w:b w:val="false"/>
                <w:bCs w:val="false"/>
                <w:sz w:val="18"/>
                <w:szCs w:val="18"/>
              </w:rPr>
              <w:t xml:space="preserve">Positioning anchor</w:t>
            </w:r>
          </w:p>
        </w:tc>
        <w:tc>
          <w:tcPr>
            <w:tcW w:type="dxa" w:w="3400"/>
            <w:tcMar>
              <w:top w:type="dxa" w:w="60"/>
              <w:left w:type="dxa" w:w="90"/>
              <w:bottom w:type="dxa" w:w="60"/>
              <w:right w:type="dxa" w:w="90"/>
            </w:tcMar>
          </w:tcPr>
          <w:p>
            <w:r>
              <w:rPr>
                <w:b w:val="false"/>
                <w:bCs w:val="false"/>
                <w:sz w:val="18"/>
                <w:szCs w:val="18"/>
              </w:rPr>
              <w:t xml:space="preserve">UWB anchor module (DW3000), fixed &amp; surveyed</w:t>
            </w:r>
          </w:p>
        </w:tc>
        <w:tc>
          <w:tcPr>
            <w:tcW w:type="dxa" w:w="3760"/>
            <w:tcMar>
              <w:top w:type="dxa" w:w="60"/>
              <w:left w:type="dxa" w:w="90"/>
              <w:bottom w:type="dxa" w:w="60"/>
              <w:right w:type="dxa" w:w="90"/>
            </w:tcMar>
          </w:tcPr>
          <w:p>
            <w:r>
              <w:rPr>
                <w:b w:val="false"/>
                <w:bCs w:val="false"/>
                <w:sz w:val="18"/>
                <w:szCs w:val="18"/>
              </w:rPr>
              <w:t xml:space="preserve">Spacing ~50–100 m depending on tunnel cross-section and dust</w:t>
            </w:r>
          </w:p>
        </w:tc>
      </w:tr>
      <w:tr>
        <w:tc>
          <w:tcPr>
            <w:tcW w:type="dxa" w:w="2200"/>
            <w:shd w:fill="DCE6F1" w:val="clear"/>
            <w:tcMar>
              <w:top w:type="dxa" w:w="60"/>
              <w:left w:type="dxa" w:w="90"/>
              <w:bottom w:type="dxa" w:w="60"/>
              <w:right w:type="dxa" w:w="90"/>
            </w:tcMar>
          </w:tcPr>
          <w:p>
            <w:r>
              <w:rPr>
                <w:b w:val="false"/>
                <w:bCs w:val="false"/>
                <w:sz w:val="18"/>
                <w:szCs w:val="18"/>
              </w:rPr>
              <w:t xml:space="preserve">Relay radio</w:t>
            </w:r>
          </w:p>
        </w:tc>
        <w:tc>
          <w:tcPr>
            <w:tcW w:type="dxa" w:w="3400"/>
            <w:shd w:fill="DCE6F1" w:val="clear"/>
            <w:tcMar>
              <w:top w:type="dxa" w:w="60"/>
              <w:left w:type="dxa" w:w="90"/>
              <w:bottom w:type="dxa" w:w="60"/>
              <w:right w:type="dxa" w:w="90"/>
            </w:tcMar>
          </w:tcPr>
          <w:p>
            <w:r>
              <w:rPr>
                <w:b w:val="false"/>
                <w:bCs w:val="false"/>
                <w:sz w:val="18"/>
                <w:szCs w:val="18"/>
              </w:rPr>
              <w:t xml:space="preserve">LoRa transceiver (SX1262) ×2, or BLE mesh radio</w:t>
            </w:r>
          </w:p>
        </w:tc>
        <w:tc>
          <w:tcPr>
            <w:tcW w:type="dxa" w:w="3760"/>
            <w:shd w:fill="DCE6F1" w:val="clear"/>
            <w:tcMar>
              <w:top w:type="dxa" w:w="60"/>
              <w:left w:type="dxa" w:w="90"/>
              <w:bottom w:type="dxa" w:w="60"/>
              <w:right w:type="dxa" w:w="90"/>
            </w:tcMar>
          </w:tcPr>
          <w:p>
            <w:r>
              <w:rPr>
                <w:b w:val="false"/>
                <w:bCs w:val="false"/>
                <w:sz w:val="18"/>
                <w:szCs w:val="18"/>
              </w:rPr>
              <w:t xml:space="preserve">One link toward the worker side, one toward the next hop to surface</w:t>
            </w:r>
          </w:p>
        </w:tc>
      </w:tr>
      <w:tr>
        <w:tc>
          <w:tcPr>
            <w:tcW w:type="dxa" w:w="2200"/>
            <w:tcMar>
              <w:top w:type="dxa" w:w="60"/>
              <w:left w:type="dxa" w:w="90"/>
              <w:bottom w:type="dxa" w:w="60"/>
              <w:right w:type="dxa" w:w="90"/>
            </w:tcMar>
          </w:tcPr>
          <w:p>
            <w:r>
              <w:rPr>
                <w:b w:val="false"/>
                <w:bCs w:val="false"/>
                <w:sz w:val="18"/>
                <w:szCs w:val="18"/>
              </w:rPr>
              <w:t xml:space="preserve">Local aggregation</w:t>
            </w:r>
          </w:p>
        </w:tc>
        <w:tc>
          <w:tcPr>
            <w:tcW w:type="dxa" w:w="3400"/>
            <w:tcMar>
              <w:top w:type="dxa" w:w="60"/>
              <w:left w:type="dxa" w:w="90"/>
              <w:bottom w:type="dxa" w:w="60"/>
              <w:right w:type="dxa" w:w="90"/>
            </w:tcMar>
          </w:tcPr>
          <w:p>
            <w:r>
              <w:rPr>
                <w:b w:val="false"/>
                <w:bCs w:val="false"/>
                <w:sz w:val="18"/>
                <w:szCs w:val="18"/>
              </w:rPr>
              <w:t xml:space="preserve">ESP32 (light junctions) or Raspberry Pi (busy junctions)</w:t>
            </w:r>
          </w:p>
        </w:tc>
        <w:tc>
          <w:tcPr>
            <w:tcW w:type="dxa" w:w="3760"/>
            <w:tcMar>
              <w:top w:type="dxa" w:w="60"/>
              <w:left w:type="dxa" w:w="90"/>
              <w:bottom w:type="dxa" w:w="60"/>
              <w:right w:type="dxa" w:w="90"/>
            </w:tcMar>
          </w:tcPr>
          <w:p>
            <w:r>
              <w:rPr>
                <w:b w:val="false"/>
                <w:bCs w:val="false"/>
                <w:sz w:val="18"/>
                <w:szCs w:val="18"/>
              </w:rPr>
              <w:t xml:space="preserve">Buffers data locally if the next hop is briefly unreachable</w:t>
            </w:r>
          </w:p>
        </w:tc>
      </w:tr>
      <w:tr>
        <w:tc>
          <w:tcPr>
            <w:tcW w:type="dxa" w:w="2200"/>
            <w:shd w:fill="DCE6F1" w:val="clear"/>
            <w:tcMar>
              <w:top w:type="dxa" w:w="60"/>
              <w:left w:type="dxa" w:w="90"/>
              <w:bottom w:type="dxa" w:w="60"/>
              <w:right w:type="dxa" w:w="90"/>
            </w:tcMar>
          </w:tcPr>
          <w:p>
            <w:r>
              <w:rPr>
                <w:b w:val="false"/>
                <w:bCs w:val="false"/>
                <w:sz w:val="18"/>
                <w:szCs w:val="18"/>
              </w:rPr>
              <w:t xml:space="preserve">Power</w:t>
            </w:r>
          </w:p>
        </w:tc>
        <w:tc>
          <w:tcPr>
            <w:tcW w:type="dxa" w:w="3400"/>
            <w:shd w:fill="DCE6F1" w:val="clear"/>
            <w:tcMar>
              <w:top w:type="dxa" w:w="60"/>
              <w:left w:type="dxa" w:w="90"/>
              <w:bottom w:type="dxa" w:w="60"/>
              <w:right w:type="dxa" w:w="90"/>
            </w:tcMar>
          </w:tcPr>
          <w:p>
            <w:r>
              <w:rPr>
                <w:b w:val="false"/>
                <w:bCs w:val="false"/>
                <w:sz w:val="18"/>
                <w:szCs w:val="18"/>
              </w:rPr>
              <w:t xml:space="preserve">Mains where available, battery backup</w:t>
            </w:r>
          </w:p>
        </w:tc>
        <w:tc>
          <w:tcPr>
            <w:tcW w:type="dxa" w:w="3760"/>
            <w:shd w:fill="DCE6F1" w:val="clear"/>
            <w:tcMar>
              <w:top w:type="dxa" w:w="60"/>
              <w:left w:type="dxa" w:w="90"/>
              <w:bottom w:type="dxa" w:w="60"/>
              <w:right w:type="dxa" w:w="90"/>
            </w:tcMar>
          </w:tcPr>
          <w:p>
            <w:r>
              <w:rPr>
                <w:b w:val="false"/>
                <w:bCs w:val="false"/>
                <w:sz w:val="18"/>
                <w:szCs w:val="18"/>
              </w:rPr>
              <w:t xml:space="preserve">Mains preferred at fixed points; battery-only nodes are a maintenance liability</w:t>
            </w:r>
          </w:p>
        </w:tc>
      </w:tr>
      <w:tr>
        <w:tc>
          <w:tcPr>
            <w:tcW w:type="dxa" w:w="2200"/>
            <w:tcMar>
              <w:top w:type="dxa" w:w="60"/>
              <w:left w:type="dxa" w:w="90"/>
              <w:bottom w:type="dxa" w:w="60"/>
              <w:right w:type="dxa" w:w="90"/>
            </w:tcMar>
          </w:tcPr>
          <w:p>
            <w:r>
              <w:rPr>
                <w:b w:val="false"/>
                <w:bCs w:val="false"/>
                <w:sz w:val="18"/>
                <w:szCs w:val="18"/>
              </w:rPr>
              <w:t xml:space="preserve">Enclosure</w:t>
            </w:r>
          </w:p>
        </w:tc>
        <w:tc>
          <w:tcPr>
            <w:tcW w:type="dxa" w:w="3400"/>
            <w:tcMar>
              <w:top w:type="dxa" w:w="60"/>
              <w:left w:type="dxa" w:w="90"/>
              <w:bottom w:type="dxa" w:w="60"/>
              <w:right w:type="dxa" w:w="90"/>
            </w:tcMar>
          </w:tcPr>
          <w:p>
            <w:r>
              <w:rPr>
                <w:b w:val="false"/>
                <w:bCs w:val="false"/>
                <w:sz w:val="18"/>
                <w:szCs w:val="18"/>
              </w:rPr>
              <w:t xml:space="preserve">IP66/IP67, ATEX-rated in gassy coal mines</w:t>
            </w:r>
          </w:p>
        </w:tc>
        <w:tc>
          <w:tcPr>
            <w:tcW w:type="dxa" w:w="3760"/>
            <w:tcMar>
              <w:top w:type="dxa" w:w="60"/>
              <w:left w:type="dxa" w:w="90"/>
              <w:bottom w:type="dxa" w:w="60"/>
              <w:right w:type="dxa" w:w="90"/>
            </w:tcMar>
          </w:tcPr>
          <w:p>
            <w:r>
              <w:rPr>
                <w:b w:val="false"/>
                <w:bCs w:val="false"/>
                <w:sz w:val="18"/>
                <w:szCs w:val="18"/>
              </w:rPr>
              <w:t xml:space="preserve">Must withstand dust, humidity, and vibration per site conditions</w:t>
            </w:r>
          </w:p>
        </w:tc>
      </w:tr>
    </w:tbl>
    <w:p>
      <w:pPr>
        <w:spacing w:after="140"/>
      </w:pPr>
      <w:r>
        <w:t xml:space="preserve">Where a mine already has fibre or Ethernet backbone in the main haulage roads (as is common in larger operations), repeaters should connect to that wired backbone directly rather than relaying wirelessly — wireless hops are reserved for the last stretch into active, frequently-changing working faces where running cable is impractical.</w:t>
      </w:r>
    </w:p>
    <w:p>
      <w:pPr>
        <w:pStyle w:val="Heading2"/>
        <w:spacing w:after="120" w:before="260"/>
      </w:pPr>
      <w:r>
        <w:t xml:space="preserve">2.5 Layer 5 — Surface Gateway and Server</w:t>
      </w:r>
    </w:p>
    <w:p>
      <w:pPr>
        <w:pStyle w:val="ListParagraph"/>
        <w:numPr>
          <w:ilvl w:val="0"/>
          <w:numId w:val="1"/>
        </w:numPr>
        <w:spacing w:after="80"/>
      </w:pPr>
      <w:r>
        <w:t xml:space="preserve">Surface gateway: the final node in the repeater chain, distinguished by having a real uplink out of the mine — Ethernet, 4G/LTE, or satellite as a backup for remote sites.</w:t>
      </w:r>
    </w:p>
    <w:p>
      <w:pPr>
        <w:pStyle w:val="ListParagraph"/>
        <w:numPr>
          <w:ilvl w:val="0"/>
          <w:numId w:val="1"/>
        </w:numPr>
        <w:spacing w:after="80"/>
      </w:pPr>
      <w:r>
        <w:t xml:space="preserve">Server: performs multilateration on the raw UWB ranging data to compute each worker's coordinate position, runs the rule engine (fall detected, vitals out of range, PPE tag missing beyond threshold, gas exceedance), and stores a timestamped audit log suitable for DGMS-style compliance reporting.</w:t>
      </w:r>
    </w:p>
    <w:p>
      <w:pPr>
        <w:pStyle w:val="Heading2"/>
        <w:spacing w:after="120" w:before="260"/>
      </w:pPr>
      <w:r>
        <w:t xml:space="preserve">2.6 Layer 6 — Supervisor Dashboard</w:t>
      </w:r>
    </w:p>
    <w:p>
      <w:pPr>
        <w:pStyle w:val="ListParagraph"/>
        <w:numPr>
          <w:ilvl w:val="0"/>
          <w:numId w:val="1"/>
        </w:numPr>
        <w:spacing w:after="80"/>
      </w:pPr>
      <w:r>
        <w:t xml:space="preserve">Live mine map with real-time worker position dots, generated from the server's multilateration output.</w:t>
      </w:r>
    </w:p>
    <w:p>
      <w:pPr>
        <w:pStyle w:val="ListParagraph"/>
        <w:numPr>
          <w:ilvl w:val="0"/>
          <w:numId w:val="1"/>
        </w:numPr>
        <w:spacing w:after="80"/>
      </w:pPr>
      <w:r>
        <w:t xml:space="preserve">PPE compliance status per worker, combining the chamber's entry verification with the hub's continuous BLE/strap-switch checks.</w:t>
      </w:r>
    </w:p>
    <w:p>
      <w:pPr>
        <w:pStyle w:val="ListParagraph"/>
        <w:numPr>
          <w:ilvl w:val="0"/>
          <w:numId w:val="1"/>
        </w:numPr>
        <w:spacing w:after="80"/>
      </w:pPr>
      <w:r>
        <w:t xml:space="preserve">Vitals panel with anomaly highlighting (heart rate, SpO2, temperature trends).</w:t>
      </w:r>
    </w:p>
    <w:p>
      <w:pPr>
        <w:pStyle w:val="ListParagraph"/>
        <w:numPr>
          <w:ilvl w:val="0"/>
          <w:numId w:val="1"/>
        </w:numPr>
        <w:spacing w:after="80"/>
      </w:pPr>
      <w:r>
        <w:t xml:space="preserve">Gas/environmental overlay where zone or per-worker gas sensors are deployed.</w:t>
      </w:r>
    </w:p>
    <w:p>
      <w:pPr>
        <w:pStyle w:val="ListParagraph"/>
        <w:numPr>
          <w:ilvl w:val="0"/>
          <w:numId w:val="1"/>
        </w:numPr>
        <w:spacing w:after="80"/>
      </w:pPr>
      <w:r>
        <w:t xml:space="preserve">Alert and escalation workflow, including manual SOS, with an audit trail for post-incident review.</w:t>
      </w:r>
    </w:p>
    <w:p>
      <w:pPr>
        <w:pStyle w:val="Heading1"/>
        <w:spacing w:after="160" w:before="360"/>
      </w:pPr>
      <w:r>
        <w:t xml:space="preserve">3. End-to-End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shd w:fill="1F4E79" w:val="clear"/>
            <w:tcMar>
              <w:top w:type="dxa" w:w="60"/>
              <w:left w:type="dxa" w:w="90"/>
              <w:bottom w:type="dxa" w:w="60"/>
              <w:right w:type="dxa" w:w="90"/>
            </w:tcMar>
          </w:tcPr>
          <w:p>
            <w:r>
              <w:rPr>
                <w:b/>
                <w:bCs/>
                <w:color w:val="FFFFFF"/>
                <w:sz w:val="18"/>
                <w:szCs w:val="18"/>
              </w:rPr>
              <w:t xml:space="preserve">Stage</w:t>
            </w:r>
          </w:p>
        </w:tc>
        <w:tc>
          <w:tcPr>
            <w:tcW w:type="dxa" w:w="4000"/>
            <w:shd w:fill="1F4E79" w:val="clear"/>
            <w:tcMar>
              <w:top w:type="dxa" w:w="60"/>
              <w:left w:type="dxa" w:w="90"/>
              <w:bottom w:type="dxa" w:w="60"/>
              <w:right w:type="dxa" w:w="90"/>
            </w:tcMar>
          </w:tcPr>
          <w:p>
            <w:r>
              <w:rPr>
                <w:b/>
                <w:bCs/>
                <w:color w:val="FFFFFF"/>
                <w:sz w:val="18"/>
                <w:szCs w:val="18"/>
              </w:rPr>
              <w:t xml:space="preserve">Data carried</w:t>
            </w:r>
          </w:p>
        </w:tc>
        <w:tc>
          <w:tcPr>
            <w:tcW w:type="dxa" w:w="2760"/>
            <w:shd w:fill="1F4E79" w:val="clear"/>
            <w:tcMar>
              <w:top w:type="dxa" w:w="60"/>
              <w:left w:type="dxa" w:w="90"/>
              <w:bottom w:type="dxa" w:w="60"/>
              <w:right w:type="dxa" w:w="90"/>
            </w:tcMar>
          </w:tcPr>
          <w:p>
            <w:r>
              <w:rPr>
                <w:b/>
                <w:bCs/>
                <w:color w:val="FFFFFF"/>
                <w:sz w:val="18"/>
                <w:szCs w:val="18"/>
              </w:rPr>
              <w:t xml:space="preserve">Protocol</w:t>
            </w:r>
          </w:p>
        </w:tc>
      </w:tr>
      <w:tr>
        <w:tc>
          <w:tcPr>
            <w:tcW w:type="dxa" w:w="2600"/>
            <w:tcMar>
              <w:top w:type="dxa" w:w="60"/>
              <w:left w:type="dxa" w:w="90"/>
              <w:bottom w:type="dxa" w:w="60"/>
              <w:right w:type="dxa" w:w="90"/>
            </w:tcMar>
          </w:tcPr>
          <w:p>
            <w:r>
              <w:rPr>
                <w:b w:val="false"/>
                <w:bCs w:val="false"/>
                <w:sz w:val="18"/>
                <w:szCs w:val="18"/>
              </w:rPr>
              <w:t xml:space="preserve">Badge → Chamber reader</w:t>
            </w:r>
          </w:p>
        </w:tc>
        <w:tc>
          <w:tcPr>
            <w:tcW w:type="dxa" w:w="4000"/>
            <w:tcMar>
              <w:top w:type="dxa" w:w="60"/>
              <w:left w:type="dxa" w:w="90"/>
              <w:bottom w:type="dxa" w:w="60"/>
              <w:right w:type="dxa" w:w="90"/>
            </w:tcMar>
          </w:tcPr>
          <w:p>
            <w:r>
              <w:rPr>
                <w:b w:val="false"/>
                <w:bCs w:val="false"/>
                <w:sz w:val="18"/>
                <w:szCs w:val="18"/>
              </w:rPr>
              <w:t xml:space="preserve">Worker ID (UID only)</w:t>
            </w:r>
          </w:p>
        </w:tc>
        <w:tc>
          <w:tcPr>
            <w:tcW w:type="dxa" w:w="2760"/>
            <w:tcMar>
              <w:top w:type="dxa" w:w="60"/>
              <w:left w:type="dxa" w:w="90"/>
              <w:bottom w:type="dxa" w:w="60"/>
              <w:right w:type="dxa" w:w="90"/>
            </w:tcMar>
          </w:tcPr>
          <w:p>
            <w:r>
              <w:rPr>
                <w:b w:val="false"/>
                <w:bCs w:val="false"/>
                <w:sz w:val="18"/>
                <w:szCs w:val="18"/>
              </w:rPr>
              <w:t xml:space="preserve">NFC/HF, 13.56 MHz</w:t>
            </w:r>
          </w:p>
        </w:tc>
      </w:tr>
      <w:tr>
        <w:tc>
          <w:tcPr>
            <w:tcW w:type="dxa" w:w="2600"/>
            <w:shd w:fill="DCE6F1" w:val="clear"/>
            <w:tcMar>
              <w:top w:type="dxa" w:w="60"/>
              <w:left w:type="dxa" w:w="90"/>
              <w:bottom w:type="dxa" w:w="60"/>
              <w:right w:type="dxa" w:w="90"/>
            </w:tcMar>
          </w:tcPr>
          <w:p>
            <w:r>
              <w:rPr>
                <w:b w:val="false"/>
                <w:bCs w:val="false"/>
                <w:sz w:val="18"/>
                <w:szCs w:val="18"/>
              </w:rPr>
              <w:t xml:space="preserve">PPE tags → Chamber portal</w:t>
            </w:r>
          </w:p>
        </w:tc>
        <w:tc>
          <w:tcPr>
            <w:tcW w:type="dxa" w:w="4000"/>
            <w:shd w:fill="DCE6F1" w:val="clear"/>
            <w:tcMar>
              <w:top w:type="dxa" w:w="60"/>
              <w:left w:type="dxa" w:w="90"/>
              <w:bottom w:type="dxa" w:w="60"/>
              <w:right w:type="dxa" w:w="90"/>
            </w:tcMar>
          </w:tcPr>
          <w:p>
            <w:r>
              <w:rPr>
                <w:b w:val="false"/>
                <w:bCs w:val="false"/>
                <w:sz w:val="18"/>
                <w:szCs w:val="18"/>
              </w:rPr>
              <w:t xml:space="preserve">PPE item UIDs</w:t>
            </w:r>
          </w:p>
        </w:tc>
        <w:tc>
          <w:tcPr>
            <w:tcW w:type="dxa" w:w="2760"/>
            <w:shd w:fill="DCE6F1" w:val="clear"/>
            <w:tcMar>
              <w:top w:type="dxa" w:w="60"/>
              <w:left w:type="dxa" w:w="90"/>
              <w:bottom w:type="dxa" w:w="60"/>
              <w:right w:type="dxa" w:w="90"/>
            </w:tcMar>
          </w:tcPr>
          <w:p>
            <w:r>
              <w:rPr>
                <w:b w:val="false"/>
                <w:bCs w:val="false"/>
                <w:sz w:val="18"/>
                <w:szCs w:val="18"/>
              </w:rPr>
              <w:t xml:space="preserve">UHF RFID, 860–960 MHz</w:t>
            </w:r>
          </w:p>
        </w:tc>
      </w:tr>
      <w:tr>
        <w:tc>
          <w:tcPr>
            <w:tcW w:type="dxa" w:w="2600"/>
            <w:tcMar>
              <w:top w:type="dxa" w:w="60"/>
              <w:left w:type="dxa" w:w="90"/>
              <w:bottom w:type="dxa" w:w="60"/>
              <w:right w:type="dxa" w:w="90"/>
            </w:tcMar>
          </w:tcPr>
          <w:p>
            <w:r>
              <w:rPr>
                <w:b w:val="false"/>
                <w:bCs w:val="false"/>
                <w:sz w:val="18"/>
                <w:szCs w:val="18"/>
              </w:rPr>
              <w:t xml:space="preserve">Chamber → Server</w:t>
            </w:r>
          </w:p>
        </w:tc>
        <w:tc>
          <w:tcPr>
            <w:tcW w:type="dxa" w:w="4000"/>
            <w:tcMar>
              <w:top w:type="dxa" w:w="60"/>
              <w:left w:type="dxa" w:w="90"/>
              <w:bottom w:type="dxa" w:w="60"/>
              <w:right w:type="dxa" w:w="90"/>
            </w:tcMar>
          </w:tcPr>
          <w:p>
            <w:r>
              <w:rPr>
                <w:b w:val="false"/>
                <w:bCs w:val="false"/>
                <w:sz w:val="18"/>
                <w:szCs w:val="18"/>
              </w:rPr>
              <w:t xml:space="preserve">Worker ID + PPE tag set + camera verification result</w:t>
            </w:r>
          </w:p>
        </w:tc>
        <w:tc>
          <w:tcPr>
            <w:tcW w:type="dxa" w:w="2760"/>
            <w:tcMar>
              <w:top w:type="dxa" w:w="60"/>
              <w:left w:type="dxa" w:w="90"/>
              <w:bottom w:type="dxa" w:w="60"/>
              <w:right w:type="dxa" w:w="90"/>
            </w:tcMar>
          </w:tcPr>
          <w:p>
            <w:r>
              <w:rPr>
                <w:b w:val="false"/>
                <w:bCs w:val="false"/>
                <w:sz w:val="18"/>
                <w:szCs w:val="18"/>
              </w:rPr>
              <w:t xml:space="preserve">Ethernet/Wi-Fi (chamber is a fixed, powered location)</w:t>
            </w:r>
          </w:p>
        </w:tc>
      </w:tr>
      <w:tr>
        <w:tc>
          <w:tcPr>
            <w:tcW w:type="dxa" w:w="2600"/>
            <w:shd w:fill="DCE6F1" w:val="clear"/>
            <w:tcMar>
              <w:top w:type="dxa" w:w="60"/>
              <w:left w:type="dxa" w:w="90"/>
              <w:bottom w:type="dxa" w:w="60"/>
              <w:right w:type="dxa" w:w="90"/>
            </w:tcMar>
          </w:tcPr>
          <w:p>
            <w:r>
              <w:rPr>
                <w:b w:val="false"/>
                <w:bCs w:val="false"/>
                <w:sz w:val="18"/>
                <w:szCs w:val="18"/>
              </w:rPr>
              <w:t xml:space="preserve">PPE tags → Wearable hub</w:t>
            </w:r>
          </w:p>
        </w:tc>
        <w:tc>
          <w:tcPr>
            <w:tcW w:type="dxa" w:w="4000"/>
            <w:shd w:fill="DCE6F1" w:val="clear"/>
            <w:tcMar>
              <w:top w:type="dxa" w:w="60"/>
              <w:left w:type="dxa" w:w="90"/>
              <w:bottom w:type="dxa" w:w="60"/>
              <w:right w:type="dxa" w:w="90"/>
            </w:tcMar>
          </w:tcPr>
          <w:p>
            <w:r>
              <w:rPr>
                <w:b w:val="false"/>
                <w:bCs w:val="false"/>
                <w:sz w:val="18"/>
                <w:szCs w:val="18"/>
              </w:rPr>
              <w:t xml:space="preserve">PPE item UIDs + RSSI</w:t>
            </w:r>
          </w:p>
        </w:tc>
        <w:tc>
          <w:tcPr>
            <w:tcW w:type="dxa" w:w="2760"/>
            <w:shd w:fill="DCE6F1" w:val="clear"/>
            <w:tcMar>
              <w:top w:type="dxa" w:w="60"/>
              <w:left w:type="dxa" w:w="90"/>
              <w:bottom w:type="dxa" w:w="60"/>
              <w:right w:type="dxa" w:w="90"/>
            </w:tcMar>
          </w:tcPr>
          <w:p>
            <w:r>
              <w:rPr>
                <w:b w:val="false"/>
                <w:bCs w:val="false"/>
                <w:sz w:val="18"/>
                <w:szCs w:val="18"/>
              </w:rPr>
              <w:t xml:space="preserve">BLE 5.0, continuous scan</w:t>
            </w:r>
          </w:p>
        </w:tc>
      </w:tr>
      <w:tr>
        <w:tc>
          <w:tcPr>
            <w:tcW w:type="dxa" w:w="2600"/>
            <w:tcMar>
              <w:top w:type="dxa" w:w="60"/>
              <w:left w:type="dxa" w:w="90"/>
              <w:bottom w:type="dxa" w:w="60"/>
              <w:right w:type="dxa" w:w="90"/>
            </w:tcMar>
          </w:tcPr>
          <w:p>
            <w:r>
              <w:rPr>
                <w:b w:val="false"/>
                <w:bCs w:val="false"/>
                <w:sz w:val="18"/>
                <w:szCs w:val="18"/>
              </w:rPr>
              <w:t xml:space="preserve">Hub → Repeater 1</w:t>
            </w:r>
          </w:p>
        </w:tc>
        <w:tc>
          <w:tcPr>
            <w:tcW w:type="dxa" w:w="4000"/>
            <w:tcMar>
              <w:top w:type="dxa" w:w="60"/>
              <w:left w:type="dxa" w:w="90"/>
              <w:bottom w:type="dxa" w:w="60"/>
              <w:right w:type="dxa" w:w="90"/>
            </w:tcMar>
          </w:tcPr>
          <w:p>
            <w:r>
              <w:rPr>
                <w:b w:val="false"/>
                <w:bCs w:val="false"/>
                <w:sz w:val="18"/>
                <w:szCs w:val="18"/>
              </w:rPr>
              <w:t xml:space="preserve">Worker ID, vitals, PPE compliance flag, position ranging data, alerts</w:t>
            </w:r>
          </w:p>
        </w:tc>
        <w:tc>
          <w:tcPr>
            <w:tcW w:type="dxa" w:w="2760"/>
            <w:tcMar>
              <w:top w:type="dxa" w:w="60"/>
              <w:left w:type="dxa" w:w="90"/>
              <w:bottom w:type="dxa" w:w="60"/>
              <w:right w:type="dxa" w:w="90"/>
            </w:tcMar>
          </w:tcPr>
          <w:p>
            <w:r>
              <w:rPr>
                <w:b w:val="false"/>
                <w:bCs w:val="false"/>
                <w:sz w:val="18"/>
                <w:szCs w:val="18"/>
              </w:rPr>
              <w:t xml:space="preserve">UWB (ranging) + LoRa/BLE (payload)</w:t>
            </w:r>
          </w:p>
        </w:tc>
      </w:tr>
      <w:tr>
        <w:tc>
          <w:tcPr>
            <w:tcW w:type="dxa" w:w="2600"/>
            <w:shd w:fill="DCE6F1" w:val="clear"/>
            <w:tcMar>
              <w:top w:type="dxa" w:w="60"/>
              <w:left w:type="dxa" w:w="90"/>
              <w:bottom w:type="dxa" w:w="60"/>
              <w:right w:type="dxa" w:w="90"/>
            </w:tcMar>
          </w:tcPr>
          <w:p>
            <w:r>
              <w:rPr>
                <w:b w:val="false"/>
                <w:bCs w:val="false"/>
                <w:sz w:val="18"/>
                <w:szCs w:val="18"/>
              </w:rPr>
              <w:t xml:space="preserve">Repeater n → Repeater n+1</w:t>
            </w:r>
          </w:p>
        </w:tc>
        <w:tc>
          <w:tcPr>
            <w:tcW w:type="dxa" w:w="4000"/>
            <w:shd w:fill="DCE6F1" w:val="clear"/>
            <w:tcMar>
              <w:top w:type="dxa" w:w="60"/>
              <w:left w:type="dxa" w:w="90"/>
              <w:bottom w:type="dxa" w:w="60"/>
              <w:right w:type="dxa" w:w="90"/>
            </w:tcMar>
          </w:tcPr>
          <w:p>
            <w:r>
              <w:rPr>
                <w:b w:val="false"/>
                <w:bCs w:val="false"/>
                <w:sz w:val="18"/>
                <w:szCs w:val="18"/>
              </w:rPr>
              <w:t xml:space="preserve">Aggregated relay of all payloads in range, buffered if needed</w:t>
            </w:r>
          </w:p>
        </w:tc>
        <w:tc>
          <w:tcPr>
            <w:tcW w:type="dxa" w:w="2760"/>
            <w:shd w:fill="DCE6F1" w:val="clear"/>
            <w:tcMar>
              <w:top w:type="dxa" w:w="60"/>
              <w:left w:type="dxa" w:w="90"/>
              <w:bottom w:type="dxa" w:w="60"/>
              <w:right w:type="dxa" w:w="90"/>
            </w:tcMar>
          </w:tcPr>
          <w:p>
            <w:r>
              <w:rPr>
                <w:b w:val="false"/>
                <w:bCs w:val="false"/>
                <w:sz w:val="18"/>
                <w:szCs w:val="18"/>
              </w:rPr>
              <w:t xml:space="preserve">LoRa point-to-point or wired Ethernet where available</w:t>
            </w:r>
          </w:p>
        </w:tc>
      </w:tr>
      <w:tr>
        <w:tc>
          <w:tcPr>
            <w:tcW w:type="dxa" w:w="2600"/>
            <w:tcMar>
              <w:top w:type="dxa" w:w="60"/>
              <w:left w:type="dxa" w:w="90"/>
              <w:bottom w:type="dxa" w:w="60"/>
              <w:right w:type="dxa" w:w="90"/>
            </w:tcMar>
          </w:tcPr>
          <w:p>
            <w:r>
              <w:rPr>
                <w:b w:val="false"/>
                <w:bCs w:val="false"/>
                <w:sz w:val="18"/>
                <w:szCs w:val="18"/>
              </w:rPr>
              <w:t xml:space="preserve">Surface gateway → Server</w:t>
            </w:r>
          </w:p>
        </w:tc>
        <w:tc>
          <w:tcPr>
            <w:tcW w:type="dxa" w:w="4000"/>
            <w:tcMar>
              <w:top w:type="dxa" w:w="60"/>
              <w:left w:type="dxa" w:w="90"/>
              <w:bottom w:type="dxa" w:w="60"/>
              <w:right w:type="dxa" w:w="90"/>
            </w:tcMar>
          </w:tcPr>
          <w:p>
            <w:r>
              <w:rPr>
                <w:b w:val="false"/>
                <w:bCs w:val="false"/>
                <w:sz w:val="18"/>
                <w:szCs w:val="18"/>
              </w:rPr>
              <w:t xml:space="preserve">All aggregated underground data</w:t>
            </w:r>
          </w:p>
        </w:tc>
        <w:tc>
          <w:tcPr>
            <w:tcW w:type="dxa" w:w="2760"/>
            <w:tcMar>
              <w:top w:type="dxa" w:w="60"/>
              <w:left w:type="dxa" w:w="90"/>
              <w:bottom w:type="dxa" w:w="60"/>
              <w:right w:type="dxa" w:w="90"/>
            </w:tcMar>
          </w:tcPr>
          <w:p>
            <w:r>
              <w:rPr>
                <w:b w:val="false"/>
                <w:bCs w:val="false"/>
                <w:sz w:val="18"/>
                <w:szCs w:val="18"/>
              </w:rPr>
              <w:t xml:space="preserve">Ethernet/4G/satellite</w:t>
            </w:r>
          </w:p>
        </w:tc>
      </w:tr>
      <w:tr>
        <w:tc>
          <w:tcPr>
            <w:tcW w:type="dxa" w:w="2600"/>
            <w:shd w:fill="DCE6F1" w:val="clear"/>
            <w:tcMar>
              <w:top w:type="dxa" w:w="60"/>
              <w:left w:type="dxa" w:w="90"/>
              <w:bottom w:type="dxa" w:w="60"/>
              <w:right w:type="dxa" w:w="90"/>
            </w:tcMar>
          </w:tcPr>
          <w:p>
            <w:r>
              <w:rPr>
                <w:b w:val="false"/>
                <w:bCs w:val="false"/>
                <w:sz w:val="18"/>
                <w:szCs w:val="18"/>
              </w:rPr>
              <w:t xml:space="preserve">Server → Dashboard</w:t>
            </w:r>
          </w:p>
        </w:tc>
        <w:tc>
          <w:tcPr>
            <w:tcW w:type="dxa" w:w="4000"/>
            <w:shd w:fill="DCE6F1" w:val="clear"/>
            <w:tcMar>
              <w:top w:type="dxa" w:w="60"/>
              <w:left w:type="dxa" w:w="90"/>
              <w:bottom w:type="dxa" w:w="60"/>
              <w:right w:type="dxa" w:w="90"/>
            </w:tcMar>
          </w:tcPr>
          <w:p>
            <w:r>
              <w:rPr>
                <w:b w:val="false"/>
                <w:bCs w:val="false"/>
                <w:sz w:val="18"/>
                <w:szCs w:val="18"/>
              </w:rPr>
              <w:t xml:space="preserve">Computed positions, vitals, compliance status, alerts</w:t>
            </w:r>
          </w:p>
        </w:tc>
        <w:tc>
          <w:tcPr>
            <w:tcW w:type="dxa" w:w="2760"/>
            <w:shd w:fill="DCE6F1" w:val="clear"/>
            <w:tcMar>
              <w:top w:type="dxa" w:w="60"/>
              <w:left w:type="dxa" w:w="90"/>
              <w:bottom w:type="dxa" w:w="60"/>
              <w:right w:type="dxa" w:w="90"/>
            </w:tcMar>
          </w:tcPr>
          <w:p>
            <w:r>
              <w:rPr>
                <w:b w:val="false"/>
                <w:bCs w:val="false"/>
                <w:sz w:val="18"/>
                <w:szCs w:val="18"/>
              </w:rPr>
              <w:t xml:space="preserve">Web application over HTTPS</w:t>
            </w:r>
          </w:p>
        </w:tc>
      </w:tr>
    </w:tbl>
    <w:p>
      <w:pPr>
        <w:pStyle w:val="Heading1"/>
        <w:spacing w:after="160" w:before="360"/>
      </w:pPr>
      <w:r>
        <w:t xml:space="preserve">4. Consolidated Bill of Materials (Indicative)</w:t>
      </w:r>
    </w:p>
    <w:p>
      <w:pPr>
        <w:spacing w:after="140"/>
      </w:pPr>
      <w:r>
        <w:t xml:space="preserve">Costs below are indicative, India-market approximations for prototype/pilot-scale sourcing as of mid-2026, intended for early budgeting only — get current quotes from suppliers before finalizing your project budget, since component prices and INR/USD exchange rates fluctuate.</w:t>
      </w:r>
    </w:p>
    <w:p>
      <w:pPr>
        <w:pStyle w:val="Heading2"/>
        <w:spacing w:after="120" w:before="260"/>
      </w:pPr>
      <w:r>
        <w:t xml:space="preserve">4.1 Per-Worker Cost (Wearable Hub +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00"/>
        <w:gridCol w:w="1760"/>
      </w:tblGrid>
      <w:tr>
        <w:trPr>
          <w:tblHeader/>
        </w:trPr>
        <w:tc>
          <w:tcPr>
            <w:tcW w:type="dxa" w:w="3600"/>
            <w:shd w:fill="1F4E79" w:val="clear"/>
            <w:tcMar>
              <w:top w:type="dxa" w:w="60"/>
              <w:left w:type="dxa" w:w="90"/>
              <w:bottom w:type="dxa" w:w="60"/>
              <w:right w:type="dxa" w:w="90"/>
            </w:tcMar>
          </w:tcPr>
          <w:p>
            <w:r>
              <w:rPr>
                <w:b/>
                <w:bCs/>
                <w:color w:val="FFFFFF"/>
                <w:sz w:val="18"/>
                <w:szCs w:val="18"/>
              </w:rPr>
              <w:t xml:space="preserve">Item</w:t>
            </w:r>
          </w:p>
        </w:tc>
        <w:tc>
          <w:tcPr>
            <w:tcW w:type="dxa" w:w="2400"/>
            <w:shd w:fill="1F4E79" w:val="clear"/>
            <w:tcMar>
              <w:top w:type="dxa" w:w="60"/>
              <w:left w:type="dxa" w:w="90"/>
              <w:bottom w:type="dxa" w:w="60"/>
              <w:right w:type="dxa" w:w="90"/>
            </w:tcMar>
          </w:tcPr>
          <w:p>
            <w:r>
              <w:rPr>
                <w:b/>
                <w:bCs/>
                <w:color w:val="FFFFFF"/>
                <w:sz w:val="18"/>
                <w:szCs w:val="18"/>
              </w:rPr>
              <w:t xml:space="preserve">Approx. unit cost (INR)</w:t>
            </w:r>
          </w:p>
        </w:tc>
        <w:tc>
          <w:tcPr>
            <w:tcW w:type="dxa" w:w="1600"/>
            <w:shd w:fill="1F4E79" w:val="clear"/>
            <w:tcMar>
              <w:top w:type="dxa" w:w="60"/>
              <w:left w:type="dxa" w:w="90"/>
              <w:bottom w:type="dxa" w:w="60"/>
              <w:right w:type="dxa" w:w="90"/>
            </w:tcMar>
          </w:tcPr>
          <w:p>
            <w:r>
              <w:rPr>
                <w:b/>
                <w:bCs/>
                <w:color w:val="FFFFFF"/>
                <w:sz w:val="18"/>
                <w:szCs w:val="18"/>
              </w:rPr>
              <w:t xml:space="preserve">Qty per worker</w:t>
            </w:r>
          </w:p>
        </w:tc>
        <w:tc>
          <w:tcPr>
            <w:tcW w:type="dxa" w:w="1760"/>
            <w:shd w:fill="1F4E79" w:val="clear"/>
            <w:tcMar>
              <w:top w:type="dxa" w:w="60"/>
              <w:left w:type="dxa" w:w="90"/>
              <w:bottom w:type="dxa" w:w="60"/>
              <w:right w:type="dxa" w:w="90"/>
            </w:tcMar>
          </w:tcPr>
          <w:p>
            <w:r>
              <w:rPr>
                <w:b/>
                <w:bCs/>
                <w:color w:val="FFFFFF"/>
                <w:sz w:val="18"/>
                <w:szCs w:val="18"/>
              </w:rPr>
              <w:t xml:space="preserve">Notes</w:t>
            </w:r>
          </w:p>
        </w:tc>
      </w:tr>
      <w:tr>
        <w:tc>
          <w:tcPr>
            <w:tcW w:type="dxa" w:w="3600"/>
            <w:tcMar>
              <w:top w:type="dxa" w:w="60"/>
              <w:left w:type="dxa" w:w="90"/>
              <w:bottom w:type="dxa" w:w="60"/>
              <w:right w:type="dxa" w:w="90"/>
            </w:tcMar>
          </w:tcPr>
          <w:p>
            <w:r>
              <w:rPr>
                <w:b w:val="false"/>
                <w:bCs w:val="false"/>
                <w:sz w:val="18"/>
                <w:szCs w:val="18"/>
              </w:rPr>
              <w:t xml:space="preserve">ESP32-S3 dev module</w:t>
            </w:r>
          </w:p>
        </w:tc>
        <w:tc>
          <w:tcPr>
            <w:tcW w:type="dxa" w:w="2400"/>
            <w:tcMar>
              <w:top w:type="dxa" w:w="60"/>
              <w:left w:type="dxa" w:w="90"/>
              <w:bottom w:type="dxa" w:w="60"/>
              <w:right w:type="dxa" w:w="90"/>
            </w:tcMar>
          </w:tcPr>
          <w:p>
            <w:r>
              <w:rPr>
                <w:b w:val="false"/>
                <w:bCs w:val="false"/>
                <w:sz w:val="18"/>
                <w:szCs w:val="18"/>
              </w:rPr>
              <w:t xml:space="preserve">400–600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Or bare module for production build</w:t>
            </w:r>
          </w:p>
        </w:tc>
      </w:tr>
      <w:tr>
        <w:tc>
          <w:tcPr>
            <w:tcW w:type="dxa" w:w="3600"/>
            <w:shd w:fill="DCE6F1" w:val="clear"/>
            <w:tcMar>
              <w:top w:type="dxa" w:w="60"/>
              <w:left w:type="dxa" w:w="90"/>
              <w:bottom w:type="dxa" w:w="60"/>
              <w:right w:type="dxa" w:w="90"/>
            </w:tcMar>
          </w:tcPr>
          <w:p>
            <w:r>
              <w:rPr>
                <w:b w:val="false"/>
                <w:bCs w:val="false"/>
                <w:sz w:val="18"/>
                <w:szCs w:val="18"/>
              </w:rPr>
              <w:t xml:space="preserve">UWB module (DW3000-based)</w:t>
            </w:r>
          </w:p>
        </w:tc>
        <w:tc>
          <w:tcPr>
            <w:tcW w:type="dxa" w:w="2400"/>
            <w:shd w:fill="DCE6F1" w:val="clear"/>
            <w:tcMar>
              <w:top w:type="dxa" w:w="60"/>
              <w:left w:type="dxa" w:w="90"/>
              <w:bottom w:type="dxa" w:w="60"/>
              <w:right w:type="dxa" w:w="90"/>
            </w:tcMar>
          </w:tcPr>
          <w:p>
            <w:r>
              <w:rPr>
                <w:b w:val="false"/>
                <w:bCs w:val="false"/>
                <w:sz w:val="18"/>
                <w:szCs w:val="18"/>
              </w:rPr>
              <w:t xml:space="preserve">1,500–2,500</w:t>
            </w:r>
          </w:p>
        </w:tc>
        <w:tc>
          <w:tcPr>
            <w:tcW w:type="dxa" w:w="1600"/>
            <w:shd w:fill="DCE6F1" w:val="clear"/>
            <w:tcMar>
              <w:top w:type="dxa" w:w="60"/>
              <w:left w:type="dxa" w:w="90"/>
              <w:bottom w:type="dxa" w:w="60"/>
              <w:right w:type="dxa" w:w="90"/>
            </w:tcMar>
          </w:tcPr>
          <w:p>
            <w:r>
              <w:rPr>
                <w:b w:val="false"/>
                <w:bCs w:val="false"/>
                <w:sz w:val="18"/>
                <w:szCs w:val="18"/>
              </w:rPr>
              <w:t xml:space="preserve">1</w:t>
            </w:r>
          </w:p>
        </w:tc>
        <w:tc>
          <w:tcPr>
            <w:tcW w:type="dxa" w:w="1760"/>
            <w:shd w:fill="DCE6F1" w:val="clear"/>
            <w:tcMar>
              <w:top w:type="dxa" w:w="60"/>
              <w:left w:type="dxa" w:w="90"/>
              <w:bottom w:type="dxa" w:w="60"/>
              <w:right w:type="dxa" w:w="90"/>
            </w:tcMar>
          </w:tcPr>
          <w:p>
            <w:r>
              <w:rPr>
                <w:b w:val="false"/>
                <w:bCs w:val="false"/>
                <w:sz w:val="18"/>
                <w:szCs w:val="18"/>
              </w:rPr>
              <w:t xml:space="preserve">Higher cost item; drives most of hub BOM</w:t>
            </w:r>
          </w:p>
        </w:tc>
      </w:tr>
      <w:tr>
        <w:tc>
          <w:tcPr>
            <w:tcW w:type="dxa" w:w="3600"/>
            <w:tcMar>
              <w:top w:type="dxa" w:w="60"/>
              <w:left w:type="dxa" w:w="90"/>
              <w:bottom w:type="dxa" w:w="60"/>
              <w:right w:type="dxa" w:w="90"/>
            </w:tcMar>
          </w:tcPr>
          <w:p>
            <w:r>
              <w:rPr>
                <w:b w:val="false"/>
                <w:bCs w:val="false"/>
                <w:sz w:val="18"/>
                <w:szCs w:val="18"/>
              </w:rPr>
              <w:t xml:space="preserve">MPU6050 IMU breakout</w:t>
            </w:r>
          </w:p>
        </w:tc>
        <w:tc>
          <w:tcPr>
            <w:tcW w:type="dxa" w:w="2400"/>
            <w:tcMar>
              <w:top w:type="dxa" w:w="60"/>
              <w:left w:type="dxa" w:w="90"/>
              <w:bottom w:type="dxa" w:w="60"/>
              <w:right w:type="dxa" w:w="90"/>
            </w:tcMar>
          </w:tcPr>
          <w:p>
            <w:r>
              <w:rPr>
                <w:b w:val="false"/>
                <w:bCs w:val="false"/>
                <w:sz w:val="18"/>
                <w:szCs w:val="18"/>
              </w:rPr>
              <w:t xml:space="preserve">80–150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MAX30102 HR/SpO2 breakout</w:t>
            </w:r>
          </w:p>
        </w:tc>
        <w:tc>
          <w:tcPr>
            <w:tcW w:type="dxa" w:w="2400"/>
            <w:shd w:fill="DCE6F1" w:val="clear"/>
            <w:tcMar>
              <w:top w:type="dxa" w:w="60"/>
              <w:left w:type="dxa" w:w="90"/>
              <w:bottom w:type="dxa" w:w="60"/>
              <w:right w:type="dxa" w:w="90"/>
            </w:tcMar>
          </w:tcPr>
          <w:p>
            <w:r>
              <w:rPr>
                <w:b w:val="false"/>
                <w:bCs w:val="false"/>
                <w:sz w:val="18"/>
                <w:szCs w:val="18"/>
              </w:rPr>
              <w:t xml:space="preserve">150–250</w:t>
            </w:r>
          </w:p>
        </w:tc>
        <w:tc>
          <w:tcPr>
            <w:tcW w:type="dxa" w:w="1600"/>
            <w:shd w:fill="DCE6F1" w:val="clear"/>
            <w:tcMar>
              <w:top w:type="dxa" w:w="60"/>
              <w:left w:type="dxa" w:w="90"/>
              <w:bottom w:type="dxa" w:w="60"/>
              <w:right w:type="dxa" w:w="90"/>
            </w:tcMar>
          </w:tcPr>
          <w:p>
            <w:r>
              <w:rPr>
                <w:b w:val="false"/>
                <w:bCs w:val="false"/>
                <w:sz w:val="18"/>
                <w:szCs w:val="18"/>
              </w:rPr>
              <w:t xml:space="preserve">1</w:t>
            </w:r>
          </w:p>
        </w:tc>
        <w:tc>
          <w:tcPr>
            <w:tcW w:type="dxa" w:w="1760"/>
            <w:shd w:fill="DCE6F1" w:val="clear"/>
            <w:tcMar>
              <w:top w:type="dxa" w:w="60"/>
              <w:left w:type="dxa" w:w="90"/>
              <w:bottom w:type="dxa" w:w="60"/>
              <w:right w:type="dxa" w:w="90"/>
            </w:tcMar>
          </w:tcPr>
          <w:p>
            <w:r>
              <w:rPr>
                <w:b w:val="false"/>
                <w:bCs w:val="false"/>
                <w:sz w:val="18"/>
                <w:szCs w:val="18"/>
              </w:rPr>
              <w:t xml:space="preserve"/>
            </w:r>
          </w:p>
        </w:tc>
      </w:tr>
      <w:tr>
        <w:tc>
          <w:tcPr>
            <w:tcW w:type="dxa" w:w="3600"/>
            <w:tcMar>
              <w:top w:type="dxa" w:w="60"/>
              <w:left w:type="dxa" w:w="90"/>
              <w:bottom w:type="dxa" w:w="60"/>
              <w:right w:type="dxa" w:w="90"/>
            </w:tcMar>
          </w:tcPr>
          <w:p>
            <w:r>
              <w:rPr>
                <w:b w:val="false"/>
                <w:bCs w:val="false"/>
                <w:sz w:val="18"/>
                <w:szCs w:val="18"/>
              </w:rPr>
              <w:t xml:space="preserve">MLX90614 IR temperature sensor</w:t>
            </w:r>
          </w:p>
        </w:tc>
        <w:tc>
          <w:tcPr>
            <w:tcW w:type="dxa" w:w="2400"/>
            <w:tcMar>
              <w:top w:type="dxa" w:w="60"/>
              <w:left w:type="dxa" w:w="90"/>
              <w:bottom w:type="dxa" w:w="60"/>
              <w:right w:type="dxa" w:w="90"/>
            </w:tcMar>
          </w:tcPr>
          <w:p>
            <w:r>
              <w:rPr>
                <w:b w:val="false"/>
                <w:bCs w:val="false"/>
                <w:sz w:val="18"/>
                <w:szCs w:val="18"/>
              </w:rPr>
              <w:t xml:space="preserve">500–700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LoRa module (SX1262-based)</w:t>
            </w:r>
          </w:p>
        </w:tc>
        <w:tc>
          <w:tcPr>
            <w:tcW w:type="dxa" w:w="2400"/>
            <w:shd w:fill="DCE6F1" w:val="clear"/>
            <w:tcMar>
              <w:top w:type="dxa" w:w="60"/>
              <w:left w:type="dxa" w:w="90"/>
              <w:bottom w:type="dxa" w:w="60"/>
              <w:right w:type="dxa" w:w="90"/>
            </w:tcMar>
          </w:tcPr>
          <w:p>
            <w:r>
              <w:rPr>
                <w:b w:val="false"/>
                <w:bCs w:val="false"/>
                <w:sz w:val="18"/>
                <w:szCs w:val="18"/>
              </w:rPr>
              <w:t xml:space="preserve">300–500</w:t>
            </w:r>
          </w:p>
        </w:tc>
        <w:tc>
          <w:tcPr>
            <w:tcW w:type="dxa" w:w="1600"/>
            <w:shd w:fill="DCE6F1" w:val="clear"/>
            <w:tcMar>
              <w:top w:type="dxa" w:w="60"/>
              <w:left w:type="dxa" w:w="90"/>
              <w:bottom w:type="dxa" w:w="60"/>
              <w:right w:type="dxa" w:w="90"/>
            </w:tcMar>
          </w:tcPr>
          <w:p>
            <w:r>
              <w:rPr>
                <w:b w:val="false"/>
                <w:bCs w:val="false"/>
                <w:sz w:val="18"/>
                <w:szCs w:val="18"/>
              </w:rPr>
              <w:t xml:space="preserve">1</w:t>
            </w:r>
          </w:p>
        </w:tc>
        <w:tc>
          <w:tcPr>
            <w:tcW w:type="dxa" w:w="1760"/>
            <w:shd w:fill="DCE6F1" w:val="clear"/>
            <w:tcMar>
              <w:top w:type="dxa" w:w="60"/>
              <w:left w:type="dxa" w:w="90"/>
              <w:bottom w:type="dxa" w:w="60"/>
              <w:right w:type="dxa" w:w="90"/>
            </w:tcMar>
          </w:tcPr>
          <w:p>
            <w:r>
              <w:rPr>
                <w:b w:val="false"/>
                <w:bCs w:val="false"/>
                <w:sz w:val="18"/>
                <w:szCs w:val="18"/>
              </w:rPr>
              <w:t xml:space="preserve"/>
            </w:r>
          </w:p>
        </w:tc>
      </w:tr>
      <w:tr>
        <w:tc>
          <w:tcPr>
            <w:tcW w:type="dxa" w:w="3600"/>
            <w:tcMar>
              <w:top w:type="dxa" w:w="60"/>
              <w:left w:type="dxa" w:w="90"/>
              <w:bottom w:type="dxa" w:w="60"/>
              <w:right w:type="dxa" w:w="90"/>
            </w:tcMar>
          </w:tcPr>
          <w:p>
            <w:r>
              <w:rPr>
                <w:b w:val="false"/>
                <w:bCs w:val="false"/>
                <w:sz w:val="18"/>
                <w:szCs w:val="18"/>
              </w:rPr>
              <w:t xml:space="preserve">PN532 NFC reader module</w:t>
            </w:r>
          </w:p>
        </w:tc>
        <w:tc>
          <w:tcPr>
            <w:tcW w:type="dxa" w:w="2400"/>
            <w:tcMar>
              <w:top w:type="dxa" w:w="60"/>
              <w:left w:type="dxa" w:w="90"/>
              <w:bottom w:type="dxa" w:w="60"/>
              <w:right w:type="dxa" w:w="90"/>
            </w:tcMar>
          </w:tcPr>
          <w:p>
            <w:r>
              <w:rPr>
                <w:b w:val="false"/>
                <w:bCs w:val="false"/>
                <w:sz w:val="18"/>
                <w:szCs w:val="18"/>
              </w:rPr>
              <w:t xml:space="preserve">300–450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Gas sensor (MQ-series, optional)</w:t>
            </w:r>
          </w:p>
        </w:tc>
        <w:tc>
          <w:tcPr>
            <w:tcW w:type="dxa" w:w="2400"/>
            <w:shd w:fill="DCE6F1" w:val="clear"/>
            <w:tcMar>
              <w:top w:type="dxa" w:w="60"/>
              <w:left w:type="dxa" w:w="90"/>
              <w:bottom w:type="dxa" w:w="60"/>
              <w:right w:type="dxa" w:w="90"/>
            </w:tcMar>
          </w:tcPr>
          <w:p>
            <w:r>
              <w:rPr>
                <w:b w:val="false"/>
                <w:bCs w:val="false"/>
                <w:sz w:val="18"/>
                <w:szCs w:val="18"/>
              </w:rPr>
              <w:t xml:space="preserve">150–300</w:t>
            </w:r>
          </w:p>
        </w:tc>
        <w:tc>
          <w:tcPr>
            <w:tcW w:type="dxa" w:w="1600"/>
            <w:shd w:fill="DCE6F1" w:val="clear"/>
            <w:tcMar>
              <w:top w:type="dxa" w:w="60"/>
              <w:left w:type="dxa" w:w="90"/>
              <w:bottom w:type="dxa" w:w="60"/>
              <w:right w:type="dxa" w:w="90"/>
            </w:tcMar>
          </w:tcPr>
          <w:p>
            <w:r>
              <w:rPr>
                <w:b w:val="false"/>
                <w:bCs w:val="false"/>
                <w:sz w:val="18"/>
                <w:szCs w:val="18"/>
              </w:rPr>
              <w:t xml:space="preserve">1</w:t>
            </w:r>
          </w:p>
        </w:tc>
        <w:tc>
          <w:tcPr>
            <w:tcW w:type="dxa" w:w="1760"/>
            <w:shd w:fill="DCE6F1" w:val="clear"/>
            <w:tcMar>
              <w:top w:type="dxa" w:w="60"/>
              <w:left w:type="dxa" w:w="90"/>
              <w:bottom w:type="dxa" w:w="60"/>
              <w:right w:type="dxa" w:w="90"/>
            </w:tcMar>
          </w:tcPr>
          <w:p>
            <w:r>
              <w:rPr>
                <w:b w:val="false"/>
                <w:bCs w:val="false"/>
                <w:sz w:val="18"/>
                <w:szCs w:val="18"/>
              </w:rPr>
              <w:t xml:space="preserve">Optional per-worker; can rely on zone sensors instead</w:t>
            </w:r>
          </w:p>
        </w:tc>
      </w:tr>
      <w:tr>
        <w:tc>
          <w:tcPr>
            <w:tcW w:type="dxa" w:w="3600"/>
            <w:tcMar>
              <w:top w:type="dxa" w:w="60"/>
              <w:left w:type="dxa" w:w="90"/>
              <w:bottom w:type="dxa" w:w="60"/>
              <w:right w:type="dxa" w:w="90"/>
            </w:tcMar>
          </w:tcPr>
          <w:p>
            <w:r>
              <w:rPr>
                <w:b w:val="false"/>
                <w:bCs w:val="false"/>
                <w:sz w:val="18"/>
                <w:szCs w:val="18"/>
              </w:rPr>
              <w:t xml:space="preserve">Li-ion battery pack + PMIC</w:t>
            </w:r>
          </w:p>
        </w:tc>
        <w:tc>
          <w:tcPr>
            <w:tcW w:type="dxa" w:w="2400"/>
            <w:tcMar>
              <w:top w:type="dxa" w:w="60"/>
              <w:left w:type="dxa" w:w="90"/>
              <w:bottom w:type="dxa" w:w="60"/>
              <w:right w:type="dxa" w:w="90"/>
            </w:tcMar>
          </w:tcPr>
          <w:p>
            <w:r>
              <w:rPr>
                <w:b w:val="false"/>
                <w:bCs w:val="false"/>
                <w:sz w:val="18"/>
                <w:szCs w:val="18"/>
              </w:rPr>
              <w:t xml:space="preserve">300–500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Helmet strap microswitch</w:t>
            </w:r>
          </w:p>
        </w:tc>
        <w:tc>
          <w:tcPr>
            <w:tcW w:type="dxa" w:w="2400"/>
            <w:shd w:fill="DCE6F1" w:val="clear"/>
            <w:tcMar>
              <w:top w:type="dxa" w:w="60"/>
              <w:left w:type="dxa" w:w="90"/>
              <w:bottom w:type="dxa" w:w="60"/>
              <w:right w:type="dxa" w:w="90"/>
            </w:tcMar>
          </w:tcPr>
          <w:p>
            <w:r>
              <w:rPr>
                <w:b w:val="false"/>
                <w:bCs w:val="false"/>
                <w:sz w:val="18"/>
                <w:szCs w:val="18"/>
              </w:rPr>
              <w:t xml:space="preserve">30–60</w:t>
            </w:r>
          </w:p>
        </w:tc>
        <w:tc>
          <w:tcPr>
            <w:tcW w:type="dxa" w:w="1600"/>
            <w:shd w:fill="DCE6F1" w:val="clear"/>
            <w:tcMar>
              <w:top w:type="dxa" w:w="60"/>
              <w:left w:type="dxa" w:w="90"/>
              <w:bottom w:type="dxa" w:w="60"/>
              <w:right w:type="dxa" w:w="90"/>
            </w:tcMar>
          </w:tcPr>
          <w:p>
            <w:r>
              <w:rPr>
                <w:b w:val="false"/>
                <w:bCs w:val="false"/>
                <w:sz w:val="18"/>
                <w:szCs w:val="18"/>
              </w:rPr>
              <w:t xml:space="preserve">1</w:t>
            </w:r>
          </w:p>
        </w:tc>
        <w:tc>
          <w:tcPr>
            <w:tcW w:type="dxa" w:w="1760"/>
            <w:shd w:fill="DCE6F1" w:val="clear"/>
            <w:tcMar>
              <w:top w:type="dxa" w:w="60"/>
              <w:left w:type="dxa" w:w="90"/>
              <w:bottom w:type="dxa" w:w="60"/>
              <w:right w:type="dxa" w:w="90"/>
            </w:tcMar>
          </w:tcPr>
          <w:p>
            <w:r>
              <w:rPr>
                <w:b w:val="false"/>
                <w:bCs w:val="false"/>
                <w:sz w:val="18"/>
                <w:szCs w:val="18"/>
              </w:rPr>
              <w:t xml:space="preserve"/>
            </w:r>
          </w:p>
        </w:tc>
      </w:tr>
      <w:tr>
        <w:tc>
          <w:tcPr>
            <w:tcW w:type="dxa" w:w="3600"/>
            <w:tcMar>
              <w:top w:type="dxa" w:w="60"/>
              <w:left w:type="dxa" w:w="90"/>
              <w:bottom w:type="dxa" w:w="60"/>
              <w:right w:type="dxa" w:w="90"/>
            </w:tcMar>
          </w:tcPr>
          <w:p>
            <w:r>
              <w:rPr>
                <w:b w:val="false"/>
                <w:bCs w:val="false"/>
                <w:sz w:val="18"/>
                <w:szCs w:val="18"/>
              </w:rPr>
              <w:t xml:space="preserve">SOS button + misc wiring/enclosure</w:t>
            </w:r>
          </w:p>
        </w:tc>
        <w:tc>
          <w:tcPr>
            <w:tcW w:type="dxa" w:w="2400"/>
            <w:tcMar>
              <w:top w:type="dxa" w:w="60"/>
              <w:left w:type="dxa" w:w="90"/>
              <w:bottom w:type="dxa" w:w="60"/>
              <w:right w:type="dxa" w:w="90"/>
            </w:tcMar>
          </w:tcPr>
          <w:p>
            <w:r>
              <w:rPr>
                <w:b w:val="false"/>
                <w:bCs w:val="false"/>
                <w:sz w:val="18"/>
                <w:szCs w:val="18"/>
              </w:rPr>
              <w:t xml:space="preserve">150–300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UHF RFID PPE tags (helmet, vest, gloves, boots)</w:t>
            </w:r>
          </w:p>
        </w:tc>
        <w:tc>
          <w:tcPr>
            <w:tcW w:type="dxa" w:w="2400"/>
            <w:shd w:fill="DCE6F1" w:val="clear"/>
            <w:tcMar>
              <w:top w:type="dxa" w:w="60"/>
              <w:left w:type="dxa" w:w="90"/>
              <w:bottom w:type="dxa" w:w="60"/>
              <w:right w:type="dxa" w:w="90"/>
            </w:tcMar>
          </w:tcPr>
          <w:p>
            <w:r>
              <w:rPr>
                <w:b w:val="false"/>
                <w:bCs w:val="false"/>
                <w:sz w:val="18"/>
                <w:szCs w:val="18"/>
              </w:rPr>
              <w:t xml:space="preserve">25–50 each</w:t>
            </w:r>
          </w:p>
        </w:tc>
        <w:tc>
          <w:tcPr>
            <w:tcW w:type="dxa" w:w="1600"/>
            <w:shd w:fill="DCE6F1" w:val="clear"/>
            <w:tcMar>
              <w:top w:type="dxa" w:w="60"/>
              <w:left w:type="dxa" w:w="90"/>
              <w:bottom w:type="dxa" w:w="60"/>
              <w:right w:type="dxa" w:w="90"/>
            </w:tcMar>
          </w:tcPr>
          <w:p>
            <w:r>
              <w:rPr>
                <w:b w:val="false"/>
                <w:bCs w:val="false"/>
                <w:sz w:val="18"/>
                <w:szCs w:val="18"/>
              </w:rPr>
              <w:t xml:space="preserve">4</w:t>
            </w:r>
          </w:p>
        </w:tc>
        <w:tc>
          <w:tcPr>
            <w:tcW w:type="dxa" w:w="1760"/>
            <w:shd w:fill="DCE6F1" w:val="clear"/>
            <w:tcMar>
              <w:top w:type="dxa" w:w="60"/>
              <w:left w:type="dxa" w:w="90"/>
              <w:bottom w:type="dxa" w:w="60"/>
              <w:right w:type="dxa" w:w="90"/>
            </w:tcMar>
          </w:tcPr>
          <w:p>
            <w:r>
              <w:rPr>
                <w:b w:val="false"/>
                <w:bCs w:val="false"/>
                <w:sz w:val="18"/>
                <w:szCs w:val="18"/>
              </w:rPr>
              <w:t xml:space="preserve">≈100–200 total</w:t>
            </w:r>
          </w:p>
        </w:tc>
      </w:tr>
      <w:tr>
        <w:tc>
          <w:tcPr>
            <w:tcW w:type="dxa" w:w="3600"/>
            <w:tcMar>
              <w:top w:type="dxa" w:w="60"/>
              <w:left w:type="dxa" w:w="90"/>
              <w:bottom w:type="dxa" w:w="60"/>
              <w:right w:type="dxa" w:w="90"/>
            </w:tcMar>
          </w:tcPr>
          <w:p>
            <w:r>
              <w:rPr>
                <w:b w:val="false"/>
                <w:bCs w:val="false"/>
                <w:sz w:val="18"/>
                <w:szCs w:val="18"/>
              </w:rPr>
              <w:t xml:space="preserve">NFC worker ID badge</w:t>
            </w:r>
          </w:p>
        </w:tc>
        <w:tc>
          <w:tcPr>
            <w:tcW w:type="dxa" w:w="2400"/>
            <w:tcMar>
              <w:top w:type="dxa" w:w="60"/>
              <w:left w:type="dxa" w:w="90"/>
              <w:bottom w:type="dxa" w:w="60"/>
              <w:right w:type="dxa" w:w="90"/>
            </w:tcMar>
          </w:tcPr>
          <w:p>
            <w:r>
              <w:rPr>
                <w:b w:val="false"/>
                <w:bCs w:val="false"/>
                <w:sz w:val="18"/>
                <w:szCs w:val="18"/>
              </w:rPr>
              <w:t xml:space="preserve">20–40</w:t>
            </w:r>
          </w:p>
        </w:tc>
        <w:tc>
          <w:tcPr>
            <w:tcW w:type="dxa" w:w="1600"/>
            <w:tcMar>
              <w:top w:type="dxa" w:w="60"/>
              <w:left w:type="dxa" w:w="90"/>
              <w:bottom w:type="dxa" w:w="60"/>
              <w:right w:type="dxa" w:w="90"/>
            </w:tcMar>
          </w:tcPr>
          <w:p>
            <w:r>
              <w:rPr>
                <w:b w:val="false"/>
                <w:bCs w:val="false"/>
                <w:sz w:val="18"/>
                <w:szCs w:val="18"/>
              </w:rPr>
              <w:t xml:space="preserve">1</w:t>
            </w:r>
          </w:p>
        </w:tc>
        <w:tc>
          <w:tcPr>
            <w:tcW w:type="dxa" w:w="1760"/>
            <w:tcMar>
              <w:top w:type="dxa" w:w="60"/>
              <w:left w:type="dxa" w:w="90"/>
              <w:bottom w:type="dxa" w:w="60"/>
              <w:right w:type="dxa" w:w="90"/>
            </w:tcMar>
          </w:tcPr>
          <w:p>
            <w:r>
              <w:rPr>
                <w:b w:val="false"/>
                <w:bCs w:val="false"/>
                <w:sz w:val="18"/>
                <w:szCs w:val="18"/>
              </w:rPr>
              <w:t xml:space="preserve"/>
            </w:r>
          </w:p>
        </w:tc>
      </w:tr>
      <w:tr>
        <w:tc>
          <w:tcPr>
            <w:tcW w:type="dxa" w:w="3600"/>
            <w:shd w:fill="DCE6F1" w:val="clear"/>
            <w:tcMar>
              <w:top w:type="dxa" w:w="60"/>
              <w:left w:type="dxa" w:w="90"/>
              <w:bottom w:type="dxa" w:w="60"/>
              <w:right w:type="dxa" w:w="90"/>
            </w:tcMar>
          </w:tcPr>
          <w:p>
            <w:r>
              <w:rPr>
                <w:b w:val="false"/>
                <w:bCs w:val="false"/>
                <w:sz w:val="18"/>
                <w:szCs w:val="18"/>
              </w:rPr>
              <w:t xml:space="preserve">Approx. subtotal per worker</w:t>
            </w:r>
          </w:p>
        </w:tc>
        <w:tc>
          <w:tcPr>
            <w:tcW w:type="dxa" w:w="2400"/>
            <w:shd w:fill="DCE6F1" w:val="clear"/>
            <w:tcMar>
              <w:top w:type="dxa" w:w="60"/>
              <w:left w:type="dxa" w:w="90"/>
              <w:bottom w:type="dxa" w:w="60"/>
              <w:right w:type="dxa" w:w="90"/>
            </w:tcMar>
          </w:tcPr>
          <w:p>
            <w:r>
              <w:rPr>
                <w:b w:val="false"/>
                <w:bCs w:val="false"/>
                <w:sz w:val="18"/>
                <w:szCs w:val="18"/>
              </w:rPr>
              <w:t xml:space="preserve">≈ 3,900–6,400</w:t>
            </w:r>
          </w:p>
        </w:tc>
        <w:tc>
          <w:tcPr>
            <w:tcW w:type="dxa" w:w="1600"/>
            <w:shd w:fill="DCE6F1" w:val="clear"/>
            <w:tcMar>
              <w:top w:type="dxa" w:w="60"/>
              <w:left w:type="dxa" w:w="90"/>
              <w:bottom w:type="dxa" w:w="60"/>
              <w:right w:type="dxa" w:w="90"/>
            </w:tcMar>
          </w:tcPr>
          <w:p>
            <w:r>
              <w:rPr>
                <w:b w:val="false"/>
                <w:bCs w:val="false"/>
                <w:sz w:val="18"/>
                <w:szCs w:val="18"/>
              </w:rPr>
              <w:t xml:space="preserve">—</w:t>
            </w:r>
          </w:p>
        </w:tc>
        <w:tc>
          <w:tcPr>
            <w:tcW w:type="dxa" w:w="1760"/>
            <w:shd w:fill="DCE6F1" w:val="clear"/>
            <w:tcMar>
              <w:top w:type="dxa" w:w="60"/>
              <w:left w:type="dxa" w:w="90"/>
              <w:bottom w:type="dxa" w:w="60"/>
              <w:right w:type="dxa" w:w="90"/>
            </w:tcMar>
          </w:tcPr>
          <w:p>
            <w:r>
              <w:rPr>
                <w:b w:val="false"/>
                <w:bCs w:val="false"/>
                <w:sz w:val="18"/>
                <w:szCs w:val="18"/>
              </w:rPr>
              <w:t xml:space="preserve">Excludes assembly, enclosure fabrication, firmware dev time</w:t>
            </w:r>
          </w:p>
        </w:tc>
      </w:tr>
    </w:tbl>
    <w:p>
      <w:pPr>
        <w:pStyle w:val="Heading2"/>
        <w:spacing w:after="120" w:before="260"/>
      </w:pPr>
      <w:r>
        <w:t xml:space="preserve">4.2 Per-Chamber (Checkpoint)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shd w:fill="1F4E79" w:val="clear"/>
            <w:tcMar>
              <w:top w:type="dxa" w:w="60"/>
              <w:left w:type="dxa" w:w="90"/>
              <w:bottom w:type="dxa" w:w="60"/>
              <w:right w:type="dxa" w:w="90"/>
            </w:tcMar>
          </w:tcPr>
          <w:p>
            <w:r>
              <w:rPr>
                <w:b/>
                <w:bCs/>
                <w:color w:val="FFFFFF"/>
                <w:sz w:val="18"/>
                <w:szCs w:val="18"/>
              </w:rPr>
              <w:t xml:space="preserve">Item</w:t>
            </w:r>
          </w:p>
        </w:tc>
        <w:tc>
          <w:tcPr>
            <w:tcW w:type="dxa" w:w="2400"/>
            <w:shd w:fill="1F4E79" w:val="clear"/>
            <w:tcMar>
              <w:top w:type="dxa" w:w="60"/>
              <w:left w:type="dxa" w:w="90"/>
              <w:bottom w:type="dxa" w:w="60"/>
              <w:right w:type="dxa" w:w="90"/>
            </w:tcMar>
          </w:tcPr>
          <w:p>
            <w:r>
              <w:rPr>
                <w:b/>
                <w:bCs/>
                <w:color w:val="FFFFFF"/>
                <w:sz w:val="18"/>
                <w:szCs w:val="18"/>
              </w:rPr>
              <w:t xml:space="preserve">Approx. cost (INR)</w:t>
            </w:r>
          </w:p>
        </w:tc>
        <w:tc>
          <w:tcPr>
            <w:tcW w:type="dxa" w:w="3160"/>
            <w:shd w:fill="1F4E79" w:val="clear"/>
            <w:tcMar>
              <w:top w:type="dxa" w:w="60"/>
              <w:left w:type="dxa" w:w="90"/>
              <w:bottom w:type="dxa" w:w="60"/>
              <w:right w:type="dxa" w:w="90"/>
            </w:tcMar>
          </w:tcPr>
          <w:p>
            <w:r>
              <w:rPr>
                <w:b/>
                <w:bCs/>
                <w:color w:val="FFFFFF"/>
                <w:sz w:val="18"/>
                <w:szCs w:val="18"/>
              </w:rPr>
              <w:t xml:space="preserve">Notes</w:t>
            </w:r>
          </w:p>
        </w:tc>
      </w:tr>
      <w:tr>
        <w:tc>
          <w:tcPr>
            <w:tcW w:type="dxa" w:w="3800"/>
            <w:tcMar>
              <w:top w:type="dxa" w:w="60"/>
              <w:left w:type="dxa" w:w="90"/>
              <w:bottom w:type="dxa" w:w="60"/>
              <w:right w:type="dxa" w:w="90"/>
            </w:tcMar>
          </w:tcPr>
          <w:p>
            <w:r>
              <w:rPr>
                <w:b w:val="false"/>
                <w:bCs w:val="false"/>
                <w:sz w:val="18"/>
                <w:szCs w:val="18"/>
              </w:rPr>
              <w:t xml:space="preserve">UHF RFID portal reader (multi-antenna gate)</w:t>
            </w:r>
          </w:p>
        </w:tc>
        <w:tc>
          <w:tcPr>
            <w:tcW w:type="dxa" w:w="2400"/>
            <w:tcMar>
              <w:top w:type="dxa" w:w="60"/>
              <w:left w:type="dxa" w:w="90"/>
              <w:bottom w:type="dxa" w:w="60"/>
              <w:right w:type="dxa" w:w="90"/>
            </w:tcMar>
          </w:tcPr>
          <w:p>
            <w:r>
              <w:rPr>
                <w:b w:val="false"/>
                <w:bCs w:val="false"/>
                <w:sz w:val="18"/>
                <w:szCs w:val="18"/>
              </w:rPr>
              <w:t xml:space="preserve">15,000–40,000</w:t>
            </w:r>
          </w:p>
        </w:tc>
        <w:tc>
          <w:tcPr>
            <w:tcW w:type="dxa" w:w="3160"/>
            <w:tcMar>
              <w:top w:type="dxa" w:w="60"/>
              <w:left w:type="dxa" w:w="90"/>
              <w:bottom w:type="dxa" w:w="60"/>
              <w:right w:type="dxa" w:w="90"/>
            </w:tcMar>
          </w:tcPr>
          <w:p>
            <w:r>
              <w:rPr>
                <w:b w:val="false"/>
                <w:bCs w:val="false"/>
                <w:sz w:val="18"/>
                <w:szCs w:val="18"/>
              </w:rPr>
              <w:t xml:space="preserve">Biggest chamber cost item; can start with a single fixed reader + 2 antennas for a pilot</w:t>
            </w:r>
          </w:p>
        </w:tc>
      </w:tr>
      <w:tr>
        <w:tc>
          <w:tcPr>
            <w:tcW w:type="dxa" w:w="3800"/>
            <w:shd w:fill="DCE6F1" w:val="clear"/>
            <w:tcMar>
              <w:top w:type="dxa" w:w="60"/>
              <w:left w:type="dxa" w:w="90"/>
              <w:bottom w:type="dxa" w:w="60"/>
              <w:right w:type="dxa" w:w="90"/>
            </w:tcMar>
          </w:tcPr>
          <w:p>
            <w:r>
              <w:rPr>
                <w:b w:val="false"/>
                <w:bCs w:val="false"/>
                <w:sz w:val="18"/>
                <w:szCs w:val="18"/>
              </w:rPr>
              <w:t xml:space="preserve">AI camera (USB/IP camera, edge-suitable)</w:t>
            </w:r>
          </w:p>
        </w:tc>
        <w:tc>
          <w:tcPr>
            <w:tcW w:type="dxa" w:w="2400"/>
            <w:shd w:fill="DCE6F1" w:val="clear"/>
            <w:tcMar>
              <w:top w:type="dxa" w:w="60"/>
              <w:left w:type="dxa" w:w="90"/>
              <w:bottom w:type="dxa" w:w="60"/>
              <w:right w:type="dxa" w:w="90"/>
            </w:tcMar>
          </w:tcPr>
          <w:p>
            <w:r>
              <w:rPr>
                <w:b w:val="false"/>
                <w:bCs w:val="false"/>
                <w:sz w:val="18"/>
                <w:szCs w:val="18"/>
              </w:rPr>
              <w:t xml:space="preserve">1,500–4,000</w:t>
            </w:r>
          </w:p>
        </w:tc>
        <w:tc>
          <w:tcPr>
            <w:tcW w:type="dxa" w:w="3160"/>
            <w:shd w:fill="DCE6F1" w:val="clear"/>
            <w:tcMar>
              <w:top w:type="dxa" w:w="60"/>
              <w:left w:type="dxa" w:w="90"/>
              <w:bottom w:type="dxa" w:w="60"/>
              <w:right w:type="dxa" w:w="90"/>
            </w:tcMar>
          </w:tcPr>
          <w:p>
            <w:r>
              <w:rPr>
                <w:b w:val="false"/>
                <w:bCs w:val="false"/>
                <w:sz w:val="18"/>
                <w:szCs w:val="18"/>
              </w:rPr>
              <w:t xml:space="preserve">Resolution/frame-rate sized for Raspberry Pi inference</w:t>
            </w:r>
          </w:p>
        </w:tc>
      </w:tr>
      <w:tr>
        <w:tc>
          <w:tcPr>
            <w:tcW w:type="dxa" w:w="3800"/>
            <w:tcMar>
              <w:top w:type="dxa" w:w="60"/>
              <w:left w:type="dxa" w:w="90"/>
              <w:bottom w:type="dxa" w:w="60"/>
              <w:right w:type="dxa" w:w="90"/>
            </w:tcMar>
          </w:tcPr>
          <w:p>
            <w:r>
              <w:rPr>
                <w:b w:val="false"/>
                <w:bCs w:val="false"/>
                <w:sz w:val="18"/>
                <w:szCs w:val="18"/>
              </w:rPr>
              <w:t xml:space="preserve">Raspberry Pi 4/5 (edge inference for YOLO PPE model)</w:t>
            </w:r>
          </w:p>
        </w:tc>
        <w:tc>
          <w:tcPr>
            <w:tcW w:type="dxa" w:w="2400"/>
            <w:tcMar>
              <w:top w:type="dxa" w:w="60"/>
              <w:left w:type="dxa" w:w="90"/>
              <w:bottom w:type="dxa" w:w="60"/>
              <w:right w:type="dxa" w:w="90"/>
            </w:tcMar>
          </w:tcPr>
          <w:p>
            <w:r>
              <w:rPr>
                <w:b w:val="false"/>
                <w:bCs w:val="false"/>
                <w:sz w:val="18"/>
                <w:szCs w:val="18"/>
              </w:rPr>
              <w:t xml:space="preserve">4,000–7,000</w:t>
            </w:r>
          </w:p>
        </w:tc>
        <w:tc>
          <w:tcPr>
            <w:tcW w:type="dxa" w:w="3160"/>
            <w:tcMar>
              <w:top w:type="dxa" w:w="60"/>
              <w:left w:type="dxa" w:w="90"/>
              <w:bottom w:type="dxa" w:w="60"/>
              <w:right w:type="dxa" w:w="90"/>
            </w:tcMar>
          </w:tcPr>
          <w:p>
            <w:r>
              <w:rPr>
                <w:b w:val="false"/>
                <w:bCs w:val="false"/>
                <w:sz w:val="18"/>
                <w:szCs w:val="18"/>
              </w:rPr>
              <w:t xml:space="preserve">Runs TensorFlow Lite PPE-detection model locally</w:t>
            </w:r>
          </w:p>
        </w:tc>
      </w:tr>
      <w:tr>
        <w:tc>
          <w:tcPr>
            <w:tcW w:type="dxa" w:w="3800"/>
            <w:shd w:fill="DCE6F1" w:val="clear"/>
            <w:tcMar>
              <w:top w:type="dxa" w:w="60"/>
              <w:left w:type="dxa" w:w="90"/>
              <w:bottom w:type="dxa" w:w="60"/>
              <w:right w:type="dxa" w:w="90"/>
            </w:tcMar>
          </w:tcPr>
          <w:p>
            <w:r>
              <w:rPr>
                <w:b w:val="false"/>
                <w:bCs w:val="false"/>
                <w:sz w:val="18"/>
                <w:szCs w:val="18"/>
              </w:rPr>
              <w:t xml:space="preserve">Turnstile/gate lock mechanism</w:t>
            </w:r>
          </w:p>
        </w:tc>
        <w:tc>
          <w:tcPr>
            <w:tcW w:type="dxa" w:w="2400"/>
            <w:shd w:fill="DCE6F1" w:val="clear"/>
            <w:tcMar>
              <w:top w:type="dxa" w:w="60"/>
              <w:left w:type="dxa" w:w="90"/>
              <w:bottom w:type="dxa" w:w="60"/>
              <w:right w:type="dxa" w:w="90"/>
            </w:tcMar>
          </w:tcPr>
          <w:p>
            <w:r>
              <w:rPr>
                <w:b w:val="false"/>
                <w:bCs w:val="false"/>
                <w:sz w:val="18"/>
                <w:szCs w:val="18"/>
              </w:rPr>
              <w:t xml:space="preserve">8,000–20,000</w:t>
            </w:r>
          </w:p>
        </w:tc>
        <w:tc>
          <w:tcPr>
            <w:tcW w:type="dxa" w:w="3160"/>
            <w:shd w:fill="DCE6F1" w:val="clear"/>
            <w:tcMar>
              <w:top w:type="dxa" w:w="60"/>
              <w:left w:type="dxa" w:w="90"/>
              <w:bottom w:type="dxa" w:w="60"/>
              <w:right w:type="dxa" w:w="90"/>
            </w:tcMar>
          </w:tcPr>
          <w:p>
            <w:r>
              <w:rPr>
                <w:b w:val="false"/>
                <w:bCs w:val="false"/>
                <w:sz w:val="18"/>
                <w:szCs w:val="18"/>
              </w:rPr>
              <w:t xml:space="preserve">Can be a simple electromagnetic lock for a pilot instead of a full turnstile</w:t>
            </w:r>
          </w:p>
        </w:tc>
      </w:tr>
      <w:tr>
        <w:tc>
          <w:tcPr>
            <w:tcW w:type="dxa" w:w="3800"/>
            <w:tcMar>
              <w:top w:type="dxa" w:w="60"/>
              <w:left w:type="dxa" w:w="90"/>
              <w:bottom w:type="dxa" w:w="60"/>
              <w:right w:type="dxa" w:w="90"/>
            </w:tcMar>
          </w:tcPr>
          <w:p>
            <w:r>
              <w:rPr>
                <w:b w:val="false"/>
                <w:bCs w:val="false"/>
                <w:sz w:val="18"/>
                <w:szCs w:val="18"/>
              </w:rPr>
              <w:t xml:space="preserve">NFC badge reader (fixed)</w:t>
            </w:r>
          </w:p>
        </w:tc>
        <w:tc>
          <w:tcPr>
            <w:tcW w:type="dxa" w:w="2400"/>
            <w:tcMar>
              <w:top w:type="dxa" w:w="60"/>
              <w:left w:type="dxa" w:w="90"/>
              <w:bottom w:type="dxa" w:w="60"/>
              <w:right w:type="dxa" w:w="90"/>
            </w:tcMar>
          </w:tcPr>
          <w:p>
            <w:r>
              <w:rPr>
                <w:b w:val="false"/>
                <w:bCs w:val="false"/>
                <w:sz w:val="18"/>
                <w:szCs w:val="18"/>
              </w:rPr>
              <w:t xml:space="preserve">300–600</w:t>
            </w:r>
          </w:p>
        </w:tc>
        <w:tc>
          <w:tcPr>
            <w:tcW w:type="dxa" w:w="3160"/>
            <w:tcMar>
              <w:top w:type="dxa" w:w="60"/>
              <w:left w:type="dxa" w:w="90"/>
              <w:bottom w:type="dxa" w:w="60"/>
              <w:right w:type="dxa" w:w="90"/>
            </w:tcMar>
          </w:tcPr>
          <w:p>
            <w:r>
              <w:rPr>
                <w:b w:val="false"/>
                <w:bCs w:val="false"/>
                <w:sz w:val="18"/>
                <w:szCs w:val="18"/>
              </w:rPr>
              <w:t xml:space="preserve">Standard commercial reader module</w:t>
            </w:r>
          </w:p>
        </w:tc>
      </w:tr>
      <w:tr>
        <w:tc>
          <w:tcPr>
            <w:tcW w:type="dxa" w:w="3800"/>
            <w:shd w:fill="DCE6F1" w:val="clear"/>
            <w:tcMar>
              <w:top w:type="dxa" w:w="60"/>
              <w:left w:type="dxa" w:w="90"/>
              <w:bottom w:type="dxa" w:w="60"/>
              <w:right w:type="dxa" w:w="90"/>
            </w:tcMar>
          </w:tcPr>
          <w:p>
            <w:r>
              <w:rPr>
                <w:b w:val="false"/>
                <w:bCs w:val="false"/>
                <w:sz w:val="18"/>
                <w:szCs w:val="18"/>
              </w:rPr>
              <w:t xml:space="preserve">Approx. subtotal per chamber</w:t>
            </w:r>
          </w:p>
        </w:tc>
        <w:tc>
          <w:tcPr>
            <w:tcW w:type="dxa" w:w="2400"/>
            <w:shd w:fill="DCE6F1" w:val="clear"/>
            <w:tcMar>
              <w:top w:type="dxa" w:w="60"/>
              <w:left w:type="dxa" w:w="90"/>
              <w:bottom w:type="dxa" w:w="60"/>
              <w:right w:type="dxa" w:w="90"/>
            </w:tcMar>
          </w:tcPr>
          <w:p>
            <w:r>
              <w:rPr>
                <w:b w:val="false"/>
                <w:bCs w:val="false"/>
                <w:sz w:val="18"/>
                <w:szCs w:val="18"/>
              </w:rPr>
              <w:t xml:space="preserve">≈ 29,000–72,000</w:t>
            </w:r>
          </w:p>
        </w:tc>
        <w:tc>
          <w:tcPr>
            <w:tcW w:type="dxa" w:w="3160"/>
            <w:shd w:fill="DCE6F1" w:val="clear"/>
            <w:tcMar>
              <w:top w:type="dxa" w:w="60"/>
              <w:left w:type="dxa" w:w="90"/>
              <w:bottom w:type="dxa" w:w="60"/>
              <w:right w:type="dxa" w:w="90"/>
            </w:tcMar>
          </w:tcPr>
          <w:p>
            <w:r>
              <w:rPr>
                <w:b w:val="false"/>
                <w:bCs w:val="false"/>
                <w:sz w:val="18"/>
                <w:szCs w:val="18"/>
              </w:rPr>
              <w:t xml:space="preserve">One-time cost per mine entrance/lamp room</w:t>
            </w:r>
          </w:p>
        </w:tc>
      </w:tr>
    </w:tbl>
    <w:p>
      <w:pPr>
        <w:pStyle w:val="Heading2"/>
        <w:spacing w:after="120" w:before="260"/>
      </w:pPr>
      <w:r>
        <w:t xml:space="preserve">4.3 Per-Repeater Node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blHeader/>
        </w:trPr>
        <w:tc>
          <w:tcPr>
            <w:tcW w:type="dxa" w:w="3800"/>
            <w:shd w:fill="1F4E79" w:val="clear"/>
            <w:tcMar>
              <w:top w:type="dxa" w:w="60"/>
              <w:left w:type="dxa" w:w="90"/>
              <w:bottom w:type="dxa" w:w="60"/>
              <w:right w:type="dxa" w:w="90"/>
            </w:tcMar>
          </w:tcPr>
          <w:p>
            <w:r>
              <w:rPr>
                <w:b/>
                <w:bCs/>
                <w:color w:val="FFFFFF"/>
                <w:sz w:val="18"/>
                <w:szCs w:val="18"/>
              </w:rPr>
              <w:t xml:space="preserve">Item</w:t>
            </w:r>
          </w:p>
        </w:tc>
        <w:tc>
          <w:tcPr>
            <w:tcW w:type="dxa" w:w="2400"/>
            <w:shd w:fill="1F4E79" w:val="clear"/>
            <w:tcMar>
              <w:top w:type="dxa" w:w="60"/>
              <w:left w:type="dxa" w:w="90"/>
              <w:bottom w:type="dxa" w:w="60"/>
              <w:right w:type="dxa" w:w="90"/>
            </w:tcMar>
          </w:tcPr>
          <w:p>
            <w:r>
              <w:rPr>
                <w:b/>
                <w:bCs/>
                <w:color w:val="FFFFFF"/>
                <w:sz w:val="18"/>
                <w:szCs w:val="18"/>
              </w:rPr>
              <w:t xml:space="preserve">Approx. cost (INR)</w:t>
            </w:r>
          </w:p>
        </w:tc>
        <w:tc>
          <w:tcPr>
            <w:tcW w:type="dxa" w:w="3160"/>
            <w:shd w:fill="1F4E79" w:val="clear"/>
            <w:tcMar>
              <w:top w:type="dxa" w:w="60"/>
              <w:left w:type="dxa" w:w="90"/>
              <w:bottom w:type="dxa" w:w="60"/>
              <w:right w:type="dxa" w:w="90"/>
            </w:tcMar>
          </w:tcPr>
          <w:p>
            <w:r>
              <w:rPr>
                <w:b/>
                <w:bCs/>
                <w:color w:val="FFFFFF"/>
                <w:sz w:val="18"/>
                <w:szCs w:val="18"/>
              </w:rPr>
              <w:t xml:space="preserve">Notes</w:t>
            </w:r>
          </w:p>
        </w:tc>
      </w:tr>
      <w:tr>
        <w:tc>
          <w:tcPr>
            <w:tcW w:type="dxa" w:w="3800"/>
            <w:tcMar>
              <w:top w:type="dxa" w:w="60"/>
              <w:left w:type="dxa" w:w="90"/>
              <w:bottom w:type="dxa" w:w="60"/>
              <w:right w:type="dxa" w:w="90"/>
            </w:tcMar>
          </w:tcPr>
          <w:p>
            <w:r>
              <w:rPr>
                <w:b w:val="false"/>
                <w:bCs w:val="false"/>
                <w:sz w:val="18"/>
                <w:szCs w:val="18"/>
              </w:rPr>
              <w:t xml:space="preserve">UWB anchor module (DW3000-based)</w:t>
            </w:r>
          </w:p>
        </w:tc>
        <w:tc>
          <w:tcPr>
            <w:tcW w:type="dxa" w:w="2400"/>
            <w:tcMar>
              <w:top w:type="dxa" w:w="60"/>
              <w:left w:type="dxa" w:w="90"/>
              <w:bottom w:type="dxa" w:w="60"/>
              <w:right w:type="dxa" w:w="90"/>
            </w:tcMar>
          </w:tcPr>
          <w:p>
            <w:r>
              <w:rPr>
                <w:b w:val="false"/>
                <w:bCs w:val="false"/>
                <w:sz w:val="18"/>
                <w:szCs w:val="18"/>
              </w:rPr>
              <w:t xml:space="preserve">1,500–2,500</w:t>
            </w:r>
          </w:p>
        </w:tc>
        <w:tc>
          <w:tcPr>
            <w:tcW w:type="dxa" w:w="3160"/>
            <w:tcMar>
              <w:top w:type="dxa" w:w="60"/>
              <w:left w:type="dxa" w:w="90"/>
              <w:bottom w:type="dxa" w:w="60"/>
              <w:right w:type="dxa" w:w="90"/>
            </w:tcMar>
          </w:tcPr>
          <w:p>
            <w:r>
              <w:rPr>
                <w:b w:val="false"/>
                <w:bCs w:val="false"/>
                <w:sz w:val="18"/>
                <w:szCs w:val="18"/>
              </w:rPr>
              <w:t xml:space="preserve">Same module family as the wearable hub for consistency</w:t>
            </w:r>
          </w:p>
        </w:tc>
      </w:tr>
      <w:tr>
        <w:tc>
          <w:tcPr>
            <w:tcW w:type="dxa" w:w="3800"/>
            <w:shd w:fill="DCE6F1" w:val="clear"/>
            <w:tcMar>
              <w:top w:type="dxa" w:w="60"/>
              <w:left w:type="dxa" w:w="90"/>
              <w:bottom w:type="dxa" w:w="60"/>
              <w:right w:type="dxa" w:w="90"/>
            </w:tcMar>
          </w:tcPr>
          <w:p>
            <w:r>
              <w:rPr>
                <w:b w:val="false"/>
                <w:bCs w:val="false"/>
                <w:sz w:val="18"/>
                <w:szCs w:val="18"/>
              </w:rPr>
              <w:t xml:space="preserve">LoRa transceiver ×2 (relay pair)</w:t>
            </w:r>
          </w:p>
        </w:tc>
        <w:tc>
          <w:tcPr>
            <w:tcW w:type="dxa" w:w="2400"/>
            <w:shd w:fill="DCE6F1" w:val="clear"/>
            <w:tcMar>
              <w:top w:type="dxa" w:w="60"/>
              <w:left w:type="dxa" w:w="90"/>
              <w:bottom w:type="dxa" w:w="60"/>
              <w:right w:type="dxa" w:w="90"/>
            </w:tcMar>
          </w:tcPr>
          <w:p>
            <w:r>
              <w:rPr>
                <w:b w:val="false"/>
                <w:bCs w:val="false"/>
                <w:sz w:val="18"/>
                <w:szCs w:val="18"/>
              </w:rPr>
              <w:t xml:space="preserve">600–1,000</w:t>
            </w:r>
          </w:p>
        </w:tc>
        <w:tc>
          <w:tcPr>
            <w:tcW w:type="dxa" w:w="3160"/>
            <w:shd w:fill="DCE6F1" w:val="clear"/>
            <w:tcMar>
              <w:top w:type="dxa" w:w="60"/>
              <w:left w:type="dxa" w:w="90"/>
              <w:bottom w:type="dxa" w:w="60"/>
              <w:right w:type="dxa" w:w="90"/>
            </w:tcMar>
          </w:tcPr>
          <w:p>
            <w:r>
              <w:rPr>
                <w:b w:val="false"/>
                <w:bCs w:val="false"/>
                <w:sz w:val="18"/>
                <w:szCs w:val="18"/>
              </w:rPr>
              <w:t xml:space="preserve">One link each direction of the chain</w:t>
            </w:r>
          </w:p>
        </w:tc>
      </w:tr>
      <w:tr>
        <w:tc>
          <w:tcPr>
            <w:tcW w:type="dxa" w:w="3800"/>
            <w:tcMar>
              <w:top w:type="dxa" w:w="60"/>
              <w:left w:type="dxa" w:w="90"/>
              <w:bottom w:type="dxa" w:w="60"/>
              <w:right w:type="dxa" w:w="90"/>
            </w:tcMar>
          </w:tcPr>
          <w:p>
            <w:r>
              <w:rPr>
                <w:b w:val="false"/>
                <w:bCs w:val="false"/>
                <w:sz w:val="18"/>
                <w:szCs w:val="18"/>
              </w:rPr>
              <w:t xml:space="preserve">ESP32 or Raspberry Pi (aggregation)</w:t>
            </w:r>
          </w:p>
        </w:tc>
        <w:tc>
          <w:tcPr>
            <w:tcW w:type="dxa" w:w="2400"/>
            <w:tcMar>
              <w:top w:type="dxa" w:w="60"/>
              <w:left w:type="dxa" w:w="90"/>
              <w:bottom w:type="dxa" w:w="60"/>
              <w:right w:type="dxa" w:w="90"/>
            </w:tcMar>
          </w:tcPr>
          <w:p>
            <w:r>
              <w:rPr>
                <w:b w:val="false"/>
                <w:bCs w:val="false"/>
                <w:sz w:val="18"/>
                <w:szCs w:val="18"/>
              </w:rPr>
              <w:t xml:space="preserve">400–6,000</w:t>
            </w:r>
          </w:p>
        </w:tc>
        <w:tc>
          <w:tcPr>
            <w:tcW w:type="dxa" w:w="3160"/>
            <w:tcMar>
              <w:top w:type="dxa" w:w="60"/>
              <w:left w:type="dxa" w:w="90"/>
              <w:bottom w:type="dxa" w:w="60"/>
              <w:right w:type="dxa" w:w="90"/>
            </w:tcMar>
          </w:tcPr>
          <w:p>
            <w:r>
              <w:rPr>
                <w:b w:val="false"/>
                <w:bCs w:val="false"/>
                <w:sz w:val="18"/>
                <w:szCs w:val="18"/>
              </w:rPr>
              <w:t xml:space="preserve">ESP32 for light nodes, Raspberry Pi at busier junctions</w:t>
            </w:r>
          </w:p>
        </w:tc>
      </w:tr>
      <w:tr>
        <w:tc>
          <w:tcPr>
            <w:tcW w:type="dxa" w:w="3800"/>
            <w:shd w:fill="DCE6F1" w:val="clear"/>
            <w:tcMar>
              <w:top w:type="dxa" w:w="60"/>
              <w:left w:type="dxa" w:w="90"/>
              <w:bottom w:type="dxa" w:w="60"/>
              <w:right w:type="dxa" w:w="90"/>
            </w:tcMar>
          </w:tcPr>
          <w:p>
            <w:r>
              <w:rPr>
                <w:b w:val="false"/>
                <w:bCs w:val="false"/>
                <w:sz w:val="18"/>
                <w:szCs w:val="18"/>
              </w:rPr>
              <w:t xml:space="preserve">IP66/67 (or ATEX-rated) enclosure</w:t>
            </w:r>
          </w:p>
        </w:tc>
        <w:tc>
          <w:tcPr>
            <w:tcW w:type="dxa" w:w="2400"/>
            <w:shd w:fill="DCE6F1" w:val="clear"/>
            <w:tcMar>
              <w:top w:type="dxa" w:w="60"/>
              <w:left w:type="dxa" w:w="90"/>
              <w:bottom w:type="dxa" w:w="60"/>
              <w:right w:type="dxa" w:w="90"/>
            </w:tcMar>
          </w:tcPr>
          <w:p>
            <w:r>
              <w:rPr>
                <w:b w:val="false"/>
                <w:bCs w:val="false"/>
                <w:sz w:val="18"/>
                <w:szCs w:val="18"/>
              </w:rPr>
              <w:t xml:space="preserve">300–1,500</w:t>
            </w:r>
          </w:p>
        </w:tc>
        <w:tc>
          <w:tcPr>
            <w:tcW w:type="dxa" w:w="3160"/>
            <w:shd w:fill="DCE6F1" w:val="clear"/>
            <w:tcMar>
              <w:top w:type="dxa" w:w="60"/>
              <w:left w:type="dxa" w:w="90"/>
              <w:bottom w:type="dxa" w:w="60"/>
              <w:right w:type="dxa" w:w="90"/>
            </w:tcMar>
          </w:tcPr>
          <w:p>
            <w:r>
              <w:rPr>
                <w:b w:val="false"/>
                <w:bCs w:val="false"/>
                <w:sz w:val="18"/>
                <w:szCs w:val="18"/>
              </w:rPr>
              <w:t xml:space="preserve">ATEX rating adds significant cost in gassy coal mines</w:t>
            </w:r>
          </w:p>
        </w:tc>
      </w:tr>
      <w:tr>
        <w:tc>
          <w:tcPr>
            <w:tcW w:type="dxa" w:w="3800"/>
            <w:tcMar>
              <w:top w:type="dxa" w:w="60"/>
              <w:left w:type="dxa" w:w="90"/>
              <w:bottom w:type="dxa" w:w="60"/>
              <w:right w:type="dxa" w:w="90"/>
            </w:tcMar>
          </w:tcPr>
          <w:p>
            <w:r>
              <w:rPr>
                <w:b w:val="false"/>
                <w:bCs w:val="false"/>
                <w:sz w:val="18"/>
                <w:szCs w:val="18"/>
              </w:rPr>
              <w:t xml:space="preserve">Power supply (mains tap or battery backup)</w:t>
            </w:r>
          </w:p>
        </w:tc>
        <w:tc>
          <w:tcPr>
            <w:tcW w:type="dxa" w:w="2400"/>
            <w:tcMar>
              <w:top w:type="dxa" w:w="60"/>
              <w:left w:type="dxa" w:w="90"/>
              <w:bottom w:type="dxa" w:w="60"/>
              <w:right w:type="dxa" w:w="90"/>
            </w:tcMar>
          </w:tcPr>
          <w:p>
            <w:r>
              <w:rPr>
                <w:b w:val="false"/>
                <w:bCs w:val="false"/>
                <w:sz w:val="18"/>
                <w:szCs w:val="18"/>
              </w:rPr>
              <w:t xml:space="preserve">300–1,000</w:t>
            </w:r>
          </w:p>
        </w:tc>
        <w:tc>
          <w:tcPr>
            <w:tcW w:type="dxa" w:w="3160"/>
            <w:tcMar>
              <w:top w:type="dxa" w:w="60"/>
              <w:left w:type="dxa" w:w="90"/>
              <w:bottom w:type="dxa" w:w="60"/>
              <w:right w:type="dxa" w:w="90"/>
            </w:tcMar>
          </w:tcPr>
          <w:p>
            <w:r>
              <w:rPr>
                <w:b w:val="false"/>
                <w:bCs w:val="false"/>
                <w:sz w:val="18"/>
                <w:szCs w:val="18"/>
              </w:rPr>
              <w:t xml:space="preserve">Mains preferred; battery adds recurring maintenance cost</w:t>
            </w:r>
          </w:p>
        </w:tc>
      </w:tr>
      <w:tr>
        <w:tc>
          <w:tcPr>
            <w:tcW w:type="dxa" w:w="3800"/>
            <w:shd w:fill="DCE6F1" w:val="clear"/>
            <w:tcMar>
              <w:top w:type="dxa" w:w="60"/>
              <w:left w:type="dxa" w:w="90"/>
              <w:bottom w:type="dxa" w:w="60"/>
              <w:right w:type="dxa" w:w="90"/>
            </w:tcMar>
          </w:tcPr>
          <w:p>
            <w:r>
              <w:rPr>
                <w:b w:val="false"/>
                <w:bCs w:val="false"/>
                <w:sz w:val="18"/>
                <w:szCs w:val="18"/>
              </w:rPr>
              <w:t xml:space="preserve">Approx. subtotal per repeater</w:t>
            </w:r>
          </w:p>
        </w:tc>
        <w:tc>
          <w:tcPr>
            <w:tcW w:type="dxa" w:w="2400"/>
            <w:shd w:fill="DCE6F1" w:val="clear"/>
            <w:tcMar>
              <w:top w:type="dxa" w:w="60"/>
              <w:left w:type="dxa" w:w="90"/>
              <w:bottom w:type="dxa" w:w="60"/>
              <w:right w:type="dxa" w:w="90"/>
            </w:tcMar>
          </w:tcPr>
          <w:p>
            <w:r>
              <w:rPr>
                <w:b w:val="false"/>
                <w:bCs w:val="false"/>
                <w:sz w:val="18"/>
                <w:szCs w:val="18"/>
              </w:rPr>
              <w:t xml:space="preserve">≈ 3,100–12,000</w:t>
            </w:r>
          </w:p>
        </w:tc>
        <w:tc>
          <w:tcPr>
            <w:tcW w:type="dxa" w:w="3160"/>
            <w:shd w:fill="DCE6F1" w:val="clear"/>
            <w:tcMar>
              <w:top w:type="dxa" w:w="60"/>
              <w:left w:type="dxa" w:w="90"/>
              <w:bottom w:type="dxa" w:w="60"/>
              <w:right w:type="dxa" w:w="90"/>
            </w:tcMar>
          </w:tcPr>
          <w:p>
            <w:r>
              <w:rPr>
                <w:b w:val="false"/>
                <w:bCs w:val="false"/>
                <w:sz w:val="18"/>
                <w:szCs w:val="18"/>
              </w:rPr>
              <w:t xml:space="preserve">Multiply by number of anchors/relays needed for tunnel length</w:t>
            </w:r>
          </w:p>
        </w:tc>
      </w:tr>
    </w:tbl>
    <w:p>
      <w:pPr>
        <w:spacing w:after="140"/>
      </w:pPr>
      <w:r>
        <w:rPr>
          <w:i/>
          <w:iCs/>
        </w:rPr>
        <w:t xml:space="preserve">For a pilot deployment (one shaft/section, ~10 workers, ~5–8 repeater nodes, 1 chamber), a rough total prototype budget lands in the ₹1.2–2.5 lakh range excluding server/cloud hosting, firmware development time, and DGMS-compliant enclosure certification — treat this as a planning order-of-magnitude, not a quotation.</w:t>
      </w:r>
    </w:p>
    <w:p>
      <w:pPr>
        <w:pStyle w:val="Heading1"/>
        <w:spacing w:after="160" w:before="360"/>
      </w:pPr>
      <w:r>
        <w:t xml:space="preserve">5. Implementation Considerations</w:t>
      </w:r>
    </w:p>
    <w:p>
      <w:pPr>
        <w:pStyle w:val="ListParagraph"/>
        <w:numPr>
          <w:ilvl w:val="0"/>
          <w:numId w:val="1"/>
        </w:numPr>
        <w:spacing w:after="80"/>
      </w:pPr>
      <w:r>
        <w:t xml:space="preserve">Power budget: the wearable hub is the tightest constraint. Duty-cycle the UWB and BLE radios (ranging pulses rather than continuous streaming) and keep the MCU in deep sleep between sensor polls to stretch battery life across a full shift.</w:t>
      </w:r>
    </w:p>
    <w:p>
      <w:pPr>
        <w:pStyle w:val="ListParagraph"/>
        <w:numPr>
          <w:ilvl w:val="0"/>
          <w:numId w:val="1"/>
        </w:numPr>
        <w:spacing w:after="80"/>
      </w:pPr>
      <w:r>
        <w:t xml:space="preserve">ATEX/IP rating: any electronics deployed in gassy coal mines need intrinsically safe or ATEX-rated enclosures; metalliferous/opencast pilots can start with standard IP66/67 enclosures and add ATEX certification before a coal-mine deployment.</w:t>
      </w:r>
    </w:p>
    <w:p>
      <w:pPr>
        <w:pStyle w:val="ListParagraph"/>
        <w:numPr>
          <w:ilvl w:val="0"/>
          <w:numId w:val="1"/>
        </w:numPr>
        <w:spacing w:after="80"/>
      </w:pPr>
      <w:r>
        <w:t xml:space="preserve">Anchor survey accuracy: the UWB+IMU fusion accuracy your literature review cites (sub-metre) depends on accurately surveyed anchor coordinates — budget time for a proper as-built survey when repeaters are installed, and re-survey after any tunnel geometry change.</w:t>
      </w:r>
    </w:p>
    <w:p>
      <w:pPr>
        <w:pStyle w:val="ListParagraph"/>
        <w:numPr>
          <w:ilvl w:val="0"/>
          <w:numId w:val="1"/>
        </w:numPr>
        <w:spacing w:after="80"/>
      </w:pPr>
      <w:r>
        <w:t xml:space="preserve">Fallback behavior: design every layer to fail safe and loud — if the chamber camera can't verify PPE, log it as unverified rather than assuming compliance; if a repeater hop drops, buffer and alert on reconnect rather than silently dropping data.</w:t>
      </w:r>
    </w:p>
    <w:p>
      <w:pPr>
        <w:pStyle w:val="ListParagraph"/>
        <w:numPr>
          <w:ilvl w:val="0"/>
          <w:numId w:val="1"/>
        </w:numPr>
        <w:spacing w:after="80"/>
      </w:pPr>
      <w:r>
        <w:t xml:space="preserve">Phased rollout: pilot in a single section with a handful of workers before scaling — this lets you validate anchor spacing, battery life under real shift conditions, and false-positive rates on the PPE camera model before committing to a mine-wide BOM.</w:t>
      </w:r>
    </w:p>
    <w:p>
      <w:pPr>
        <w:pStyle w:val="Heading1"/>
        <w:spacing w:after="160" w:before="360"/>
      </w:pPr>
      <w:r>
        <w:t xml:space="preserve">6. Next Steps</w:t>
      </w:r>
    </w:p>
    <w:p>
      <w:pPr>
        <w:pStyle w:val="ListParagraph"/>
        <w:numPr>
          <w:ilvl w:val="0"/>
          <w:numId w:val="1"/>
        </w:numPr>
        <w:spacing w:after="80"/>
      </w:pPr>
      <w:r>
        <w:t xml:space="preserve">Firmware/data-packet design for the wearable hub (packet structure, sensor polling intervals, sleep/wake logic).</w:t>
      </w:r>
    </w:p>
    <w:p>
      <w:pPr>
        <w:pStyle w:val="ListParagraph"/>
        <w:numPr>
          <w:ilvl w:val="0"/>
          <w:numId w:val="1"/>
        </w:numPr>
        <w:spacing w:after="80"/>
      </w:pPr>
      <w:r>
        <w:t xml:space="preserve">Server-side logic: multilateration algorithm from UWB ranging data, and the specific alert-rule thresholds (HR range, SpO2 floor, fall-detection acceleration signature, PPE-tag-missing timeout).</w:t>
      </w:r>
    </w:p>
    <w:p>
      <w:pPr>
        <w:pStyle w:val="ListParagraph"/>
        <w:numPr>
          <w:ilvl w:val="0"/>
          <w:numId w:val="1"/>
        </w:numPr>
        <w:spacing w:after="80"/>
      </w:pPr>
      <w:r>
        <w:t xml:space="preserve">Dashboard UI design: live map, compliance panel, and alert workflow.</w:t>
      </w:r>
    </w:p>
    <w:p>
      <w:pPr>
        <w:spacing w:after="140"/>
      </w:pPr>
      <w:r>
        <w:rPr>
          <w:i/>
          <w:iCs/>
        </w:rPr>
        <w:t xml:space="preserve">Any of these can be the next working session — let me know which to tackle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0ce5d3e7473e14728ee15225c61000ff352c85.png"/><Relationship Id="rId8" Type="http://schemas.openxmlformats.org/officeDocument/2006/relationships/image" Target="media/550f43176f2f798831747013d3b4cb139e80bf5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2026-07-06T05:03:38.218Z</dcterms:created>
  <dcterms:modified xsi:type="dcterms:W3CDTF">2026-07-06T05:03:38.229Z</dcterms:modified>
</cp:coreProperties>
</file>

<file path=docProps/custom.xml><?xml version="1.0" encoding="utf-8"?>
<Properties xmlns="http://schemas.openxmlformats.org/officeDocument/2006/custom-properties" xmlns:vt="http://schemas.openxmlformats.org/officeDocument/2006/docPropsVTypes"/>
</file>