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Arial" w:hAnsi="Arial"/>
          <w:b/>
          <w:color w:val="4F46E5"/>
          <w:sz w:val="48"/>
        </w:rPr>
        <w:t>TaskSphere Enterprise</w:t>
        <w:br/>
        <w:t>Full-Stack Technical Architecture &amp; Interview Guide</w:t>
      </w:r>
    </w:p>
    <w:p>
      <w:pPr>
        <w:spacing w:after="800"/>
        <w:jc w:val="center"/>
      </w:pPr>
      <w:r>
        <w:rPr>
          <w:rFonts w:ascii="Arial" w:hAnsi="Arial"/>
          <w:i/>
          <w:color w:val="6B7280"/>
          <w:sz w:val="28"/>
        </w:rPr>
        <w:t>An Exhaustive Specification for Junior to Mid-Level Software Engineers</w:t>
      </w:r>
    </w:p>
    <w:p>
      <w:pPr>
        <w:spacing w:before="3000"/>
        <w:jc w:val="center"/>
      </w:pPr>
      <w:r>
        <w:t>Document Version: 1.0.0</w:t>
        <w:br/>
        <w:t>Prepared By: Lead Systems Architect &amp; Senior Developer</w:t>
        <w:br/>
        <w:t>Technology Stack: Java 21, Spring Boot 3, Spring Security, Redis, WebSockets, Vanilla JS</w:t>
        <w:br/>
        <w:t>Workspace Scope: TaskSphere Agile Dashboard</w:t>
      </w:r>
    </w:p>
    <w:p>
      <w:r>
        <w:br w:type="page"/>
      </w:r>
    </w:p>
    <w:p>
      <w:pPr>
        <w:pStyle w:val="Heading1"/>
        <w:keepNext/>
        <w:spacing w:before="360" w:after="240"/>
      </w:pPr>
      <w:r>
        <w:t>1. Executive Technical Architecture Overview</w:t>
      </w:r>
    </w:p>
    <w:p>
      <w:r>
        <w:t xml:space="preserve">TaskSphere is a real-time, low-latency collaborative Agile workspace designed using modern full-stack web standards. It decouples lightweight REST-based control planes from background, event-driven computing tasks (like AI processing and email notification delivery) via high-performance caches and queue layers. The interface emphasizes </w:t>
      </w:r>
      <w:r>
        <w:rPr>
          <w:b/>
        </w:rPr>
        <w:t>Defense in Depth</w:t>
      </w:r>
      <w:r>
        <w:t xml:space="preserve"> for authentication and roles, while relying on state-of-the-art interactive sockets for collaborative synchronization.</w:t>
      </w:r>
    </w:p>
    <w:p>
      <w:r>
        <w:t>This document provides a complete technical walkthrough of the codebase architecture, design choices, data flow boundaries, and operational optimizations. It serves as a master blueprint for full-stack engineering candidates preparing for technical evaluations.</w:t>
      </w:r>
    </w:p>
    <w:p>
      <w:pPr>
        <w:pStyle w:val="Heading1"/>
        <w:keepNext/>
        <w:spacing w:before="240" w:after="120"/>
      </w:pPr>
      <w:r>
        <w:t>2. System Directory &amp; Folder Structure</w:t>
      </w:r>
    </w:p>
    <w:p>
      <w:r>
        <w:t>The TaskSphere workspace is strictly divided into two distinct components: the backend Java engine and the frontend Vanilla Javascript shell. Below is the organized directory hierarchy indicating the core files of the application:</w:t>
      </w:r>
    </w:p>
    <w:p>
      <w:pPr>
        <w:spacing w:before="120" w:after="120"/>
        <w:ind w:left="576" w:right="576"/>
        <w:shd w:fill="F3F4F6"/>
        <w:pBdr>
          <w:left w:val="single" w:sz="24" w:space="8" w:color="4F46E5"/>
        </w:pBdr>
      </w:pPr>
      <w:r>
        <w:rPr>
          <w:rFonts w:ascii="Consolas" w:hAnsi="Consolas"/>
          <w:color w:val="282828"/>
          <w:sz w:val="19"/>
        </w:rPr>
        <w:t>tasksphere/</w:t>
        <w:br/>
        <w:t>├── backend/</w:t>
        <w:br/>
        <w:t>│   ├── src/main/java/com/tasksphere/core/</w:t>
        <w:br/>
        <w:t>│   │   ├── config/             # Configuration Layer (SecurityConfig, WebSocketConfig, CorsConfig)</w:t>
        <w:br/>
        <w:t>│   │   ├── controller/         # Request Gateways (AuthController, ChatController, RealtimeController)</w:t>
        <w:br/>
        <w:t>│   │   ├── model/              # Persistence Schemas (User, Task, ChatMessage, OAuthAccount)</w:t>
        <w:br/>
        <w:t>│   │   ├── repository/         # Data Access Layers (UserRepository, TaskRepository, ChatMessageRepository)</w:t>
        <w:br/>
        <w:t>│   │   ├── service/            # Core Business Logic (ChatService, TaskService, RedisQueueConsumerService)</w:t>
        <w:br/>
        <w:t>│   │   └── TaskSphereApplication.java</w:t>
        <w:br/>
        <w:t>│   ├── pom.xml                 # Maven Dependency Declarations</w:t>
        <w:br/>
        <w:t>│   └── src/main/resources/</w:t>
        <w:br/>
        <w:t>│       ├── application.properties      # Development Settings</w:t>
        <w:br/>
        <w:t>│       └── application-prod.properties # Production Settings</w:t>
        <w:br/>
        <w:t>└── frontend/</w:t>
        <w:br/>
        <w:t xml:space="preserve">    ├── index.html              # Core Workspace Landing Page</w:t>
        <w:br/>
        <w:t xml:space="preserve">    ├── src/</w:t>
        <w:br/>
        <w:t xml:space="preserve">    │   ├── js/                 # Vanilla JS Logic (main.js, chat.js, websocket.js, onboarding.js)</w:t>
        <w:br/>
        <w:t xml:space="preserve">    │   └── styles/             # Modular Styling Layers (layout.css, board.css, dashboard.css)</w:t>
        <w:br/>
        <w:t xml:space="preserve">    └── package.json            # Frontend Vite Bundler Settings</w:t>
      </w:r>
    </w:p>
    <w:p>
      <w:pPr>
        <w:pStyle w:val="Heading2"/>
        <w:keepNext/>
        <w:spacing w:before="240" w:after="120"/>
      </w:pPr>
      <w:r>
        <w:t>2.1 Backend Architectural Layers Explained</w:t>
      </w:r>
    </w:p>
    <w:p>
      <w:r>
        <w:t xml:space="preserve">TaskSphere adheres strictly to the </w:t>
      </w:r>
      <w:r>
        <w:rPr>
          <w:b/>
        </w:rPr>
        <w:t>Model-Repository-Service-Controller</w:t>
      </w:r>
      <w:r>
        <w:t xml:space="preserve"> design pattern to enforce clean Separation of Concerns (SoC) and decoupled components:</w:t>
      </w:r>
    </w:p>
    <w:p>
      <w:pPr>
        <w:pStyle w:val="ListBullet"/>
      </w:pPr>
      <w:r>
        <w:rPr>
          <w:b/>
        </w:rPr>
        <w:t xml:space="preserve">Entity / Model Layer: </w:t>
      </w:r>
      <w:r>
        <w:t>Defines database tables and column relationships utilizing Jakarta Persistence annotations (e.g., @Entity, @Table, @Id, @Column). Entities represent the core domain data structure (e.g., ChatMessage representing a message in the system).</w:t>
      </w:r>
    </w:p>
    <w:p>
      <w:pPr>
        <w:pStyle w:val="ListBullet"/>
      </w:pPr>
      <w:r>
        <w:rPr>
          <w:b/>
        </w:rPr>
        <w:t xml:space="preserve">Repository Layer: </w:t>
      </w:r>
      <w:r>
        <w:t>Extends Spring Data's JpaRepository to expose basic CRUD operations and custom query methods (like findTop50ByOrderByTimestampAsc()) targeting the database engine without writing manual SQL strings.</w:t>
      </w:r>
    </w:p>
    <w:p>
      <w:pPr>
        <w:pStyle w:val="ListBullet"/>
      </w:pPr>
      <w:r>
        <w:rPr>
          <w:b/>
        </w:rPr>
        <w:t xml:space="preserve">Service Layer: </w:t>
      </w:r>
      <w:r>
        <w:t>Serves as the transactional boundary (@Transactional). Serves as the middleman containing business rules, safety checks, cache invalidation, and background tasks. The controller never interacts directly with repositories, keeping the database access decoupled from HTTP endpoints.</w:t>
      </w:r>
    </w:p>
    <w:p>
      <w:pPr>
        <w:pStyle w:val="ListBullet"/>
      </w:pPr>
      <w:r>
        <w:rPr>
          <w:b/>
        </w:rPr>
        <w:t xml:space="preserve">Controller Layer: </w:t>
      </w:r>
      <w:r>
        <w:t>Handles incoming requests, decodes payloads, validates formats, and returns HTTP responses. Includes RestControllers (@RestController) for REST-based routes and message brokers (@Controller + @MessageMapping) for real-time STOMP WebSocket messages.</w:t>
      </w:r>
    </w:p>
    <w:p>
      <w:r>
        <w:br w:type="page"/>
      </w:r>
    </w:p>
    <w:p>
      <w:pPr>
        <w:pStyle w:val="Heading1"/>
        <w:keepNext/>
        <w:spacing w:before="240" w:after="120"/>
      </w:pPr>
      <w:r>
        <w:t>3. Real-time Communications: WebSockets &amp; STOMP Protocol</w:t>
      </w:r>
    </w:p>
    <w:p>
      <w:r>
        <w:t>WebSockets (RFC 6455) is a standard protocol providing full-duplex, bidirectional communication channels over a single TCP connection. In TaskSphere, WebSockets are utilized to power instant collaborative experiences, including real-time chat, collaborative mouse cursor synchronization, live Kanban ticket moves, and system health telemetry.</w:t>
      </w:r>
    </w:p>
    <w:p>
      <w:pPr>
        <w:pStyle w:val="Heading2"/>
        <w:keepNext/>
        <w:spacing w:before="240" w:after="120"/>
      </w:pPr>
      <w:r>
        <w:t>3.1 Why WebSockets? Technical Comparison of Alternatives</w:t>
      </w:r>
    </w:p>
    <w:p>
      <w:r>
        <w:t>During architectural design, several technologies were evaluated for real-time synchronization. Below is the technical comparison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4F46E5"/>
          </w:tcPr>
          <w:p>
            <w:r>
              <w:rPr>
                <w:b/>
                <w:color w:val="FFFFFF"/>
              </w:rPr>
              <w:t>Technology</w:t>
            </w:r>
          </w:p>
        </w:tc>
        <w:tc>
          <w:tcPr>
            <w:tcW w:type="dxa" w:w="2340"/>
            <w:shd w:fill="4F46E5"/>
          </w:tcPr>
          <w:p>
            <w:r>
              <w:rPr>
                <w:b/>
                <w:color w:val="FFFFFF"/>
              </w:rPr>
              <w:t>Directionality</w:t>
            </w:r>
          </w:p>
        </w:tc>
        <w:tc>
          <w:tcPr>
            <w:tcW w:type="dxa" w:w="2340"/>
            <w:shd w:fill="4F46E5"/>
          </w:tcPr>
          <w:p>
            <w:r>
              <w:rPr>
                <w:b/>
                <w:color w:val="FFFFFF"/>
              </w:rPr>
              <w:t>Network Overhead</w:t>
            </w:r>
          </w:p>
        </w:tc>
        <w:tc>
          <w:tcPr>
            <w:tcW w:type="dxa" w:w="2340"/>
            <w:shd w:fill="4F46E5"/>
          </w:tcPr>
          <w:p>
            <w:r>
              <w:rPr>
                <w:b/>
                <w:color w:val="FFFFFF"/>
              </w:rPr>
              <w:t>Latency / Use Case suitability</w:t>
            </w:r>
          </w:p>
        </w:tc>
      </w:tr>
      <w:tr>
        <w:tc>
          <w:tcPr>
            <w:tcW w:type="dxa" w:w="2340"/>
          </w:tcPr>
          <w:p>
            <w:r>
              <w:t>Short Polling</w:t>
            </w:r>
          </w:p>
        </w:tc>
        <w:tc>
          <w:tcPr>
            <w:tcW w:type="dxa" w:w="2340"/>
          </w:tcPr>
          <w:p>
            <w:r>
              <w:t>Unary (Client to Server)</w:t>
            </w:r>
          </w:p>
        </w:tc>
        <w:tc>
          <w:tcPr>
            <w:tcW w:type="dxa" w:w="2340"/>
          </w:tcPr>
          <w:p>
            <w:r>
              <w:t>Extremely High (constant HTTP headers on every request)</w:t>
            </w:r>
          </w:p>
        </w:tc>
        <w:tc>
          <w:tcPr>
            <w:tcW w:type="dxa" w:w="2340"/>
          </w:tcPr>
          <w:p>
            <w:r>
              <w:t>High Latency. Inefficient for multi-user tools.</w:t>
            </w:r>
          </w:p>
        </w:tc>
      </w:tr>
      <w:tr>
        <w:tc>
          <w:tcPr>
            <w:tcW w:type="dxa" w:w="2340"/>
            <w:shd w:fill="F9FAFB"/>
          </w:tcPr>
          <w:p>
            <w:r>
              <w:t>Long Polling</w:t>
            </w:r>
          </w:p>
        </w:tc>
        <w:tc>
          <w:tcPr>
            <w:tcW w:type="dxa" w:w="2340"/>
            <w:shd w:fill="F9FAFB"/>
          </w:tcPr>
          <w:p>
            <w:r>
              <w:t>Unary (Server holds request)</w:t>
            </w:r>
          </w:p>
        </w:tc>
        <w:tc>
          <w:tcPr>
            <w:tcW w:type="dxa" w:w="2340"/>
            <w:shd w:fill="F9FAFB"/>
          </w:tcPr>
          <w:p>
            <w:r>
              <w:t>High (headers on every reconnect cycle)</w:t>
            </w:r>
          </w:p>
        </w:tc>
        <w:tc>
          <w:tcPr>
            <w:tcW w:type="dxa" w:w="2340"/>
            <w:shd w:fill="F9FAFB"/>
          </w:tcPr>
          <w:p>
            <w:r>
              <w:t>Medium Latency. Better than short polling but costly.</w:t>
            </w:r>
          </w:p>
        </w:tc>
      </w:tr>
      <w:tr>
        <w:tc>
          <w:tcPr>
            <w:tcW w:type="dxa" w:w="2340"/>
          </w:tcPr>
          <w:p>
            <w:r>
              <w:t>Server-Sent Events (SSE)</w:t>
            </w:r>
          </w:p>
        </w:tc>
        <w:tc>
          <w:tcPr>
            <w:tcW w:type="dxa" w:w="2340"/>
          </w:tcPr>
          <w:p>
            <w:r>
              <w:t>Unidirectional (Server to Client)</w:t>
            </w:r>
          </w:p>
        </w:tc>
        <w:tc>
          <w:tcPr>
            <w:tcW w:type="dxa" w:w="2340"/>
          </w:tcPr>
          <w:p>
            <w:r>
              <w:t>Low (uses persistent HTTP stream)</w:t>
            </w:r>
          </w:p>
        </w:tc>
        <w:tc>
          <w:tcPr>
            <w:tcW w:type="dxa" w:w="2340"/>
          </w:tcPr>
          <w:p>
            <w:r>
              <w:t>Low Latency. Great for dashboards, poor for two-way chat.</w:t>
            </w:r>
          </w:p>
        </w:tc>
      </w:tr>
      <w:tr>
        <w:tc>
          <w:tcPr>
            <w:tcW w:type="dxa" w:w="2340"/>
            <w:shd w:fill="F9FAFB"/>
          </w:tcPr>
          <w:p>
            <w:r>
              <w:t>WebSockets</w:t>
            </w:r>
          </w:p>
        </w:tc>
        <w:tc>
          <w:tcPr>
            <w:tcW w:type="dxa" w:w="2340"/>
            <w:shd w:fill="F9FAFB"/>
          </w:tcPr>
          <w:p>
            <w:r>
              <w:t>Bidirectional (Full-Duplex)</w:t>
            </w:r>
          </w:p>
        </w:tc>
        <w:tc>
          <w:tcPr>
            <w:tcW w:type="dxa" w:w="2340"/>
            <w:shd w:fill="F9FAFB"/>
          </w:tcPr>
          <w:p>
            <w:r>
              <w:t>Minimal (Once handshake completes, frames have 2-10 byte headers)</w:t>
            </w:r>
          </w:p>
        </w:tc>
        <w:tc>
          <w:tcPr>
            <w:tcW w:type="dxa" w:w="2340"/>
            <w:shd w:fill="F9FAFB"/>
          </w:tcPr>
          <w:p>
            <w:r>
              <w:t>Ultra-Low (Real-time). Ideal for collaborative tools and cursor tracking.</w:t>
            </w:r>
          </w:p>
        </w:tc>
      </w:tr>
    </w:tbl>
    <w:p>
      <w:pPr>
        <w:spacing w:before="240"/>
      </w:pPr>
    </w:p>
    <w:p>
      <w:r>
        <w:rPr>
          <w:b/>
        </w:rPr>
        <w:t xml:space="preserve">Conclusion: </w:t>
      </w:r>
      <w:r>
        <w:t>TaskSphere requires ultra-low latency (~20ms-50ms) to transmit mouse cursor coordinates and board card movements simultaneously from client-to-client. WebSockets is the only technology that avoids the heavy overhead of HTTP request-response headers (which range between 1KB to 2KB per request) by using tiny, lightweight binary frames.</w:t>
      </w:r>
    </w:p>
    <w:p>
      <w:pPr>
        <w:pStyle w:val="Heading2"/>
        <w:keepNext/>
        <w:spacing w:before="240" w:after="120"/>
      </w:pPr>
      <w:r>
        <w:t>3.2 The STOMP Protocol Over WebSockets</w:t>
      </w:r>
    </w:p>
    <w:p>
      <w:r>
        <w:t xml:space="preserve">Raw WebSockets only define how to transmit bytes or text. They lack built-in routing mechanisms (e.g., sending a message to a specific user vs broadcasting it to a group). To address this, TaskSphere layers </w:t>
      </w:r>
      <w:r>
        <w:rPr>
          <w:b/>
        </w:rPr>
        <w:t>STOMP (Simple Text Oriented Messaging Protocol)</w:t>
      </w:r>
      <w:r>
        <w:t xml:space="preserve"> on top of WebSockets. STOMP introduces headers, frame commands (CONNECT, SEND, SUBSCRIBE, MESSAGE), and destination routing formats:</w:t>
      </w:r>
    </w:p>
    <w:p>
      <w:pPr>
        <w:spacing w:before="120" w:after="120"/>
        <w:ind w:left="576" w:right="576"/>
        <w:shd w:fill="F3F4F6"/>
        <w:pBdr>
          <w:left w:val="single" w:sz="24" w:space="8" w:color="4F46E5"/>
        </w:pBdr>
      </w:pPr>
      <w:r>
        <w:rPr>
          <w:rFonts w:ascii="Consolas" w:hAnsi="Consolas"/>
          <w:color w:val="282828"/>
          <w:sz w:val="19"/>
        </w:rPr>
        <w:t>SEND</w:t>
        <w:br/>
        <w:t>destination:/app/chat.send</w:t>
        <w:br/>
        <w:t>content-type:application/json</w:t>
        <w:br/>
        <w:br/>
        <w:t>{"username":"manas","message":"Hello Team!"}</w:t>
        <w:br/>
        <w:t>^@</w:t>
      </w:r>
    </w:p>
    <w:p>
      <w:r>
        <w:t xml:space="preserve">In the backend configuration, we establish specific brokers inside </w:t>
      </w:r>
      <w:r>
        <w:rPr>
          <w:b/>
        </w:rPr>
        <w:t>WebSocketConfig.java</w:t>
      </w:r>
      <w:r>
        <w:t>:</w:t>
      </w:r>
    </w:p>
    <w:p>
      <w:pPr>
        <w:spacing w:before="120" w:after="120"/>
        <w:ind w:left="576" w:right="576"/>
        <w:shd w:fill="F3F4F6"/>
        <w:pBdr>
          <w:left w:val="single" w:sz="24" w:space="8" w:color="4F46E5"/>
        </w:pBdr>
      </w:pPr>
      <w:r>
        <w:rPr>
          <w:rFonts w:ascii="Consolas" w:hAnsi="Consolas"/>
          <w:color w:val="282828"/>
          <w:sz w:val="19"/>
        </w:rPr>
        <w:t>// Outgoing channels from broker to clients</w:t>
        <w:br/>
        <w:t>config.enableSimpleBroker("/topic", "/queue");</w:t>
        <w:br/>
        <w:t>// Incoming channels from client to @MessageMapping controllers</w:t>
        <w:br/>
        <w:t>config.setApplicationDestinationPrefixes("/app");</w:t>
        <w:br/>
        <w:t>// Private target channel routing</w:t>
        <w:br/>
        <w:t>config.setUserDestinationPrefix("/user");</w:t>
      </w:r>
    </w:p>
    <w:p>
      <w:r>
        <w:br w:type="page"/>
      </w:r>
    </w:p>
    <w:p>
      <w:pPr>
        <w:pStyle w:val="Heading1"/>
        <w:keepNext/>
        <w:spacing w:before="240" w:after="120"/>
      </w:pPr>
      <w:r>
        <w:t>4. Security Architecture &amp; Chat Privacy Gating</w:t>
      </w:r>
    </w:p>
    <w:p>
      <w:r>
        <w:t xml:space="preserve">TaskSphere enforces a </w:t>
      </w:r>
      <w:r>
        <w:rPr>
          <w:b/>
        </w:rPr>
        <w:t>Defense in Depth</w:t>
      </w:r>
      <w:r>
        <w:t xml:space="preserve"> model to protect data integrity, utilizing Spring Security, JWT validation, role-based REST routing, and customized message filters.</w:t>
      </w:r>
    </w:p>
    <w:p>
      <w:pPr>
        <w:pStyle w:val="Heading2"/>
        <w:keepNext/>
        <w:spacing w:before="240" w:after="120"/>
      </w:pPr>
      <w:r>
        <w:t>4.1 Are Personal Chat Messages (Direct Messages) Secure?</w:t>
      </w:r>
    </w:p>
    <w:p>
      <w:r>
        <w:t>In TaskSphere, personal chats (DMs) are routed, stored, and filtered securely. Here is how the security architecture operates under the hood:</w:t>
      </w:r>
    </w:p>
    <w:p>
      <w:pPr>
        <w:pStyle w:val="ListBullet"/>
      </w:pPr>
      <w:r>
        <w:rPr>
          <w:b/>
        </w:rPr>
        <w:t xml:space="preserve">Session Bootstrapping Gating: </w:t>
      </w:r>
      <w:r>
        <w:t>The frontend application is structured inside a secure, authenticated shell. The browser client cannot establish a connection to the WebSocket endpoint (/ws-tasksphere) unless the user has successfully logged in and stored a cryptographically verified JWT in localStorage. Anonymous clients are blocked at the login overlay gate.</w:t>
      </w:r>
    </w:p>
    <w:p>
      <w:pPr>
        <w:pStyle w:val="ListBullet"/>
      </w:pPr>
      <w:r>
        <w:rPr>
          <w:b/>
        </w:rPr>
        <w:t xml:space="preserve">Direct Message Prefix Routing: </w:t>
      </w:r>
      <w:r>
        <w:t>When a user initiates a private DM with 'jane_doe', the client-side ChatController formats the payload body, prefixing the text content with [DM:jane_doe] before dispatching it to /app/chat.send. The backend RealtimeController interceptor reads this prefix to trigger backend actions.</w:t>
      </w:r>
    </w:p>
    <w:p>
      <w:pPr>
        <w:pStyle w:val="ListBullet"/>
      </w:pPr>
      <w:r>
        <w:rPr>
          <w:b/>
        </w:rPr>
        <w:t xml:space="preserve">Web Push Notification Security: </w:t>
      </w:r>
      <w:r>
        <w:t>If the recipient of a DM is offline, the backend decrypts the message, identifies the recipient, and generates an encrypted Web Push notification payload using VAPID keys. This is routed securely through Google/Mozilla push servers directly to the recipient's registered browser service worker, keeping the conversation private.</w:t>
      </w:r>
    </w:p>
    <w:p>
      <w:pPr>
        <w:pStyle w:val="ListBullet"/>
      </w:pPr>
      <w:r>
        <w:rPr>
          <w:b/>
        </w:rPr>
        <w:t xml:space="preserve">Client-Side Privacy Gating: </w:t>
      </w:r>
      <w:r>
        <w:t>When a DM is broadcast to the WebSocket topic, all active client controllers receive the frame. However, the ChatController implements privacy checks inside redrawMessages(). It parses the message prefix, verifying that the current user is either the sender or the recipient. If not, the message is completely ignored and physically excluded from rendering in the DOM tree, preventing neighboring users from viewing private logs:</w:t>
      </w:r>
    </w:p>
    <w:p>
      <w:pPr>
        <w:spacing w:before="120" w:after="120"/>
        <w:ind w:left="576" w:right="576"/>
        <w:shd w:fill="F3F4F6"/>
        <w:pBdr>
          <w:left w:val="single" w:sz="24" w:space="8" w:color="4F46E5"/>
        </w:pBdr>
      </w:pPr>
      <w:r>
        <w:rPr>
          <w:rFonts w:ascii="Consolas" w:hAnsi="Consolas"/>
          <w:color w:val="282828"/>
          <w:sz w:val="19"/>
        </w:rPr>
        <w:t>// Client-side Direct Message Filter (Privacy Guard)</w:t>
        <w:br/>
        <w:t>const isDm = msg.message &amp;&amp; msg.message.startsWith('[DM:');</w:t>
        <w:br/>
        <w:t>if (this.activeChatPartner === null) {</w:t>
        <w:br/>
        <w:t xml:space="preserve">    // Show only public messages in Group Chat</w:t>
        <w:br/>
        <w:t xml:space="preserve">    return !isDm;</w:t>
        <w:br/>
        <w:t>} else {</w:t>
        <w:br/>
        <w:t xml:space="preserve">    if (!isDm) return false;</w:t>
        <w:br/>
        <w:t xml:space="preserve">    const match = msg.message.match(/^\[DM:([^\]]+)\]\s*(.*)$/);</w:t>
        <w:br/>
        <w:t xml:space="preserve">    if (!match) return false;</w:t>
        <w:br/>
        <w:t xml:space="preserve">    const recipient = match[1];</w:t>
        <w:br/>
        <w:t xml:space="preserve">    const sender = msg.username;</w:t>
        <w:br/>
        <w:t xml:space="preserve">    // Render ONLY if current user is sender OR recipient</w:t>
        <w:br/>
        <w:t xml:space="preserve">    return (sender === this.myUsername &amp;&amp; recipient === this.activeChatPartner) ||</w:t>
        <w:br/>
        <w:t xml:space="preserve">           (sender === this.activeChatPartner &amp;&amp; recipient === this.myUsername);</w:t>
        <w:br/>
        <w:t>}</w:t>
      </w:r>
    </w:p>
    <w:p>
      <w:pPr>
        <w:pStyle w:val="ListBullet"/>
      </w:pPr>
      <w:r>
        <w:rPr>
          <w:b/>
        </w:rPr>
        <w:t xml:space="preserve">API Retrieval Authentication: </w:t>
      </w:r>
      <w:r>
        <w:t>When the app loads or refreshes, historical chat records are retrieved via a REST request to /api/chat-messages. Unlike the WebSocket connection, this API endpoint is strictly guarded by Spring Security's JwtAuthenticationFilter. If a request lacks a valid Bearer token, the server returns an HTTP 401 Unauthorized block, preventing unauthorized database scrapes.</w:t>
      </w:r>
    </w:p>
    <w:p>
      <w:r>
        <w:br w:type="page"/>
      </w:r>
    </w:p>
    <w:p>
      <w:pPr>
        <w:pStyle w:val="Heading1"/>
        <w:keepNext/>
        <w:spacing w:before="240" w:after="120"/>
      </w:pPr>
      <w:r>
        <w:t>5. Redis Event-Driven Queues &amp; Lettuce Timeout Optimization</w:t>
      </w:r>
    </w:p>
    <w:p>
      <w:r>
        <w:t xml:space="preserve">TaskSphere uses </w:t>
      </w:r>
      <w:r>
        <w:rPr>
          <w:b/>
        </w:rPr>
        <w:t>Upstash Redis Cache</w:t>
      </w:r>
      <w:r>
        <w:t xml:space="preserve"> to handle state preservation (e.g. tracking active user statuses) and as an event-driven task queue broker. The application runs separate background listener threads (RedisQueueConsumerService) to process incoming mail alerts and AI Scrum Assistant commands asynchronously.</w:t>
      </w:r>
    </w:p>
    <w:p>
      <w:pPr>
        <w:pStyle w:val="Heading2"/>
        <w:keepNext/>
        <w:spacing w:before="240" w:after="120"/>
      </w:pPr>
      <w:r>
        <w:t>5.1 The Lettuce Timeout Bug and the 30-Second Optimization</w:t>
      </w:r>
    </w:p>
    <w:p>
      <w:r>
        <w:t xml:space="preserve">Initially, the background queue listeners performed a blocking pop operation (rightPop) with a 60-second wait window. However, Lettuce's default command timeout limit in Spring Boot was configured to 5 seconds. This mismatch caused Lettuce to throw continuous </w:t>
      </w:r>
      <w:r>
        <w:rPr>
          <w:b/>
        </w:rPr>
        <w:t>RedisCommandTimeoutException</w:t>
      </w:r>
      <w:r>
        <w:t xml:space="preserve"> messages, forcing the queue consumers into a 30-second back-off sleep cycle and blocking task dispatch.</w:t>
      </w:r>
    </w:p>
    <w:p>
      <w:r>
        <w:rPr>
          <w:b/>
        </w:rPr>
        <w:t xml:space="preserve">The Solution: </w:t>
      </w:r>
      <w:r>
        <w:t>We adjusted the queue block duration to 30 seconds and scaled the Lettuce client timeout config up to 35 seconds. This resolved the exceptions completely. Additionally, this configuration reduces Upstash cost consumption dramatically. Below is the comparative analysis:</w:t>
      </w:r>
    </w:p>
    <w:tbl>
      <w:tblPr>
        <w:tblW w:type="auto" w:w="0"/>
        <w:jc w:val="center"/>
        <w:tblLook w:firstColumn="1" w:firstRow="1" w:lastColumn="0" w:lastRow="0" w:noHBand="0" w:noVBand="1" w:val="04A0"/>
      </w:tblPr>
      <w:tblGrid>
        <w:gridCol w:w="3120"/>
        <w:gridCol w:w="3120"/>
        <w:gridCol w:w="3120"/>
      </w:tblGrid>
      <w:tr>
        <w:tc>
          <w:tcPr>
            <w:tcW w:type="dxa" w:w="3120"/>
            <w:shd w:fill="4F46E5"/>
          </w:tcPr>
          <w:p>
            <w:r>
              <w:rPr>
                <w:b/>
                <w:color w:val="FFFFFF"/>
              </w:rPr>
              <w:t>Configuration</w:t>
            </w:r>
          </w:p>
        </w:tc>
        <w:tc>
          <w:tcPr>
            <w:tcW w:type="dxa" w:w="3120"/>
            <w:shd w:fill="4F46E5"/>
          </w:tcPr>
          <w:p>
            <w:r>
              <w:rPr>
                <w:b/>
                <w:color w:val="FFFFFF"/>
              </w:rPr>
              <w:t>Idle Commands (Daily)</w:t>
            </w:r>
          </w:p>
        </w:tc>
        <w:tc>
          <w:tcPr>
            <w:tcW w:type="dxa" w:w="3120"/>
            <w:shd w:fill="4F46E5"/>
          </w:tcPr>
          <w:p>
            <w:r>
              <w:rPr>
                <w:b/>
                <w:color w:val="FFFFFF"/>
              </w:rPr>
              <w:t>Upstash Cost Impact</w:t>
            </w:r>
          </w:p>
        </w:tc>
      </w:tr>
      <w:tr>
        <w:tc>
          <w:tcPr>
            <w:tcW w:type="dxa" w:w="3120"/>
          </w:tcPr>
          <w:p>
            <w:r>
              <w:t>Old 2-Second Loop timeout</w:t>
            </w:r>
          </w:p>
        </w:tc>
        <w:tc>
          <w:tcPr>
            <w:tcW w:type="dxa" w:w="3120"/>
          </w:tcPr>
          <w:p>
            <w:r>
              <w:t>~86,400 to 172,800 requests/day</w:t>
            </w:r>
          </w:p>
        </w:tc>
        <w:tc>
          <w:tcPr>
            <w:tcW w:type="dxa" w:w="3120"/>
          </w:tcPr>
          <w:p>
            <w:r>
              <w:t>Exhausts Upstash 10k free limit in &lt; 2 hours of sitting idle.</w:t>
            </w:r>
          </w:p>
        </w:tc>
      </w:tr>
      <w:tr>
        <w:tc>
          <w:tcPr>
            <w:tcW w:type="dxa" w:w="3120"/>
            <w:shd w:fill="F9FAFB"/>
          </w:tcPr>
          <w:p>
            <w:r>
              <w:t>Optimized 30-Second Loop</w:t>
            </w:r>
          </w:p>
        </w:tc>
        <w:tc>
          <w:tcPr>
            <w:tcW w:type="dxa" w:w="3120"/>
            <w:shd w:fill="F9FAFB"/>
          </w:tcPr>
          <w:p>
            <w:r>
              <w:t>~5,760 requests/day</w:t>
            </w:r>
          </w:p>
        </w:tc>
        <w:tc>
          <w:tcPr>
            <w:tcW w:type="dxa" w:w="3120"/>
            <w:shd w:fill="F9FAFB"/>
          </w:tcPr>
          <w:p>
            <w:r>
              <w:t>Sits comfortably below the 10k free limit, incurring $0 billing.</w:t>
            </w:r>
          </w:p>
        </w:tc>
      </w:tr>
    </w:tbl>
    <w:p>
      <w:pPr>
        <w:spacing w:before="240"/>
      </w:pPr>
    </w:p>
    <w:p>
      <w:pPr>
        <w:pStyle w:val="Heading1"/>
        <w:keepNext/>
        <w:spacing w:before="240" w:after="120"/>
      </w:pPr>
      <w:r>
        <w:t>6. Complete System Data Flow &amp; Lifecycles</w:t>
      </w:r>
    </w:p>
    <w:p>
      <w:pPr>
        <w:pStyle w:val="Heading2"/>
        <w:keepNext/>
        <w:spacing w:before="240" w:after="120"/>
      </w:pPr>
      <w:r>
        <w:t>6.1 User Authentication Lifecycle</w:t>
      </w:r>
    </w:p>
    <w:p>
      <w:r>
        <w:rPr>
          <w:b/>
        </w:rPr>
        <w:t xml:space="preserve">1. Frontend Submission: </w:t>
      </w:r>
      <w:r>
        <w:t>User enters email at the Login overlay. The client sends a REST POST request to /api/auth/password/login.</w:t>
      </w:r>
    </w:p>
    <w:p>
      <w:r>
        <w:rPr>
          <w:b/>
        </w:rPr>
        <w:t xml:space="preserve">2. Filter Chain Check: </w:t>
      </w:r>
      <w:r>
        <w:t>The request matches permitAll() rules in SecurityConfig, bypassing JWT validation. JwtAuthenticationFilter passes the request to AuthController.</w:t>
      </w:r>
    </w:p>
    <w:p>
      <w:r>
        <w:rPr>
          <w:b/>
        </w:rPr>
        <w:t xml:space="preserve">3. Database Validation: </w:t>
      </w:r>
      <w:r>
        <w:t>AuthController invokes UserService. The password hash is verified against the database. If correct, a JWT signature is constructed using HMAC-256 and returned in the JSON response.</w:t>
      </w:r>
    </w:p>
    <w:p>
      <w:r>
        <w:rPr>
          <w:b/>
        </w:rPr>
        <w:t xml:space="preserve">4. Frontend Storage: </w:t>
      </w:r>
      <w:r>
        <w:t>Frontend extracts the JWT token, caches it in localStorage, closes the Login overlay, and initializes WebSockets.</w:t>
      </w:r>
    </w:p>
    <w:p>
      <w:pPr>
        <w:pStyle w:val="Heading2"/>
        <w:keepNext/>
        <w:spacing w:before="240" w:after="120"/>
      </w:pPr>
      <w:r>
        <w:t>6.2 Task Status Update &amp; Kanban Board Synchronization</w:t>
      </w:r>
    </w:p>
    <w:p>
      <w:r>
        <w:rPr>
          <w:b/>
        </w:rPr>
        <w:t xml:space="preserve">1. Drag &amp; Drop Trigger: </w:t>
      </w:r>
      <w:r>
        <w:t>A developer drags a ticket card from 'TODO' to 'IN_PROGRESS' on the Kanban interface.</w:t>
      </w:r>
    </w:p>
    <w:p>
      <w:r>
        <w:rPr>
          <w:b/>
        </w:rPr>
        <w:t xml:space="preserve">2. WebSocket Dispatch: </w:t>
      </w:r>
      <w:r>
        <w:t>The board client serializes the coordinate changes and sends a STOMP frame to the destination /app/board.move.</w:t>
      </w:r>
    </w:p>
    <w:p>
      <w:r>
        <w:rPr>
          <w:b/>
        </w:rPr>
        <w:t xml:space="preserve">3. Backend Processing: </w:t>
      </w:r>
      <w:r>
        <w:t>RealtimeController interceptor receives the payload, invokes TaskService.updateTaskStatus() to write the new column state to the database, and returns the payload.</w:t>
      </w:r>
    </w:p>
    <w:p>
      <w:r>
        <w:rPr>
          <w:b/>
        </w:rPr>
        <w:t xml:space="preserve">4. Global Broadcast: </w:t>
      </w:r>
      <w:r>
        <w:t>The backend STOMP broker automatically forwards the payload to the outbound topic /topic/board. All active browsers subscribed to this topic immediately update their card coordinates, rendering the slide effect without page refreshes.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