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1F4E79"/>
          <w:sz w:val="52"/>
          <w:szCs w:val="52"/>
        </w:rPr>
        <w:t xml:space="preserve">Personal Systematic Trading Platform</w:t>
      </w:r>
    </w:p>
    <w:p>
      <w:pPr>
        <w:spacing w:after="40"/>
        <w:jc w:val="center"/>
      </w:pPr>
      <w:r>
        <w:rPr>
          <w:color w:val="2E75B6"/>
          <w:sz w:val="30"/>
          <w:szCs w:val="30"/>
        </w:rPr>
        <w:t xml:space="preserve">Engineering &amp; Research Roadmap</w:t>
      </w:r>
    </w:p>
    <w:p>
      <w:pPr>
        <w:spacing w:after="40"/>
        <w:jc w:val="center"/>
      </w:pPr>
      <w:r>
        <w:rPr>
          <w:i/>
          <w:iCs/>
          <w:color w:val="595959"/>
          <w:sz w:val="22"/>
          <w:szCs w:val="22"/>
        </w:rPr>
        <w:t xml:space="preserve">From signal suggestions to compliant auto-execution</w:t>
      </w:r>
    </w:p>
    <w:p>
      <w:pPr>
        <w:spacing w:before="600"/>
        <w:jc w:val="center"/>
      </w:pPr>
      <w:r>
        <w:rPr>
          <w:color w:val="595959"/>
          <w:sz w:val="20"/>
          <w:szCs w:val="20"/>
        </w:rPr>
        <w:t xml:space="preserve">Prepared for: JS Office Tech</w:t>
      </w:r>
    </w:p>
    <w:p>
      <w:pPr>
        <w:spacing w:after="40"/>
        <w:jc w:val="center"/>
      </w:pPr>
      <w:r>
        <w:rPr>
          <w:color w:val="595959"/>
          <w:sz w:val="18"/>
          <w:szCs w:val="18"/>
        </w:rPr>
        <w:t xml:space="preserve">Profile: Strong software engineer, new to quant  •  Broker: Zerodha Kite Connect  •  Market: India (NSE/BSE/MCX)</w:t>
      </w:r>
    </w:p>
    <w:p>
      <w:pPr>
        <w:jc w:val="center"/>
      </w:pPr>
      <w:r>
        <w:rPr>
          <w:color w:val="595959"/>
          <w:sz w:val="18"/>
          <w:szCs w:val="18"/>
        </w:rPr>
        <w:t xml:space="preserve">Version 1.1  •  1 August 2026</w:t>
      </w:r>
    </w:p>
    <w:p>
      <w:r>
        <w:br w:type="page"/>
      </w:r>
    </w:p>
    <w:p>
      <w:pPr>
        <w:pStyle w:val="Heading1"/>
        <w:spacing w:after="140" w:before="320"/>
      </w:pPr>
      <w:r>
        <w:rPr>
          <w:b/>
          <w:bCs/>
          <w:color w:val="1F4E79"/>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4E79"/>
          <w:sz w:val="30"/>
          <w:szCs w:val="30"/>
        </w:rPr>
        <w:t xml:space="preserve">1. Read This First — Framing &amp; Reality Checks</w:t>
      </w:r>
    </w:p>
    <w:p>
      <w:pPr>
        <w:spacing w:after="120" w:line="276"/>
      </w:pPr>
      <w:r>
        <w:rPr>
          <w:sz w:val="21"/>
          <w:szCs w:val="21"/>
        </w:rPr>
        <w:t xml:space="preserve">You asked for something ambitious: a system that trades like an HFT firm across IPOs, ETFs, F&amp;O, stocks, and gold/silver, self-improves, and reads the news. This document turns that into a buildable plan. Before the phases, four honest framings that will save you months.</w:t>
      </w:r>
    </w:p>
    <w:p>
      <w:pPr>
        <w:pStyle w:val="Heading3"/>
        <w:spacing w:after="70" w:before="160"/>
      </w:pPr>
      <w:r>
        <w:rPr>
          <w:b/>
          <w:bCs/>
          <w:color w:val="595959"/>
          <w:sz w:val="22"/>
          <w:szCs w:val="22"/>
        </w:rPr>
        <w:t xml:space="preserve">1.1  “HFT” vs. what an individual can actually build</w:t>
      </w:r>
    </w:p>
    <w:p>
      <w:pPr>
        <w:spacing w:after="120" w:line="276"/>
      </w:pPr>
      <w:r>
        <w:rPr>
          <w:sz w:val="21"/>
          <w:szCs w:val="21"/>
        </w:rPr>
        <w:t xml:space="preserve">True high-frequency trading — microsecond latency, exchange colocation, FPGA execution, direct market-data feeds — requires exchange membership and multi-crore infrastructure, and SEBI restricts it to registered trading members. It is not achievable for an individual, and chasing it will burn capital. </w:t>
      </w:r>
      <w:r>
        <w:rPr>
          <w:b/>
          <w:bCs/>
          <w:sz w:val="21"/>
          <w:szCs w:val="21"/>
        </w:rPr>
        <w:t xml:space="preserve">What is achievable, and where an individual's real edge lives, is systematic / algorithmic trading at second-to-daily frequency through a broker API.</w:t>
      </w:r>
      <w:r>
        <w:rPr>
          <w:sz w:val="21"/>
          <w:szCs w:val="21"/>
        </w:rPr>
        <w:t xml:space="preserve"> This roadmap is built around that. Everywhere you imagined “HFT,” read “low-latency systematic execution.”</w:t>
      </w:r>
    </w:p>
    <w:p>
      <w:pPr>
        <w:pStyle w:val="Heading3"/>
        <w:spacing w:after="70" w:before="160"/>
      </w:pPr>
      <w:r>
        <w:rPr>
          <w:b/>
          <w:bCs/>
          <w:color w:val="595959"/>
          <w:sz w:val="22"/>
          <w:szCs w:val="22"/>
        </w:rPr>
        <w:t xml:space="preserve">1.2  Regulation is a design input, not an afterthought (India / SEBI)</w:t>
      </w:r>
    </w:p>
    <w:p>
      <w:pPr>
        <w:spacing w:after="120" w:line="276"/>
      </w:pPr>
      <w:r>
        <w:rPr>
          <w:sz w:val="21"/>
          <w:szCs w:val="21"/>
        </w:rPr>
        <w:t xml:space="preserve">SEBI’s 2025–2026 retail algo-trading framework makes your broker the compliance gateway. The practical consequences for this project:</w:t>
      </w:r>
    </w:p>
    <w:p>
      <w:pPr>
        <w:pStyle w:val="ListParagraph"/>
        <w:numPr>
          <w:ilvl w:val="0"/>
          <w:numId w:val="2"/>
        </w:numPr>
        <w:spacing w:after="60" w:line="270"/>
      </w:pPr>
      <w:r>
        <w:rPr>
          <w:sz w:val="21"/>
          <w:szCs w:val="21"/>
        </w:rPr>
        <w:t xml:space="preserve">Brokers must approve, register, and monitor algorithmic strategies. Auto-execution flows through the broker’s registered API (Kite Connect), not a scraper or a headless login.</w:t>
      </w:r>
    </w:p>
    <w:p>
      <w:pPr>
        <w:pStyle w:val="ListParagraph"/>
        <w:numPr>
          <w:ilvl w:val="0"/>
          <w:numId w:val="2"/>
        </w:numPr>
        <w:spacing w:after="60" w:line="270"/>
      </w:pPr>
      <w:r>
        <w:rPr>
          <w:sz w:val="21"/>
          <w:szCs w:val="21"/>
        </w:rPr>
        <w:t xml:space="preserve">Orders above an exchange-defined frequency threshold (order-per-second limits) must be tagged as algo orders. Stay well under these; a retail systematic book rarely needs to.</w:t>
      </w:r>
    </w:p>
    <w:p>
      <w:pPr>
        <w:pStyle w:val="ListParagraph"/>
        <w:numPr>
          <w:ilvl w:val="0"/>
          <w:numId w:val="2"/>
        </w:numPr>
        <w:spacing w:after="60" w:line="270"/>
      </w:pPr>
      <w:r>
        <w:rPr>
          <w:sz w:val="21"/>
          <w:szCs w:val="21"/>
        </w:rPr>
        <w:t xml:space="preserve">A whitelisted static IP is expected for API order flow — plan your hosting around a fixed IP.</w:t>
      </w:r>
    </w:p>
    <w:p>
      <w:pPr>
        <w:pStyle w:val="ListParagraph"/>
        <w:numPr>
          <w:ilvl w:val="0"/>
          <w:numId w:val="2"/>
        </w:numPr>
        <w:spacing w:after="60" w:line="270"/>
      </w:pPr>
      <w:r>
        <w:rPr>
          <w:sz w:val="21"/>
          <w:szCs w:val="21"/>
        </w:rPr>
        <w:t xml:space="preserve">Self-developed algos for your own account are permitted; selling or distributing strategies to others requires exchange registration and, for black-box strategies, a Research Analyst license. Keep this personal-use for now.</w:t>
      </w:r>
    </w:p>
    <w:p>
      <w:pPr>
        <w:pBdr>
          <w:left w:val="single" w:color="2E75B6" w:sz="18" w:space="8"/>
        </w:pBdr>
        <w:shd w:fill="EAF1F8" w:val="clear"/>
        <w:spacing w:after="160" w:before="120" w:line="276"/>
        <w:ind w:left="120" w:right="120"/>
      </w:pPr>
      <w:r>
        <w:rPr>
          <w:b/>
          <w:bCs/>
          <w:color w:val="2E75B6"/>
          <w:sz w:val="21"/>
          <w:szCs w:val="21"/>
        </w:rPr>
        <w:t xml:space="preserve">Bottom line:  </w:t>
      </w:r>
      <w:r>
        <w:rPr>
          <w:sz w:val="21"/>
          <w:szCs w:val="21"/>
        </w:rPr>
        <w:t xml:space="preserve">Building for your own account through Kite Connect is squarely allowed. Design the execution layer to be compliant from day one (registered API, static IP, order tagging, conservative rates) rather than retrofitting it.</w:t>
      </w:r>
    </w:p>
    <w:p>
      <w:pPr>
        <w:pStyle w:val="Heading3"/>
        <w:spacing w:after="70" w:before="160"/>
      </w:pPr>
      <w:r>
        <w:rPr>
          <w:b/>
          <w:bCs/>
          <w:color w:val="595959"/>
          <w:sz w:val="22"/>
          <w:szCs w:val="22"/>
        </w:rPr>
        <w:t xml:space="preserve">1.3  “Self-improving” done safely</w:t>
      </w:r>
    </w:p>
    <w:p>
      <w:pPr>
        <w:spacing w:after="120" w:line="276"/>
      </w:pPr>
      <w:r>
        <w:rPr>
          <w:sz w:val="21"/>
          <w:szCs w:val="21"/>
        </w:rPr>
        <w:t xml:space="preserve">A bot that naively learns from its own recent PnL will overfit and eventually blow up — this is the single most common way retail quant projects die. The sound version of self-improvement is a </w:t>
      </w:r>
      <w:r>
        <w:rPr>
          <w:b/>
          <w:bCs/>
          <w:sz w:val="21"/>
          <w:szCs w:val="21"/>
        </w:rPr>
        <w:t xml:space="preserve">disciplined research loop</w:t>
      </w:r>
      <w:r>
        <w:rPr>
          <w:sz w:val="21"/>
          <w:szCs w:val="21"/>
        </w:rPr>
        <w:t xml:space="preserve">: periodic re-fitting on new data, walk-forward validation, market-regime detection, and a champion/challenger promotion gate where a new model must beat the live one out-of-sample before it ever touches real orders. No free-running reinforcement-learning agent on live money. Section 8 details this.</w:t>
      </w:r>
    </w:p>
    <w:p>
      <w:pPr>
        <w:pStyle w:val="Heading3"/>
        <w:spacing w:after="70" w:before="160"/>
      </w:pPr>
      <w:r>
        <w:rPr>
          <w:b/>
          <w:bCs/>
          <w:color w:val="595959"/>
          <w:sz w:val="22"/>
          <w:szCs w:val="22"/>
        </w:rPr>
        <w:t xml:space="preserve">1.4  Where an LLM (Claude) genuinely belongs — and where it must not</w:t>
      </w:r>
    </w:p>
    <w:p>
      <w:pPr>
        <w:spacing w:after="120" w:line="276"/>
      </w:pPr>
      <w:r>
        <w:rPr>
          <w:sz w:val="21"/>
          <w:szCs w:val="21"/>
        </w:rPr>
        <w:t xml:space="preserve">You said you don’t want “just a Claude wrapper.” Correct. The mathematical core — signals, risk, sizing, execution — must be deterministic, testable code. An LLM is a </w:t>
      </w:r>
      <w:r>
        <w:rPr>
          <w:b/>
          <w:bCs/>
          <w:sz w:val="21"/>
          <w:szCs w:val="21"/>
        </w:rPr>
        <w:t xml:space="preserve">feature generator and research assistant</w:t>
      </w:r>
      <w:r>
        <w:rPr>
          <w:sz w:val="21"/>
          <w:szCs w:val="21"/>
        </w:rPr>
        <w:t xml:space="preserve">, not the trader. Appropriate uses: parsing news/filings into sentiment and event tags, summarizing research, drafting code, explaining anomalies. Inappropriate: letting a model decide position sizes or fire orders from free-form text. Keep the LLM upstream of the math, never in the trigger path.</w:t>
      </w:r>
    </w:p>
    <w:p>
      <w:r>
        <w:br w:type="page"/>
      </w:r>
    </w:p>
    <w:p>
      <w:pPr>
        <w:pStyle w:val="Heading1"/>
        <w:spacing w:after="140" w:before="320"/>
      </w:pPr>
      <w:r>
        <w:rPr>
          <w:b/>
          <w:bCs/>
          <w:color w:val="1F4E79"/>
          <w:sz w:val="30"/>
          <w:szCs w:val="30"/>
        </w:rPr>
        <w:t xml:space="preserve">2. Target Architecture</w:t>
      </w:r>
    </w:p>
    <w:p>
      <w:pPr>
        <w:spacing w:after="120" w:line="276"/>
      </w:pPr>
      <w:r>
        <w:rPr>
          <w:sz w:val="21"/>
          <w:szCs w:val="21"/>
        </w:rPr>
        <w:t xml:space="preserve">Think of the platform as seven decoupled services communicating through a message bus and a shared data store. Decoupling matters: you want to swap a strategy or a model without touching execution, and you want the research stack physically unable to send an order by accident.</w:t>
      </w:r>
    </w:p>
    <w:tbl>
      <w:tblPr>
        <w:tblW w:type="dxa" w:w="9400"/>
        <w:tblBorders>
          <w:top w:val="single" w:color="BFBFBF" w:sz="4"/>
          <w:left w:val="single" w:color="BFBFBF" w:sz="4"/>
          <w:bottom w:val="single" w:color="BFBFBF" w:sz="4"/>
          <w:right w:val="single" w:color="BFBFBF" w:sz="4"/>
          <w:insideH w:val="single" w:color="D9D9D9" w:sz="2"/>
          <w:insideV w:val="single" w:color="D9D9D9" w:sz="2"/>
        </w:tblBorders>
      </w:tblPr>
      <w:tblGrid>
        <w:gridCol w:w="1800"/>
        <w:gridCol w:w="4050"/>
        <w:gridCol w:w="3550"/>
      </w:tblGrid>
      <w:tr>
        <w:trPr>
          <w:tblHeader/>
        </w:trPr>
        <w:tc>
          <w:tcPr>
            <w:tcW w:type="dxa" w:w="1800"/>
            <w:shd w:fill="1F4E79" w:val="clear"/>
            <w:tcMar>
              <w:top w:type="dxa" w:w="60"/>
              <w:left w:type="dxa" w:w="100"/>
              <w:bottom w:type="dxa" w:w="60"/>
              <w:right w:type="dxa" w:w="100"/>
            </w:tcMar>
          </w:tcPr>
          <w:p>
            <w:pPr>
              <w:jc w:val="left"/>
            </w:pPr>
            <w:r>
              <w:rPr>
                <w:b/>
                <w:bCs/>
                <w:color w:val="FFFFFF"/>
                <w:sz w:val="19"/>
                <w:szCs w:val="19"/>
              </w:rPr>
              <w:t xml:space="preserve">Layer</w:t>
            </w:r>
          </w:p>
        </w:tc>
        <w:tc>
          <w:tcPr>
            <w:tcW w:type="dxa" w:w="4050"/>
            <w:shd w:fill="1F4E79" w:val="clear"/>
            <w:tcMar>
              <w:top w:type="dxa" w:w="60"/>
              <w:left w:type="dxa" w:w="100"/>
              <w:bottom w:type="dxa" w:w="60"/>
              <w:right w:type="dxa" w:w="100"/>
            </w:tcMar>
          </w:tcPr>
          <w:p>
            <w:pPr>
              <w:jc w:val="left"/>
            </w:pPr>
            <w:r>
              <w:rPr>
                <w:b/>
                <w:bCs/>
                <w:color w:val="FFFFFF"/>
                <w:sz w:val="19"/>
                <w:szCs w:val="19"/>
              </w:rPr>
              <w:t xml:space="preserve">Responsibility</w:t>
            </w:r>
          </w:p>
        </w:tc>
        <w:tc>
          <w:tcPr>
            <w:tcW w:type="dxa" w:w="3550"/>
            <w:shd w:fill="1F4E79" w:val="clear"/>
            <w:tcMar>
              <w:top w:type="dxa" w:w="60"/>
              <w:left w:type="dxa" w:w="100"/>
              <w:bottom w:type="dxa" w:w="60"/>
              <w:right w:type="dxa" w:w="100"/>
            </w:tcMar>
          </w:tcPr>
          <w:p>
            <w:pPr>
              <w:jc w:val="left"/>
            </w:pPr>
            <w:r>
              <w:rPr>
                <w:b/>
                <w:bCs/>
                <w:color w:val="FFFFFF"/>
                <w:sz w:val="19"/>
                <w:szCs w:val="19"/>
              </w:rPr>
              <w:t xml:space="preserve">Suggested tooling</w:t>
            </w:r>
          </w:p>
        </w:tc>
      </w:tr>
      <w:tr>
        <w:tc>
          <w:tcPr>
            <w:tcW w:type="dxa" w:w="1800"/>
            <w:tcMar>
              <w:top w:type="dxa" w:w="60"/>
              <w:left w:type="dxa" w:w="100"/>
              <w:bottom w:type="dxa" w:w="60"/>
              <w:right w:type="dxa" w:w="100"/>
            </w:tcMar>
          </w:tcPr>
          <w:p>
            <w:pPr>
              <w:jc w:val="left"/>
            </w:pPr>
            <w:r>
              <w:rPr>
                <w:b w:val="false"/>
                <w:bCs w:val="false"/>
                <w:color w:val="000000"/>
                <w:sz w:val="19"/>
                <w:szCs w:val="19"/>
              </w:rPr>
              <w:t xml:space="preserve">1. Data ingestion</w:t>
            </w:r>
          </w:p>
        </w:tc>
        <w:tc>
          <w:tcPr>
            <w:tcW w:type="dxa" w:w="4050"/>
            <w:tcMar>
              <w:top w:type="dxa" w:w="60"/>
              <w:left w:type="dxa" w:w="100"/>
              <w:bottom w:type="dxa" w:w="60"/>
              <w:right w:type="dxa" w:w="100"/>
            </w:tcMar>
          </w:tcPr>
          <w:p>
            <w:pPr>
              <w:jc w:val="left"/>
            </w:pPr>
            <w:r>
              <w:rPr>
                <w:b w:val="false"/>
                <w:bCs w:val="false"/>
                <w:color w:val="000000"/>
                <w:sz w:val="19"/>
                <w:szCs w:val="19"/>
              </w:rPr>
              <w:t xml:space="preserve">Historical + live market data, corporate actions, universe/index membership, news &amp; filings</w:t>
            </w:r>
          </w:p>
        </w:tc>
        <w:tc>
          <w:tcPr>
            <w:tcW w:type="dxa" w:w="3550"/>
            <w:tcMar>
              <w:top w:type="dxa" w:w="60"/>
              <w:left w:type="dxa" w:w="100"/>
              <w:bottom w:type="dxa" w:w="60"/>
              <w:right w:type="dxa" w:w="100"/>
            </w:tcMar>
          </w:tcPr>
          <w:p>
            <w:pPr>
              <w:jc w:val="left"/>
            </w:pPr>
            <w:r>
              <w:rPr>
                <w:b w:val="false"/>
                <w:bCs w:val="false"/>
                <w:color w:val="000000"/>
                <w:sz w:val="19"/>
                <w:szCs w:val="19"/>
              </w:rPr>
              <w:t xml:space="preserve">Kite Connect (live + historical), NSE/BSE bhavcopy, RSS/news APIs</w:t>
            </w:r>
          </w:p>
        </w:tc>
      </w:tr>
      <w:tr>
        <w:tc>
          <w:tcPr>
            <w:tcW w:type="dxa" w:w="1800"/>
            <w:shd w:fill="F4F8FC" w:val="clear"/>
            <w:tcMar>
              <w:top w:type="dxa" w:w="60"/>
              <w:left w:type="dxa" w:w="100"/>
              <w:bottom w:type="dxa" w:w="60"/>
              <w:right w:type="dxa" w:w="100"/>
            </w:tcMar>
          </w:tcPr>
          <w:p>
            <w:pPr>
              <w:jc w:val="left"/>
            </w:pPr>
            <w:r>
              <w:rPr>
                <w:b w:val="false"/>
                <w:bCs w:val="false"/>
                <w:color w:val="000000"/>
                <w:sz w:val="19"/>
                <w:szCs w:val="19"/>
              </w:rPr>
              <w:t xml:space="preserve">2. Storage</w:t>
            </w:r>
          </w:p>
        </w:tc>
        <w:tc>
          <w:tcPr>
            <w:tcW w:type="dxa" w:w="4050"/>
            <w:shd w:fill="F4F8FC" w:val="clear"/>
            <w:tcMar>
              <w:top w:type="dxa" w:w="60"/>
              <w:left w:type="dxa" w:w="100"/>
              <w:bottom w:type="dxa" w:w="60"/>
              <w:right w:type="dxa" w:w="100"/>
            </w:tcMar>
          </w:tcPr>
          <w:p>
            <w:pPr>
              <w:jc w:val="left"/>
            </w:pPr>
            <w:r>
              <w:rPr>
                <w:b w:val="false"/>
                <w:bCs w:val="false"/>
                <w:color w:val="000000"/>
                <w:sz w:val="19"/>
                <w:szCs w:val="19"/>
              </w:rPr>
              <w:t xml:space="preserve">Clean, point-in-time time-series + reference data; no look-ahead</w:t>
            </w:r>
          </w:p>
        </w:tc>
        <w:tc>
          <w:tcPr>
            <w:tcW w:type="dxa" w:w="3550"/>
            <w:shd w:fill="F4F8FC" w:val="clear"/>
            <w:tcMar>
              <w:top w:type="dxa" w:w="60"/>
              <w:left w:type="dxa" w:w="100"/>
              <w:bottom w:type="dxa" w:w="60"/>
              <w:right w:type="dxa" w:w="100"/>
            </w:tcMar>
          </w:tcPr>
          <w:p>
            <w:pPr>
              <w:jc w:val="left"/>
            </w:pPr>
            <w:r>
              <w:rPr>
                <w:b w:val="false"/>
                <w:bCs w:val="false"/>
                <w:color w:val="000000"/>
                <w:sz w:val="19"/>
                <w:szCs w:val="19"/>
              </w:rPr>
              <w:t xml:space="preserve">TimescaleDB or Parquet + DuckDB</w:t>
            </w:r>
          </w:p>
        </w:tc>
      </w:tr>
      <w:tr>
        <w:tc>
          <w:tcPr>
            <w:tcW w:type="dxa" w:w="1800"/>
            <w:tcMar>
              <w:top w:type="dxa" w:w="60"/>
              <w:left w:type="dxa" w:w="100"/>
              <w:bottom w:type="dxa" w:w="60"/>
              <w:right w:type="dxa" w:w="100"/>
            </w:tcMar>
          </w:tcPr>
          <w:p>
            <w:pPr>
              <w:jc w:val="left"/>
            </w:pPr>
            <w:r>
              <w:rPr>
                <w:b w:val="false"/>
                <w:bCs w:val="false"/>
                <w:color w:val="000000"/>
                <w:sz w:val="19"/>
                <w:szCs w:val="19"/>
              </w:rPr>
              <w:t xml:space="preserve">3. Feature / signal</w:t>
            </w:r>
          </w:p>
        </w:tc>
        <w:tc>
          <w:tcPr>
            <w:tcW w:type="dxa" w:w="4050"/>
            <w:tcMar>
              <w:top w:type="dxa" w:w="60"/>
              <w:left w:type="dxa" w:w="100"/>
              <w:bottom w:type="dxa" w:w="60"/>
              <w:right w:type="dxa" w:w="100"/>
            </w:tcMar>
          </w:tcPr>
          <w:p>
            <w:pPr>
              <w:jc w:val="left"/>
            </w:pPr>
            <w:r>
              <w:rPr>
                <w:b w:val="false"/>
                <w:bCs w:val="false"/>
                <w:color w:val="000000"/>
                <w:sz w:val="19"/>
                <w:szCs w:val="19"/>
              </w:rPr>
              <w:t xml:space="preserve">Compute factors, indicators, statistical &amp; ML signals</w:t>
            </w:r>
          </w:p>
        </w:tc>
        <w:tc>
          <w:tcPr>
            <w:tcW w:type="dxa" w:w="3550"/>
            <w:tcMar>
              <w:top w:type="dxa" w:w="60"/>
              <w:left w:type="dxa" w:w="100"/>
              <w:bottom w:type="dxa" w:w="60"/>
              <w:right w:type="dxa" w:w="100"/>
            </w:tcMar>
          </w:tcPr>
          <w:p>
            <w:pPr>
              <w:jc w:val="left"/>
            </w:pPr>
            <w:r>
              <w:rPr>
                <w:b w:val="false"/>
                <w:bCs w:val="false"/>
                <w:color w:val="000000"/>
                <w:sz w:val="19"/>
                <w:szCs w:val="19"/>
              </w:rPr>
              <w:t xml:space="preserve">Python: pandas/polars, numpy, statsmodels, LightGBM</w:t>
            </w:r>
          </w:p>
        </w:tc>
      </w:tr>
      <w:tr>
        <w:tc>
          <w:tcPr>
            <w:tcW w:type="dxa" w:w="1800"/>
            <w:shd w:fill="F4F8FC" w:val="clear"/>
            <w:tcMar>
              <w:top w:type="dxa" w:w="60"/>
              <w:left w:type="dxa" w:w="100"/>
              <w:bottom w:type="dxa" w:w="60"/>
              <w:right w:type="dxa" w:w="100"/>
            </w:tcMar>
          </w:tcPr>
          <w:p>
            <w:pPr>
              <w:jc w:val="left"/>
            </w:pPr>
            <w:r>
              <w:rPr>
                <w:b w:val="false"/>
                <w:bCs w:val="false"/>
                <w:color w:val="000000"/>
                <w:sz w:val="19"/>
                <w:szCs w:val="19"/>
              </w:rPr>
              <w:t xml:space="preserve">4. Risk &amp; portfolio</w:t>
            </w:r>
          </w:p>
        </w:tc>
        <w:tc>
          <w:tcPr>
            <w:tcW w:type="dxa" w:w="4050"/>
            <w:shd w:fill="F4F8FC" w:val="clear"/>
            <w:tcMar>
              <w:top w:type="dxa" w:w="60"/>
              <w:left w:type="dxa" w:w="100"/>
              <w:bottom w:type="dxa" w:w="60"/>
              <w:right w:type="dxa" w:w="100"/>
            </w:tcMar>
          </w:tcPr>
          <w:p>
            <w:pPr>
              <w:jc w:val="left"/>
            </w:pPr>
            <w:r>
              <w:rPr>
                <w:b w:val="false"/>
                <w:bCs w:val="false"/>
                <w:color w:val="000000"/>
                <w:sz w:val="19"/>
                <w:szCs w:val="19"/>
              </w:rPr>
              <w:t xml:space="preserve">Sizing, constraints, optimization, kill-switch</w:t>
            </w:r>
          </w:p>
        </w:tc>
        <w:tc>
          <w:tcPr>
            <w:tcW w:type="dxa" w:w="3550"/>
            <w:shd w:fill="F4F8FC" w:val="clear"/>
            <w:tcMar>
              <w:top w:type="dxa" w:w="60"/>
              <w:left w:type="dxa" w:w="100"/>
              <w:bottom w:type="dxa" w:w="60"/>
              <w:right w:type="dxa" w:w="100"/>
            </w:tcMar>
          </w:tcPr>
          <w:p>
            <w:pPr>
              <w:jc w:val="left"/>
            </w:pPr>
            <w:r>
              <w:rPr>
                <w:b w:val="false"/>
                <w:bCs w:val="false"/>
                <w:color w:val="000000"/>
                <w:sz w:val="19"/>
                <w:szCs w:val="19"/>
              </w:rPr>
              <w:t xml:space="preserve">Custom + cvxpy / riskfolio-lib</w:t>
            </w:r>
          </w:p>
        </w:tc>
      </w:tr>
      <w:tr>
        <w:tc>
          <w:tcPr>
            <w:tcW w:type="dxa" w:w="1800"/>
            <w:tcMar>
              <w:top w:type="dxa" w:w="60"/>
              <w:left w:type="dxa" w:w="100"/>
              <w:bottom w:type="dxa" w:w="60"/>
              <w:right w:type="dxa" w:w="100"/>
            </w:tcMar>
          </w:tcPr>
          <w:p>
            <w:pPr>
              <w:jc w:val="left"/>
            </w:pPr>
            <w:r>
              <w:rPr>
                <w:b w:val="false"/>
                <w:bCs w:val="false"/>
                <w:color w:val="000000"/>
                <w:sz w:val="19"/>
                <w:szCs w:val="19"/>
              </w:rPr>
              <w:t xml:space="preserve">5. Backtest &amp; sim</w:t>
            </w:r>
          </w:p>
        </w:tc>
        <w:tc>
          <w:tcPr>
            <w:tcW w:type="dxa" w:w="4050"/>
            <w:tcMar>
              <w:top w:type="dxa" w:w="60"/>
              <w:left w:type="dxa" w:w="100"/>
              <w:bottom w:type="dxa" w:w="60"/>
              <w:right w:type="dxa" w:w="100"/>
            </w:tcMar>
          </w:tcPr>
          <w:p>
            <w:pPr>
              <w:jc w:val="left"/>
            </w:pPr>
            <w:r>
              <w:rPr>
                <w:b w:val="false"/>
                <w:bCs w:val="false"/>
                <w:color w:val="000000"/>
                <w:sz w:val="19"/>
                <w:szCs w:val="19"/>
              </w:rPr>
              <w:t xml:space="preserve">Event-driven backtester with realistic costs; paper trading</w:t>
            </w:r>
          </w:p>
        </w:tc>
        <w:tc>
          <w:tcPr>
            <w:tcW w:type="dxa" w:w="3550"/>
            <w:tcMar>
              <w:top w:type="dxa" w:w="60"/>
              <w:left w:type="dxa" w:w="100"/>
              <w:bottom w:type="dxa" w:w="60"/>
              <w:right w:type="dxa" w:w="100"/>
            </w:tcMar>
          </w:tcPr>
          <w:p>
            <w:pPr>
              <w:jc w:val="left"/>
            </w:pPr>
            <w:r>
              <w:rPr>
                <w:b w:val="false"/>
                <w:bCs w:val="false"/>
                <w:color w:val="000000"/>
                <w:sz w:val="19"/>
                <w:szCs w:val="19"/>
              </w:rPr>
              <w:t xml:space="preserve">vectorbt / custom event engine</w:t>
            </w:r>
          </w:p>
        </w:tc>
      </w:tr>
      <w:tr>
        <w:tc>
          <w:tcPr>
            <w:tcW w:type="dxa" w:w="1800"/>
            <w:shd w:fill="F4F8FC" w:val="clear"/>
            <w:tcMar>
              <w:top w:type="dxa" w:w="60"/>
              <w:left w:type="dxa" w:w="100"/>
              <w:bottom w:type="dxa" w:w="60"/>
              <w:right w:type="dxa" w:w="100"/>
            </w:tcMar>
          </w:tcPr>
          <w:p>
            <w:pPr>
              <w:jc w:val="left"/>
            </w:pPr>
            <w:r>
              <w:rPr>
                <w:b w:val="false"/>
                <w:bCs w:val="false"/>
                <w:color w:val="000000"/>
                <w:sz w:val="19"/>
                <w:szCs w:val="19"/>
              </w:rPr>
              <w:t xml:space="preserve">6. Execution</w:t>
            </w:r>
          </w:p>
        </w:tc>
        <w:tc>
          <w:tcPr>
            <w:tcW w:type="dxa" w:w="4050"/>
            <w:shd w:fill="F4F8FC" w:val="clear"/>
            <w:tcMar>
              <w:top w:type="dxa" w:w="60"/>
              <w:left w:type="dxa" w:w="100"/>
              <w:bottom w:type="dxa" w:w="60"/>
              <w:right w:type="dxa" w:w="100"/>
            </w:tcMar>
          </w:tcPr>
          <w:p>
            <w:pPr>
              <w:jc w:val="left"/>
            </w:pPr>
            <w:r>
              <w:rPr>
                <w:b w:val="false"/>
                <w:bCs w:val="false"/>
                <w:color w:val="000000"/>
                <w:sz w:val="19"/>
                <w:szCs w:val="19"/>
              </w:rPr>
              <w:t xml:space="preserve">Order routing, slicing, fills, reconciliation</w:t>
            </w:r>
          </w:p>
        </w:tc>
        <w:tc>
          <w:tcPr>
            <w:tcW w:type="dxa" w:w="3550"/>
            <w:shd w:fill="F4F8FC" w:val="clear"/>
            <w:tcMar>
              <w:top w:type="dxa" w:w="60"/>
              <w:left w:type="dxa" w:w="100"/>
              <w:bottom w:type="dxa" w:w="60"/>
              <w:right w:type="dxa" w:w="100"/>
            </w:tcMar>
          </w:tcPr>
          <w:p>
            <w:pPr>
              <w:jc w:val="left"/>
            </w:pPr>
            <w:r>
              <w:rPr>
                <w:b w:val="false"/>
                <w:bCs w:val="false"/>
                <w:color w:val="000000"/>
                <w:sz w:val="19"/>
                <w:szCs w:val="19"/>
              </w:rPr>
              <w:t xml:space="preserve">Kite Connect orders + WebSocket</w:t>
            </w:r>
          </w:p>
        </w:tc>
      </w:tr>
      <w:tr>
        <w:tc>
          <w:tcPr>
            <w:tcW w:type="dxa" w:w="1800"/>
            <w:tcMar>
              <w:top w:type="dxa" w:w="60"/>
              <w:left w:type="dxa" w:w="100"/>
              <w:bottom w:type="dxa" w:w="60"/>
              <w:right w:type="dxa" w:w="100"/>
            </w:tcMar>
          </w:tcPr>
          <w:p>
            <w:pPr>
              <w:jc w:val="left"/>
            </w:pPr>
            <w:r>
              <w:rPr>
                <w:b w:val="false"/>
                <w:bCs w:val="false"/>
                <w:color w:val="000000"/>
                <w:sz w:val="19"/>
                <w:szCs w:val="19"/>
              </w:rPr>
              <w:t xml:space="preserve">7. Ops / monitoring</w:t>
            </w:r>
          </w:p>
        </w:tc>
        <w:tc>
          <w:tcPr>
            <w:tcW w:type="dxa" w:w="4050"/>
            <w:tcMar>
              <w:top w:type="dxa" w:w="60"/>
              <w:left w:type="dxa" w:w="100"/>
              <w:bottom w:type="dxa" w:w="60"/>
              <w:right w:type="dxa" w:w="100"/>
            </w:tcMar>
          </w:tcPr>
          <w:p>
            <w:pPr>
              <w:jc w:val="left"/>
            </w:pPr>
            <w:r>
              <w:rPr>
                <w:b w:val="false"/>
                <w:bCs w:val="false"/>
                <w:color w:val="000000"/>
                <w:sz w:val="19"/>
                <w:szCs w:val="19"/>
              </w:rPr>
              <w:t xml:space="preserve">Dashboards, alerts, logs, audit trail, scheduler</w:t>
            </w:r>
          </w:p>
        </w:tc>
        <w:tc>
          <w:tcPr>
            <w:tcW w:type="dxa" w:w="3550"/>
            <w:tcMar>
              <w:top w:type="dxa" w:w="60"/>
              <w:left w:type="dxa" w:w="100"/>
              <w:bottom w:type="dxa" w:w="60"/>
              <w:right w:type="dxa" w:w="100"/>
            </w:tcMar>
          </w:tcPr>
          <w:p>
            <w:pPr>
              <w:jc w:val="left"/>
            </w:pPr>
            <w:r>
              <w:rPr>
                <w:b w:val="false"/>
                <w:bCs w:val="false"/>
                <w:color w:val="000000"/>
                <w:sz w:val="19"/>
                <w:szCs w:val="19"/>
              </w:rPr>
              <w:t xml:space="preserve">Streamlit, Prefect/Airflow, Grafana</w:t>
            </w:r>
          </w:p>
        </w:tc>
      </w:tr>
    </w:tbl>
    <w:p>
      <w:pPr>
        <w:spacing w:after="80"/>
      </w:pPr>
      <w:r>
        <w:rPr>
          <w:sz w:val="21"/>
          <w:szCs w:val="21"/>
        </w:rPr>
        <w:t xml:space="preserve"/>
      </w:r>
    </w:p>
    <w:p>
      <w:pPr>
        <w:pBdr>
          <w:left w:val="single" w:color="C00000" w:sz="18" w:space="8"/>
        </w:pBdr>
        <w:shd w:fill="EAF1F8" w:val="clear"/>
        <w:spacing w:after="160" w:before="120" w:line="276"/>
        <w:ind w:left="120" w:right="120"/>
      </w:pPr>
      <w:r>
        <w:rPr>
          <w:b/>
          <w:bCs/>
          <w:color w:val="C00000"/>
          <w:sz w:val="21"/>
          <w:szCs w:val="21"/>
        </w:rPr>
        <w:t xml:space="preserve">Golden rule:  </w:t>
      </w:r>
      <w:r>
        <w:rPr>
          <w:sz w:val="21"/>
          <w:szCs w:val="21"/>
        </w:rPr>
        <w:t xml:space="preserve">The research/backtest stack and the live-execution stack share the same signal code but run as separate processes with separate credentials. Only the execution service holds order-placement API keys.</w:t>
      </w:r>
    </w:p>
    <w:p>
      <w:pPr>
        <w:pStyle w:val="Heading3"/>
        <w:spacing w:after="70" w:before="160"/>
      </w:pPr>
      <w:r>
        <w:rPr>
          <w:b/>
          <w:bCs/>
          <w:color w:val="595959"/>
          <w:sz w:val="22"/>
          <w:szCs w:val="22"/>
        </w:rPr>
        <w:t xml:space="preserve">2.1  Suggested tech stack (tuned to your profile)</w:t>
      </w:r>
    </w:p>
    <w:p>
      <w:pPr>
        <w:pStyle w:val="ListParagraph"/>
        <w:numPr>
          <w:ilvl w:val="0"/>
          <w:numId w:val="2"/>
        </w:numPr>
        <w:spacing w:after="60" w:line="270"/>
      </w:pPr>
      <w:r>
        <w:rPr>
          <w:b/>
          <w:bCs/>
          <w:sz w:val="21"/>
          <w:szCs w:val="21"/>
        </w:rPr>
        <w:t xml:space="preserve">Language: </w:t>
      </w:r>
      <w:r>
        <w:rPr>
          <w:sz w:val="21"/>
          <w:szCs w:val="21"/>
        </w:rPr>
        <w:t xml:space="preserve">Python for research, ML, AND execution. At this frequency the Kite Connect API round-trip to broker/exchange (tens–hundreds of ms, outside your control) dominates latency, so a compiled language would only save invisible microseconds while forcing you to reimplement the official pykiteconnect client — more code and more bugs in the one place bugs cost real money. Reserve a compiled language (prefer Rust over C++ for memory safety) for a specific, measured hot path only — realistically not before tick-level intraday, if ever.</w:t>
      </w:r>
    </w:p>
    <w:p>
      <w:pPr>
        <w:pStyle w:val="ListParagraph"/>
        <w:numPr>
          <w:ilvl w:val="0"/>
          <w:numId w:val="2"/>
        </w:numPr>
        <w:spacing w:after="60" w:line="270"/>
      </w:pPr>
      <w:r>
        <w:rPr>
          <w:b/>
          <w:bCs/>
          <w:sz w:val="21"/>
          <w:szCs w:val="21"/>
        </w:rPr>
        <w:t xml:space="preserve">Core libs: </w:t>
      </w:r>
      <w:r>
        <w:rPr>
          <w:sz w:val="21"/>
          <w:szCs w:val="21"/>
        </w:rPr>
        <w:t xml:space="preserve">pandas / polars, numpy, statsmodels, scikit-learn, LightGBM; cvxpy for optimization; pandas-market-calendars for sessions.</w:t>
      </w:r>
    </w:p>
    <w:p>
      <w:pPr>
        <w:pStyle w:val="ListParagraph"/>
        <w:numPr>
          <w:ilvl w:val="0"/>
          <w:numId w:val="2"/>
        </w:numPr>
        <w:spacing w:after="60" w:line="270"/>
      </w:pPr>
      <w:r>
        <w:rPr>
          <w:b/>
          <w:bCs/>
          <w:sz w:val="21"/>
          <w:szCs w:val="21"/>
        </w:rPr>
        <w:t xml:space="preserve">Broker: </w:t>
      </w:r>
      <w:r>
        <w:rPr>
          <w:sz w:val="21"/>
          <w:szCs w:val="21"/>
        </w:rPr>
        <w:t xml:space="preserve">pykiteconnect (official Kite Connect Python client) for orders, positions, historical candles, and the streaming WebSocket for live ticks.</w:t>
      </w:r>
    </w:p>
    <w:p>
      <w:pPr>
        <w:pStyle w:val="ListParagraph"/>
        <w:numPr>
          <w:ilvl w:val="0"/>
          <w:numId w:val="2"/>
        </w:numPr>
        <w:spacing w:after="60" w:line="270"/>
      </w:pPr>
      <w:r>
        <w:rPr>
          <w:b/>
          <w:bCs/>
          <w:sz w:val="21"/>
          <w:szCs w:val="21"/>
        </w:rPr>
        <w:t xml:space="preserve">Storage: </w:t>
      </w:r>
      <w:r>
        <w:rPr>
          <w:sz w:val="21"/>
          <w:szCs w:val="21"/>
        </w:rPr>
        <w:t xml:space="preserve">TimescaleDB (Postgres extension) for tick/candle data; Parquet files + DuckDB for research datasets you query analytically.</w:t>
      </w:r>
    </w:p>
    <w:p>
      <w:pPr>
        <w:pStyle w:val="ListParagraph"/>
        <w:numPr>
          <w:ilvl w:val="0"/>
          <w:numId w:val="2"/>
        </w:numPr>
        <w:spacing w:after="60" w:line="270"/>
      </w:pPr>
      <w:r>
        <w:rPr>
          <w:b/>
          <w:bCs/>
          <w:sz w:val="21"/>
          <w:szCs w:val="21"/>
        </w:rPr>
        <w:t xml:space="preserve">Orchestration: </w:t>
      </w:r>
      <w:r>
        <w:rPr>
          <w:sz w:val="21"/>
          <w:szCs w:val="21"/>
        </w:rPr>
        <w:t xml:space="preserve">Prefect or Airflow for scheduled jobs (nightly re-fit, EOD reconciliation, news pulls).</w:t>
      </w:r>
    </w:p>
    <w:p>
      <w:pPr>
        <w:pStyle w:val="ListParagraph"/>
        <w:numPr>
          <w:ilvl w:val="0"/>
          <w:numId w:val="2"/>
        </w:numPr>
        <w:spacing w:after="60" w:line="270"/>
      </w:pPr>
      <w:r>
        <w:rPr>
          <w:b/>
          <w:bCs/>
          <w:sz w:val="21"/>
          <w:szCs w:val="21"/>
        </w:rPr>
        <w:t xml:space="preserve">Frontend / dashboard: </w:t>
      </w:r>
      <w:r>
        <w:rPr>
          <w:sz w:val="21"/>
          <w:szCs w:val="21"/>
        </w:rPr>
        <w:t xml:space="preserve">React.js for the production UI. Use Streamlit as a fast interim dashboard during the months the system changes daily, then move to React once the product stabilizes — either order is fine.</w:t>
      </w:r>
    </w:p>
    <w:p>
      <w:pPr>
        <w:pStyle w:val="ListParagraph"/>
        <w:numPr>
          <w:ilvl w:val="0"/>
          <w:numId w:val="2"/>
        </w:numPr>
        <w:spacing w:after="60" w:line="270"/>
      </w:pPr>
      <w:r>
        <w:rPr>
          <w:b/>
          <w:bCs/>
          <w:sz w:val="21"/>
          <w:szCs w:val="21"/>
        </w:rPr>
        <w:t xml:space="preserve">Infra: </w:t>
      </w:r>
      <w:r>
        <w:rPr>
          <w:sz w:val="21"/>
          <w:szCs w:val="21"/>
        </w:rPr>
        <w:t xml:space="preserve">A small always-on cloud VM with a static IP (whitelist it with the broker). Docker-compose the services. Secrets in a vault, never in code.</w:t>
      </w:r>
    </w:p>
    <w:p>
      <w:pPr>
        <w:pBdr>
          <w:left w:val="single" w:color="2E75B6" w:sz="18" w:space="8"/>
        </w:pBdr>
        <w:shd w:fill="EAF1F8" w:val="clear"/>
        <w:spacing w:after="160" w:before="120" w:line="276"/>
        <w:ind w:left="120" w:right="120"/>
      </w:pPr>
      <w:r>
        <w:rPr>
          <w:b/>
          <w:bCs/>
          <w:color w:val="2E75B6"/>
          <w:sz w:val="21"/>
          <w:szCs w:val="21"/>
        </w:rPr>
        <w:t xml:space="preserve">Confirmed stack:  </w:t>
      </w:r>
      <w:r>
        <w:rPr>
          <w:sz w:val="21"/>
          <w:szCs w:val="21"/>
        </w:rPr>
        <w:t xml:space="preserve">Python for research + ML + execution; React.js frontend (Streamlit interim); TimescaleDB storage; Prefect/Airflow orchestration; static-IP VM. The edge here comes from the math and risk discipline, not language speed — spend engineering budget on an honest backtester and clean execution logic, not on shaving microseconds.</w:t>
      </w:r>
    </w:p>
    <w:p>
      <w:r>
        <w:br w:type="page"/>
      </w:r>
    </w:p>
    <w:p>
      <w:pPr>
        <w:pStyle w:val="Heading1"/>
        <w:spacing w:after="140" w:before="320"/>
      </w:pPr>
      <w:r>
        <w:rPr>
          <w:b/>
          <w:bCs/>
          <w:color w:val="1F4E79"/>
          <w:sz w:val="30"/>
          <w:szCs w:val="30"/>
        </w:rPr>
        <w:t xml:space="preserve">3. Phased Roadmap</w:t>
      </w:r>
    </w:p>
    <w:p>
      <w:pPr>
        <w:spacing w:after="120" w:line="276"/>
      </w:pPr>
      <w:r>
        <w:rPr>
          <w:sz w:val="21"/>
          <w:szCs w:val="21"/>
        </w:rPr>
        <w:t xml:space="preserve">Seven phases. Phases 1 and 2 run in parallel; nothing touches real money before Phase 4, and only after Phase 3 validation gates are passed. Realistic end-to-end timeline to a trustworthy live system: </w:t>
      </w:r>
      <w:r>
        <w:rPr>
          <w:b/>
          <w:bCs/>
          <w:sz w:val="21"/>
          <w:szCs w:val="21"/>
        </w:rPr>
        <w:t xml:space="preserve">6–12 months</w:t>
      </w:r>
      <w:r>
        <w:rPr>
          <w:sz w:val="21"/>
          <w:szCs w:val="21"/>
        </w:rPr>
        <w:t xml:space="preserve"> of steady part-time work. The highest-value learning is in Phases 0–3.</w:t>
      </w:r>
    </w:p>
    <w:p>
      <w:pPr>
        <w:pStyle w:val="Heading2"/>
        <w:spacing w:after="100" w:before="220"/>
      </w:pPr>
      <w:r>
        <w:rPr>
          <w:b/>
          <w:bCs/>
          <w:color w:val="2E75B6"/>
          <w:sz w:val="25"/>
          <w:szCs w:val="25"/>
        </w:rPr>
        <w:t xml:space="preserve">Phase 0 — Foundations  (2–4 weeks)</w:t>
      </w:r>
    </w:p>
    <w:p>
      <w:pPr>
        <w:spacing w:after="120" w:line="276"/>
      </w:pPr>
      <w:r>
        <w:rPr>
          <w:sz w:val="21"/>
          <w:szCs w:val="21"/>
        </w:rPr>
        <w:t xml:space="preserve">Goal: a working data spine and an honest backtester. No strategy yet.</w:t>
      </w:r>
    </w:p>
    <w:p>
      <w:pPr>
        <w:pStyle w:val="ListParagraph"/>
        <w:numPr>
          <w:ilvl w:val="0"/>
          <w:numId w:val="3"/>
        </w:numPr>
        <w:spacing w:after="60" w:line="270"/>
      </w:pPr>
      <w:r>
        <w:rPr>
          <w:sz w:val="21"/>
          <w:szCs w:val="21"/>
        </w:rPr>
        <w:t xml:space="preserve">Open a Zerodha account and subscribe to Kite Connect (API app + historical data add-on). Generate API keys; build the login/token-refresh flow.</w:t>
      </w:r>
    </w:p>
    <w:p>
      <w:pPr>
        <w:pStyle w:val="ListParagraph"/>
        <w:numPr>
          <w:ilvl w:val="0"/>
          <w:numId w:val="3"/>
        </w:numPr>
        <w:spacing w:after="60" w:line="270"/>
      </w:pPr>
      <w:r>
        <w:rPr>
          <w:sz w:val="21"/>
          <w:szCs w:val="21"/>
        </w:rPr>
        <w:t xml:space="preserve">Build the data ingestion + storage layer. Pull historical candles for your universe; set up the live WebSocket. Store with correct timestamps and timezone (IST), adjusted for splits/bonuses.</w:t>
      </w:r>
    </w:p>
    <w:p>
      <w:pPr>
        <w:pStyle w:val="ListParagraph"/>
        <w:numPr>
          <w:ilvl w:val="0"/>
          <w:numId w:val="3"/>
        </w:numPr>
        <w:spacing w:after="60" w:line="270"/>
      </w:pPr>
      <w:r>
        <w:rPr>
          <w:sz w:val="21"/>
          <w:szCs w:val="21"/>
        </w:rPr>
        <w:t xml:space="preserve">Build the backtesting engine (or wrap vectorbt) with realistic frictions: brokerage, STT, exchange fees, GST, stamp duty, slippage, and market impact. No look-ahead: a bar’s signal can only use data available at that bar’s close.</w:t>
      </w:r>
    </w:p>
    <w:p>
      <w:pPr>
        <w:pStyle w:val="ListParagraph"/>
        <w:numPr>
          <w:ilvl w:val="0"/>
          <w:numId w:val="3"/>
        </w:numPr>
        <w:spacing w:after="60" w:line="270"/>
      </w:pPr>
      <w:r>
        <w:rPr>
          <w:sz w:val="21"/>
          <w:szCs w:val="21"/>
        </w:rPr>
        <w:t xml:space="preserve">Write a data-quality test suite: gap detection, corporate-action sanity, survivorship-bias check on your universe (include delisted names).</w:t>
      </w:r>
    </w:p>
    <w:p>
      <w:pPr>
        <w:pBdr>
          <w:left w:val="single" w:color="C00000" w:sz="18" w:space="8"/>
        </w:pBdr>
        <w:shd w:fill="EAF1F8" w:val="clear"/>
        <w:spacing w:after="160" w:before="120" w:line="276"/>
        <w:ind w:left="120" w:right="120"/>
      </w:pPr>
      <w:r>
        <w:rPr>
          <w:b/>
          <w:bCs/>
          <w:color w:val="C00000"/>
          <w:sz w:val="21"/>
          <w:szCs w:val="21"/>
        </w:rPr>
        <w:t xml:space="preserve">Why the backtester is priority #1:  </w:t>
      </w:r>
      <w:r>
        <w:rPr>
          <w:sz w:val="21"/>
          <w:szCs w:val="21"/>
        </w:rPr>
        <w:t xml:space="preserve">Most retail bots fail not on strategy but on a fantasy backtest — look-ahead bias, ignored costs, survivorship bias. Get this brutally honest first and every later decision becomes trustworthy.</w:t>
      </w:r>
    </w:p>
    <w:p>
      <w:pPr>
        <w:pStyle w:val="Heading2"/>
        <w:spacing w:after="100" w:before="220"/>
      </w:pPr>
      <w:r>
        <w:rPr>
          <w:b/>
          <w:bCs/>
          <w:color w:val="2E75B6"/>
          <w:sz w:val="25"/>
          <w:szCs w:val="25"/>
        </w:rPr>
        <w:t xml:space="preserve">Phase 1 — Signal Generation: “what to buy / sell”  (4–8 weeks)</w:t>
      </w:r>
    </w:p>
    <w:p>
      <w:pPr>
        <w:spacing w:after="120" w:line="276"/>
      </w:pPr>
      <w:r>
        <w:rPr>
          <w:sz w:val="21"/>
          <w:szCs w:val="21"/>
        </w:rPr>
        <w:t xml:space="preserve">Goal (your Phase-I product): a daily ranked list of buy/sell/hold suggestions with an expected-return and confidence estimate — reviewed by you, no auto-trading. Build a small library of </w:t>
      </w:r>
      <w:r>
        <w:rPr>
          <w:i/>
          <w:iCs/>
          <w:sz w:val="21"/>
          <w:szCs w:val="21"/>
        </w:rPr>
        <w:t xml:space="preserve">orthogonal</w:t>
      </w:r>
      <w:r>
        <w:rPr>
          <w:sz w:val="21"/>
          <w:szCs w:val="21"/>
        </w:rPr>
        <w:t xml:space="preserve"> signals grounded in real methods:</w:t>
      </w:r>
    </w:p>
    <w:p>
      <w:pPr>
        <w:pStyle w:val="Heading3"/>
        <w:spacing w:after="70" w:before="160"/>
      </w:pPr>
      <w:r>
        <w:rPr>
          <w:b/>
          <w:bCs/>
          <w:color w:val="595959"/>
          <w:sz w:val="22"/>
          <w:szCs w:val="22"/>
        </w:rPr>
        <w:t xml:space="preserve">Signal families</w:t>
      </w:r>
    </w:p>
    <w:p>
      <w:pPr>
        <w:pStyle w:val="ListParagraph"/>
        <w:numPr>
          <w:ilvl w:val="0"/>
          <w:numId w:val="2"/>
        </w:numPr>
        <w:spacing w:after="60" w:line="270"/>
      </w:pPr>
      <w:r>
        <w:rPr>
          <w:b/>
          <w:bCs/>
          <w:sz w:val="21"/>
          <w:szCs w:val="21"/>
        </w:rPr>
        <w:t xml:space="preserve">Cross-sectional factors: </w:t>
      </w:r>
      <w:r>
        <w:rPr>
          <w:sz w:val="21"/>
          <w:szCs w:val="21"/>
        </w:rPr>
        <w:t xml:space="preserve">momentum (12-1 month), short-term reversal, low-volatility, value/quality — rank the universe and go long top / short or avoid bottom.</w:t>
      </w:r>
    </w:p>
    <w:p>
      <w:pPr>
        <w:pStyle w:val="ListParagraph"/>
        <w:numPr>
          <w:ilvl w:val="0"/>
          <w:numId w:val="2"/>
        </w:numPr>
        <w:spacing w:after="60" w:line="270"/>
      </w:pPr>
      <w:r>
        <w:rPr>
          <w:b/>
          <w:bCs/>
          <w:sz w:val="21"/>
          <w:szCs w:val="21"/>
        </w:rPr>
        <w:t xml:space="preserve">Time-series: </w:t>
      </w:r>
      <w:r>
        <w:rPr>
          <w:sz w:val="21"/>
          <w:szCs w:val="21"/>
        </w:rPr>
        <w:t xml:space="preserve">trend-following (moving-average / breakout with volatility filters); mean-reversion on stationary series.</w:t>
      </w:r>
    </w:p>
    <w:p>
      <w:pPr>
        <w:pStyle w:val="ListParagraph"/>
        <w:numPr>
          <w:ilvl w:val="0"/>
          <w:numId w:val="2"/>
        </w:numPr>
        <w:spacing w:after="60" w:line="270"/>
      </w:pPr>
      <w:r>
        <w:rPr>
          <w:b/>
          <w:bCs/>
          <w:sz w:val="21"/>
          <w:szCs w:val="21"/>
        </w:rPr>
        <w:t xml:space="preserve">Statistical arbitrage: </w:t>
      </w:r>
      <w:r>
        <w:rPr>
          <w:sz w:val="21"/>
          <w:szCs w:val="21"/>
        </w:rPr>
        <w:t xml:space="preserve">cointegration-based pairs trading (Engle-Granger / Johansen), spread modeled with a Kalman filter for the hedge ratio.</w:t>
      </w:r>
    </w:p>
    <w:p>
      <w:pPr>
        <w:pStyle w:val="ListParagraph"/>
        <w:numPr>
          <w:ilvl w:val="0"/>
          <w:numId w:val="2"/>
        </w:numPr>
        <w:spacing w:after="60" w:line="270"/>
      </w:pPr>
      <w:r>
        <w:rPr>
          <w:b/>
          <w:bCs/>
          <w:sz w:val="21"/>
          <w:szCs w:val="21"/>
        </w:rPr>
        <w:t xml:space="preserve">Volatility: </w:t>
      </w:r>
      <w:r>
        <w:rPr>
          <w:sz w:val="21"/>
          <w:szCs w:val="21"/>
        </w:rPr>
        <w:t xml:space="preserve">GARCH-family models for risk forecasting and F&amp;O/options context.</w:t>
      </w:r>
    </w:p>
    <w:p>
      <w:pPr>
        <w:pStyle w:val="ListParagraph"/>
        <w:numPr>
          <w:ilvl w:val="0"/>
          <w:numId w:val="2"/>
        </w:numPr>
        <w:spacing w:after="60" w:line="270"/>
      </w:pPr>
      <w:r>
        <w:rPr>
          <w:b/>
          <w:bCs/>
          <w:sz w:val="21"/>
          <w:szCs w:val="21"/>
        </w:rPr>
        <w:t xml:space="preserve">ML overlay (carefully): </w:t>
      </w:r>
      <w:r>
        <w:rPr>
          <w:sz w:val="21"/>
          <w:szCs w:val="21"/>
        </w:rPr>
        <w:t xml:space="preserve">gradient-boosted trees predicting forward returns from engineered features — only with the validation discipline in Section 8. Start simple; ML is not a shortcut past good features.</w:t>
      </w:r>
    </w:p>
    <w:p>
      <w:pPr>
        <w:pStyle w:val="ListParagraph"/>
        <w:numPr>
          <w:ilvl w:val="0"/>
          <w:numId w:val="2"/>
        </w:numPr>
        <w:spacing w:after="60" w:line="270"/>
      </w:pPr>
      <w:r>
        <w:rPr>
          <w:b/>
          <w:bCs/>
          <w:sz w:val="21"/>
          <w:szCs w:val="21"/>
        </w:rPr>
        <w:t xml:space="preserve">News / event signals: </w:t>
      </w:r>
      <w:r>
        <w:rPr>
          <w:sz w:val="21"/>
          <w:szCs w:val="21"/>
        </w:rPr>
        <w:t xml:space="preserve">ingest news, earnings, and filings; use an LLM to produce sentiment scores and event tags as features (see 1.4). This is your “web-gathering” requirement, done as a feature, not a trigger.</w:t>
      </w:r>
    </w:p>
    <w:p>
      <w:pPr>
        <w:pBdr>
          <w:left w:val="single" w:color="2E75B6" w:sz="18" w:space="8"/>
        </w:pBdr>
        <w:shd w:fill="EAF1F8" w:val="clear"/>
        <w:spacing w:after="160" w:before="120" w:line="276"/>
        <w:ind w:left="120" w:right="120"/>
      </w:pPr>
      <w:r>
        <w:rPr>
          <w:b/>
          <w:bCs/>
          <w:color w:val="2E75B6"/>
          <w:sz w:val="21"/>
          <w:szCs w:val="21"/>
        </w:rPr>
        <w:t xml:space="preserve">Deliverable of Phase 1:  </w:t>
      </w:r>
      <w:r>
        <w:rPr>
          <w:sz w:val="21"/>
          <w:szCs w:val="21"/>
        </w:rPr>
        <w:t xml:space="preserve">A nightly job that outputs a ranked suggestion list with per-name expected return, confidence, and the top reasons. You act on it manually and log outcomes. This alone is genuinely useful and teaches you what has edge.</w:t>
      </w:r>
    </w:p>
    <w:p>
      <w:pPr>
        <w:pStyle w:val="Heading2"/>
        <w:spacing w:after="100" w:before="220"/>
      </w:pPr>
      <w:r>
        <w:rPr>
          <w:b/>
          <w:bCs/>
          <w:color w:val="2E75B6"/>
          <w:sz w:val="25"/>
          <w:szCs w:val="25"/>
        </w:rPr>
        <w:t xml:space="preserve">Phase 2 — Risk &amp; Portfolio Construction  (parallel with Phase 1)</w:t>
      </w:r>
    </w:p>
    <w:p>
      <w:pPr>
        <w:spacing w:after="120" w:line="276"/>
      </w:pPr>
      <w:r>
        <w:rPr>
          <w:sz w:val="21"/>
          <w:szCs w:val="21"/>
        </w:rPr>
        <w:t xml:space="preserve">A signal without sizing is worthless. This layer decides how much, subject to hard limits.</w:t>
      </w:r>
    </w:p>
    <w:p>
      <w:pPr>
        <w:pStyle w:val="ListParagraph"/>
        <w:numPr>
          <w:ilvl w:val="0"/>
          <w:numId w:val="2"/>
        </w:numPr>
        <w:spacing w:after="60" w:line="270"/>
      </w:pPr>
      <w:r>
        <w:rPr>
          <w:b/>
          <w:bCs/>
          <w:sz w:val="21"/>
          <w:szCs w:val="21"/>
        </w:rPr>
        <w:t xml:space="preserve">Position sizing: </w:t>
      </w:r>
      <w:r>
        <w:rPr>
          <w:sz w:val="21"/>
          <w:szCs w:val="21"/>
        </w:rPr>
        <w:t xml:space="preserve">volatility targeting (scale positions to a target portfolio vol) and fractional Kelly (a fraction of full Kelly — never full, it’s too aggressive with estimation error).</w:t>
      </w:r>
    </w:p>
    <w:p>
      <w:pPr>
        <w:pStyle w:val="ListParagraph"/>
        <w:numPr>
          <w:ilvl w:val="0"/>
          <w:numId w:val="2"/>
        </w:numPr>
        <w:spacing w:after="60" w:line="270"/>
      </w:pPr>
      <w:r>
        <w:rPr>
          <w:b/>
          <w:bCs/>
          <w:sz w:val="21"/>
          <w:szCs w:val="21"/>
        </w:rPr>
        <w:t xml:space="preserve">Portfolio construction: </w:t>
      </w:r>
      <w:r>
        <w:rPr>
          <w:sz w:val="21"/>
          <w:szCs w:val="21"/>
        </w:rPr>
        <w:t xml:space="preserve">mean-variance with covariance shrinkage (Ledoit-Wolf), or risk-parity for robustness. Use cvxpy for constrained optimization.</w:t>
      </w:r>
    </w:p>
    <w:p>
      <w:pPr>
        <w:pStyle w:val="ListParagraph"/>
        <w:numPr>
          <w:ilvl w:val="0"/>
          <w:numId w:val="2"/>
        </w:numPr>
        <w:spacing w:after="60" w:line="270"/>
      </w:pPr>
      <w:r>
        <w:rPr>
          <w:b/>
          <w:bCs/>
          <w:sz w:val="21"/>
          <w:szCs w:val="21"/>
        </w:rPr>
        <w:t xml:space="preserve">Hard limits: </w:t>
      </w:r>
      <w:r>
        <w:rPr>
          <w:sz w:val="21"/>
          <w:szCs w:val="21"/>
        </w:rPr>
        <w:t xml:space="preserve">max position per name, max sector/asset-class exposure, gross/net leverage caps, and per-instrument rules (F&amp;O margin &amp; expiry, ETF liquidity, gold via SGB/ETF/MCX behave differently).</w:t>
      </w:r>
    </w:p>
    <w:p>
      <w:pPr>
        <w:pStyle w:val="ListParagraph"/>
        <w:numPr>
          <w:ilvl w:val="0"/>
          <w:numId w:val="2"/>
        </w:numPr>
        <w:spacing w:after="60" w:line="270"/>
      </w:pPr>
      <w:r>
        <w:rPr>
          <w:b/>
          <w:bCs/>
          <w:sz w:val="21"/>
          <w:szCs w:val="21"/>
        </w:rPr>
        <w:t xml:space="preserve">Drawdown kill-switch: </w:t>
      </w:r>
      <w:r>
        <w:rPr>
          <w:sz w:val="21"/>
          <w:szCs w:val="21"/>
        </w:rPr>
        <w:t xml:space="preserve">a non-negotiable circuit breaker that flattens/halts on a max-drawdown or daily-loss threshold. Build it before live trading, not after.</w:t>
      </w:r>
    </w:p>
    <w:p>
      <w:pPr>
        <w:pStyle w:val="Heading2"/>
        <w:spacing w:after="100" w:before="220"/>
      </w:pPr>
      <w:r>
        <w:rPr>
          <w:b/>
          <w:bCs/>
          <w:color w:val="2E75B6"/>
          <w:sz w:val="25"/>
          <w:szCs w:val="25"/>
        </w:rPr>
        <w:t xml:space="preserve">Phase 3 — Paper Trading &amp; Validation  (1–3 months minimum)</w:t>
      </w:r>
    </w:p>
    <w:p>
      <w:pPr>
        <w:spacing w:after="120" w:line="276"/>
      </w:pPr>
      <w:r>
        <w:rPr>
          <w:sz w:val="21"/>
          <w:szCs w:val="21"/>
        </w:rPr>
        <w:t xml:space="preserve">Run the full system live against real-time data but with simulated fills. This is the gate between “looks good in backtest” and “real money.”</w:t>
      </w:r>
    </w:p>
    <w:p>
      <w:pPr>
        <w:pStyle w:val="ListParagraph"/>
        <w:numPr>
          <w:ilvl w:val="0"/>
          <w:numId w:val="2"/>
        </w:numPr>
        <w:spacing w:after="60" w:line="270"/>
      </w:pPr>
      <w:r>
        <w:rPr>
          <w:sz w:val="21"/>
          <w:szCs w:val="21"/>
        </w:rPr>
        <w:t xml:space="preserve">Compare live-paper performance to the backtest — large divergence means overfitting or unrealistic fills.</w:t>
      </w:r>
    </w:p>
    <w:p>
      <w:pPr>
        <w:pStyle w:val="ListParagraph"/>
        <w:numPr>
          <w:ilvl w:val="0"/>
          <w:numId w:val="2"/>
        </w:numPr>
        <w:spacing w:after="60" w:line="270"/>
      </w:pPr>
      <w:r>
        <w:rPr>
          <w:sz w:val="21"/>
          <w:szCs w:val="21"/>
        </w:rPr>
        <w:t xml:space="preserve">Benchmark against buy-and-hold Nifty (and a relevant index for each asset class). Beating a cheap benchmark after costs is the bar.</w:t>
      </w:r>
    </w:p>
    <w:p>
      <w:pPr>
        <w:pStyle w:val="ListParagraph"/>
        <w:numPr>
          <w:ilvl w:val="0"/>
          <w:numId w:val="2"/>
        </w:numPr>
        <w:spacing w:after="60" w:line="270"/>
      </w:pPr>
      <w:r>
        <w:rPr>
          <w:sz w:val="21"/>
          <w:szCs w:val="21"/>
        </w:rPr>
        <w:t xml:space="preserve">Promotion gate: only strategies that survive walk-forward AND paper trading with positive risk-adjusted edge after costs go live. Most won’t — that is the system working, not failing.</w:t>
      </w:r>
    </w:p>
    <w:p>
      <w:pPr>
        <w:pStyle w:val="Heading2"/>
        <w:spacing w:after="100" w:before="220"/>
      </w:pPr>
      <w:r>
        <w:rPr>
          <w:b/>
          <w:bCs/>
          <w:color w:val="2E75B6"/>
          <w:sz w:val="25"/>
          <w:szCs w:val="25"/>
        </w:rPr>
        <w:t xml:space="preserve">Phase 4 — Live Auto-Execution, Small Capital  (4–6 weeks to build)</w:t>
      </w:r>
    </w:p>
    <w:p>
      <w:pPr>
        <w:spacing w:after="120" w:line="276"/>
      </w:pPr>
      <w:r>
        <w:rPr>
          <w:sz w:val="21"/>
          <w:szCs w:val="21"/>
        </w:rPr>
        <w:t xml:space="preserve">Now connect real orders through Kite Connect — starting tiny.</w:t>
      </w:r>
    </w:p>
    <w:p>
      <w:pPr>
        <w:pStyle w:val="ListParagraph"/>
        <w:numPr>
          <w:ilvl w:val="0"/>
          <w:numId w:val="2"/>
        </w:numPr>
        <w:spacing w:after="60" w:line="270"/>
      </w:pPr>
      <w:r>
        <w:rPr>
          <w:b/>
          <w:bCs/>
          <w:sz w:val="21"/>
          <w:szCs w:val="21"/>
        </w:rPr>
        <w:t xml:space="preserve">Execution layer: </w:t>
      </w:r>
      <w:r>
        <w:rPr>
          <w:sz w:val="21"/>
          <w:szCs w:val="21"/>
        </w:rPr>
        <w:t xml:space="preserve">order slicing, limit-vs-market logic, partial-fill and retry handling, idempotency, and end-of-day reconciliation against broker positions.</w:t>
      </w:r>
    </w:p>
    <w:p>
      <w:pPr>
        <w:pStyle w:val="ListParagraph"/>
        <w:numPr>
          <w:ilvl w:val="0"/>
          <w:numId w:val="2"/>
        </w:numPr>
        <w:spacing w:after="60" w:line="270"/>
      </w:pPr>
      <w:r>
        <w:rPr>
          <w:b/>
          <w:bCs/>
          <w:sz w:val="21"/>
          <w:szCs w:val="21"/>
        </w:rPr>
        <w:t xml:space="preserve">Human-in-the-loop first: </w:t>
      </w:r>
      <w:r>
        <w:rPr>
          <w:sz w:val="21"/>
          <w:szCs w:val="21"/>
        </w:rPr>
        <w:t xml:space="preserve">an approval gate where you confirm the day’s orders; loosen per-strategy as trust builds.</w:t>
      </w:r>
    </w:p>
    <w:p>
      <w:pPr>
        <w:pStyle w:val="ListParagraph"/>
        <w:numPr>
          <w:ilvl w:val="0"/>
          <w:numId w:val="2"/>
        </w:numPr>
        <w:spacing w:after="60" w:line="270"/>
      </w:pPr>
      <w:r>
        <w:rPr>
          <w:b/>
          <w:bCs/>
          <w:sz w:val="21"/>
          <w:szCs w:val="21"/>
        </w:rPr>
        <w:t xml:space="preserve">Compliance in code: </w:t>
      </w:r>
      <w:r>
        <w:rPr>
          <w:sz w:val="21"/>
          <w:szCs w:val="21"/>
        </w:rPr>
        <w:t xml:space="preserve">static-IP hosting, conservative request rates (stay under Kite’s per-second and daily limits — the daily order/request budget is finite), algo order tagging, full audit log of every decision and order.</w:t>
      </w:r>
    </w:p>
    <w:p>
      <w:pPr>
        <w:pStyle w:val="ListParagraph"/>
        <w:numPr>
          <w:ilvl w:val="0"/>
          <w:numId w:val="2"/>
        </w:numPr>
        <w:spacing w:after="60" w:line="270"/>
      </w:pPr>
      <w:r>
        <w:rPr>
          <w:sz w:val="21"/>
          <w:szCs w:val="21"/>
        </w:rPr>
        <w:t xml:space="preserve">Start with the most liquid, simplest instruments (large-cap stocks, index ETFs) before F&amp;O and gold.</w:t>
      </w:r>
    </w:p>
    <w:p>
      <w:pPr>
        <w:pStyle w:val="Heading3"/>
        <w:spacing w:after="70" w:before="160"/>
      </w:pPr>
      <w:r>
        <w:rPr>
          <w:b/>
          <w:bCs/>
          <w:color w:val="595959"/>
          <w:sz w:val="22"/>
          <w:szCs w:val="22"/>
        </w:rPr>
        <w:t xml:space="preserve">Execution frequency — staged, not all at once</w:t>
      </w:r>
    </w:p>
    <w:p>
      <w:pPr>
        <w:spacing w:after="120" w:line="276"/>
      </w:pPr>
      <w:r>
        <w:rPr>
          <w:sz w:val="21"/>
          <w:szCs w:val="21"/>
        </w:rPr>
        <w:t xml:space="preserve">Auto-execution rolls out in two clearly separated stages. Do not skip to stage 2.</w:t>
      </w:r>
    </w:p>
    <w:p>
      <w:pPr>
        <w:pStyle w:val="ListParagraph"/>
        <w:numPr>
          <w:ilvl w:val="0"/>
          <w:numId w:val="2"/>
        </w:numPr>
        <w:spacing w:after="60" w:line="270"/>
      </w:pPr>
      <w:r>
        <w:rPr>
          <w:b/>
          <w:bCs/>
          <w:sz w:val="21"/>
          <w:szCs w:val="21"/>
        </w:rPr>
        <w:t xml:space="preserve">Stage 1 — Swing / daily (start here): </w:t>
      </w:r>
      <w:r>
        <w:rPr>
          <w:sz w:val="21"/>
          <w:szCs w:val="21"/>
        </w:rPr>
        <w:t xml:space="preserve">hold positions for hours to days; a handful of orders per day, decided at bar close and placed on a schedule. Latency is irrelevant — a few hundred milliseconds of API round-trip means nothing when your holding period is a day. This is where you validate the entire pipeline (signals, sizing, kill-switch, reconciliation) with real money at low operational risk. Standard Kite Connect REST orders plus the WebSocket feed are more than enough.</w:t>
      </w:r>
    </w:p>
    <w:p>
      <w:pPr>
        <w:pStyle w:val="ListParagraph"/>
        <w:numPr>
          <w:ilvl w:val="0"/>
          <w:numId w:val="2"/>
        </w:numPr>
        <w:spacing w:after="60" w:line="270"/>
      </w:pPr>
      <w:r>
        <w:rPr>
          <w:b/>
          <w:bCs/>
          <w:sz w:val="21"/>
          <w:szCs w:val="21"/>
        </w:rPr>
        <w:t xml:space="preserve">Stage 2 — Intraday, tick-reactive (only after Stage 1 is proven): </w:t>
      </w:r>
      <w:r>
        <w:rPr>
          <w:sz w:val="21"/>
          <w:szCs w:val="21"/>
        </w:rPr>
        <w:t xml:space="preserve">many orders per day reacting to live ticks. Now latency and throughput start to matter, and you must engineer around Kite Connect's per-second and daily request/order budgets (batch, throttle, and prioritize — the daily allowance is finite). This is also the ONLY stage where re-examining a compiled hot path (Rust over C++) could be justified, and even then only if you measure a real bottleneck inside your own process rather than in the broker round-trip. Tighten the kill-switch and monitoring further before enabling it.</w:t>
      </w:r>
    </w:p>
    <w:p>
      <w:pPr>
        <w:pBdr>
          <w:left w:val="single" w:color="C00000" w:sz="18" w:space="8"/>
        </w:pBdr>
        <w:shd w:fill="EAF1F8" w:val="clear"/>
        <w:spacing w:after="160" w:before="120" w:line="276"/>
        <w:ind w:left="120" w:right="120"/>
      </w:pPr>
      <w:r>
        <w:rPr>
          <w:b/>
          <w:bCs/>
          <w:color w:val="C00000"/>
          <w:sz w:val="21"/>
          <w:szCs w:val="21"/>
        </w:rPr>
        <w:t xml:space="preserve">Why this order:  </w:t>
      </w:r>
      <w:r>
        <w:rPr>
          <w:sz w:val="21"/>
          <w:szCs w:val="21"/>
        </w:rPr>
        <w:t xml:space="preserve">Everything that can go wrong — bad fills, reconciliation drift, a runaway loop, a broken signal — is far cheaper to discover at daily frequency than at tick speed. Prove correctness slow, then add speed only where a measurement demands it.</w:t>
      </w:r>
    </w:p>
    <w:p>
      <w:pPr>
        <w:pStyle w:val="Heading2"/>
        <w:spacing w:after="100" w:before="220"/>
      </w:pPr>
      <w:r>
        <w:rPr>
          <w:b/>
          <w:bCs/>
          <w:color w:val="2E75B6"/>
          <w:sz w:val="25"/>
          <w:szCs w:val="25"/>
        </w:rPr>
        <w:t xml:space="preserve">Phase 5 — Self-Improvement Loop  (ongoing)</w:t>
      </w:r>
    </w:p>
    <w:p>
      <w:pPr>
        <w:spacing w:after="120" w:line="276"/>
      </w:pPr>
      <w:r>
        <w:rPr>
          <w:sz w:val="21"/>
          <w:szCs w:val="21"/>
        </w:rPr>
        <w:t xml:space="preserve">The disciplined adaptation engine (full detail in Section 8): scheduled re-fitting, regime detection, and champion/challenger promotion with strict out-of-sample gates. Every live decision and outcome is logged to feed this loop.</w:t>
      </w:r>
    </w:p>
    <w:p>
      <w:r>
        <w:br w:type="page"/>
      </w:r>
    </w:p>
    <w:p>
      <w:pPr>
        <w:pStyle w:val="Heading1"/>
        <w:spacing w:after="140" w:before="320"/>
      </w:pPr>
      <w:r>
        <w:rPr>
          <w:b/>
          <w:bCs/>
          <w:color w:val="1F4E79"/>
          <w:sz w:val="30"/>
          <w:szCs w:val="30"/>
        </w:rPr>
        <w:t xml:space="preserve">4. Asset-Class Notes</w:t>
      </w:r>
    </w:p>
    <w:p>
      <w:pPr>
        <w:spacing w:after="120" w:line="276"/>
      </w:pPr>
      <w:r>
        <w:rPr>
          <w:sz w:val="21"/>
          <w:szCs w:val="21"/>
        </w:rPr>
        <w:t xml:space="preserve">You listed several instruments. They are not interchangeable — each needs its own data, costs, and rules. Suggested order of adoption, easiest to hardest:</w:t>
      </w:r>
    </w:p>
    <w:tbl>
      <w:tblPr>
        <w:tblW w:type="dxa" w:w="9300"/>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1500"/>
        <w:gridCol w:w="5500"/>
      </w:tblGrid>
      <w:tr>
        <w:trPr>
          <w:tblHeader/>
        </w:trPr>
        <w:tc>
          <w:tcPr>
            <w:tcW w:type="dxa" w:w="2300"/>
            <w:shd w:fill="1F4E79" w:val="clear"/>
            <w:tcMar>
              <w:top w:type="dxa" w:w="60"/>
              <w:left w:type="dxa" w:w="100"/>
              <w:bottom w:type="dxa" w:w="60"/>
              <w:right w:type="dxa" w:w="100"/>
            </w:tcMar>
          </w:tcPr>
          <w:p>
            <w:pPr>
              <w:jc w:val="left"/>
            </w:pPr>
            <w:r>
              <w:rPr>
                <w:b/>
                <w:bCs/>
                <w:color w:val="FFFFFF"/>
                <w:sz w:val="19"/>
                <w:szCs w:val="19"/>
              </w:rPr>
              <w:t xml:space="preserve">Instrument</w:t>
            </w:r>
          </w:p>
        </w:tc>
        <w:tc>
          <w:tcPr>
            <w:tcW w:type="dxa" w:w="1500"/>
            <w:shd w:fill="1F4E79" w:val="clear"/>
            <w:tcMar>
              <w:top w:type="dxa" w:w="60"/>
              <w:left w:type="dxa" w:w="100"/>
              <w:bottom w:type="dxa" w:w="60"/>
              <w:right w:type="dxa" w:w="100"/>
            </w:tcMar>
          </w:tcPr>
          <w:p>
            <w:pPr>
              <w:jc w:val="left"/>
            </w:pPr>
            <w:r>
              <w:rPr>
                <w:b/>
                <w:bCs/>
                <w:color w:val="FFFFFF"/>
                <w:sz w:val="19"/>
                <w:szCs w:val="19"/>
              </w:rPr>
              <w:t xml:space="preserve">Start order</w:t>
            </w:r>
          </w:p>
        </w:tc>
        <w:tc>
          <w:tcPr>
            <w:tcW w:type="dxa" w:w="5500"/>
            <w:shd w:fill="1F4E79" w:val="clear"/>
            <w:tcMar>
              <w:top w:type="dxa" w:w="60"/>
              <w:left w:type="dxa" w:w="100"/>
              <w:bottom w:type="dxa" w:w="60"/>
              <w:right w:type="dxa" w:w="100"/>
            </w:tcMar>
          </w:tcPr>
          <w:p>
            <w:pPr>
              <w:jc w:val="left"/>
            </w:pPr>
            <w:r>
              <w:rPr>
                <w:b/>
                <w:bCs/>
                <w:color w:val="FFFFFF"/>
                <w:sz w:val="19"/>
                <w:szCs w:val="19"/>
              </w:rPr>
              <w:t xml:space="preserve">Key considerations</w:t>
            </w:r>
          </w:p>
        </w:tc>
      </w:tr>
      <w:tr>
        <w:tc>
          <w:tcPr>
            <w:tcW w:type="dxa" w:w="2300"/>
            <w:tcMar>
              <w:top w:type="dxa" w:w="60"/>
              <w:left w:type="dxa" w:w="100"/>
              <w:bottom w:type="dxa" w:w="60"/>
              <w:right w:type="dxa" w:w="100"/>
            </w:tcMar>
          </w:tcPr>
          <w:p>
            <w:pPr>
              <w:jc w:val="left"/>
            </w:pPr>
            <w:r>
              <w:rPr>
                <w:b w:val="false"/>
                <w:bCs w:val="false"/>
                <w:color w:val="000000"/>
                <w:sz w:val="19"/>
                <w:szCs w:val="19"/>
              </w:rPr>
              <w:t xml:space="preserve">Large-cap stocks</w:t>
            </w:r>
          </w:p>
        </w:tc>
        <w:tc>
          <w:tcPr>
            <w:tcW w:type="dxa" w:w="1500"/>
            <w:tcMar>
              <w:top w:type="dxa" w:w="60"/>
              <w:left w:type="dxa" w:w="100"/>
              <w:bottom w:type="dxa" w:w="60"/>
              <w:right w:type="dxa" w:w="100"/>
            </w:tcMar>
          </w:tcPr>
          <w:p>
            <w:pPr>
              <w:jc w:val="left"/>
            </w:pPr>
            <w:r>
              <w:rPr>
                <w:b w:val="false"/>
                <w:bCs w:val="false"/>
                <w:color w:val="000000"/>
                <w:sz w:val="19"/>
                <w:szCs w:val="19"/>
              </w:rPr>
              <w:t xml:space="preserve">1 (first)</w:t>
            </w:r>
          </w:p>
        </w:tc>
        <w:tc>
          <w:tcPr>
            <w:tcW w:type="dxa" w:w="5500"/>
            <w:tcMar>
              <w:top w:type="dxa" w:w="60"/>
              <w:left w:type="dxa" w:w="100"/>
              <w:bottom w:type="dxa" w:w="60"/>
              <w:right w:type="dxa" w:w="100"/>
            </w:tcMar>
          </w:tcPr>
          <w:p>
            <w:pPr>
              <w:jc w:val="left"/>
            </w:pPr>
            <w:r>
              <w:rPr>
                <w:b w:val="false"/>
                <w:bCs w:val="false"/>
                <w:color w:val="000000"/>
                <w:sz w:val="19"/>
                <w:szCs w:val="19"/>
              </w:rPr>
              <w:t xml:space="preserve">Most liquid, simplest costs, best data. Prove the system here.</w:t>
            </w:r>
          </w:p>
        </w:tc>
      </w:tr>
      <w:tr>
        <w:tc>
          <w:tcPr>
            <w:tcW w:type="dxa" w:w="2300"/>
            <w:shd w:fill="F4F8FC" w:val="clear"/>
            <w:tcMar>
              <w:top w:type="dxa" w:w="60"/>
              <w:left w:type="dxa" w:w="100"/>
              <w:bottom w:type="dxa" w:w="60"/>
              <w:right w:type="dxa" w:w="100"/>
            </w:tcMar>
          </w:tcPr>
          <w:p>
            <w:pPr>
              <w:jc w:val="left"/>
            </w:pPr>
            <w:r>
              <w:rPr>
                <w:b w:val="false"/>
                <w:bCs w:val="false"/>
                <w:color w:val="000000"/>
                <w:sz w:val="19"/>
                <w:szCs w:val="19"/>
              </w:rPr>
              <w:t xml:space="preserve">Index ETFs</w:t>
            </w:r>
          </w:p>
        </w:tc>
        <w:tc>
          <w:tcPr>
            <w:tcW w:type="dxa" w:w="1500"/>
            <w:shd w:fill="F4F8FC" w:val="clear"/>
            <w:tcMar>
              <w:top w:type="dxa" w:w="60"/>
              <w:left w:type="dxa" w:w="100"/>
              <w:bottom w:type="dxa" w:w="60"/>
              <w:right w:type="dxa" w:w="100"/>
            </w:tcMar>
          </w:tcPr>
          <w:p>
            <w:pPr>
              <w:jc w:val="left"/>
            </w:pPr>
            <w:r>
              <w:rPr>
                <w:b w:val="false"/>
                <w:bCs w:val="false"/>
                <w:color w:val="000000"/>
                <w:sz w:val="19"/>
                <w:szCs w:val="19"/>
              </w:rPr>
              <w:t xml:space="preserve">1</w:t>
            </w:r>
          </w:p>
        </w:tc>
        <w:tc>
          <w:tcPr>
            <w:tcW w:type="dxa" w:w="5500"/>
            <w:shd w:fill="F4F8FC" w:val="clear"/>
            <w:tcMar>
              <w:top w:type="dxa" w:w="60"/>
              <w:left w:type="dxa" w:w="100"/>
              <w:bottom w:type="dxa" w:w="60"/>
              <w:right w:type="dxa" w:w="100"/>
            </w:tcMar>
          </w:tcPr>
          <w:p>
            <w:pPr>
              <w:jc w:val="left"/>
            </w:pPr>
            <w:r>
              <w:rPr>
                <w:b w:val="false"/>
                <w:bCs w:val="false"/>
                <w:color w:val="000000"/>
                <w:sz w:val="19"/>
                <w:szCs w:val="19"/>
              </w:rPr>
              <w:t xml:space="preserve">Liquid, diversified; watch tracking error and on-screen liquidity.</w:t>
            </w:r>
          </w:p>
        </w:tc>
      </w:tr>
      <w:tr>
        <w:tc>
          <w:tcPr>
            <w:tcW w:type="dxa" w:w="2300"/>
            <w:tcMar>
              <w:top w:type="dxa" w:w="60"/>
              <w:left w:type="dxa" w:w="100"/>
              <w:bottom w:type="dxa" w:w="60"/>
              <w:right w:type="dxa" w:w="100"/>
            </w:tcMar>
          </w:tcPr>
          <w:p>
            <w:pPr>
              <w:jc w:val="left"/>
            </w:pPr>
            <w:r>
              <w:rPr>
                <w:b w:val="false"/>
                <w:bCs w:val="false"/>
                <w:color w:val="000000"/>
                <w:sz w:val="19"/>
                <w:szCs w:val="19"/>
              </w:rPr>
              <w:t xml:space="preserve">Liquid gold / silver</w:t>
            </w:r>
          </w:p>
        </w:tc>
        <w:tc>
          <w:tcPr>
            <w:tcW w:type="dxa" w:w="1500"/>
            <w:tcMar>
              <w:top w:type="dxa" w:w="60"/>
              <w:left w:type="dxa" w:w="100"/>
              <w:bottom w:type="dxa" w:w="60"/>
              <w:right w:type="dxa" w:w="100"/>
            </w:tcMar>
          </w:tcPr>
          <w:p>
            <w:pPr>
              <w:jc w:val="left"/>
            </w:pPr>
            <w:r>
              <w:rPr>
                <w:b w:val="false"/>
                <w:bCs w:val="false"/>
                <w:color w:val="000000"/>
                <w:sz w:val="19"/>
                <w:szCs w:val="19"/>
              </w:rPr>
              <w:t xml:space="preserve">2</w:t>
            </w:r>
          </w:p>
        </w:tc>
        <w:tc>
          <w:tcPr>
            <w:tcW w:type="dxa" w:w="5500"/>
            <w:tcMar>
              <w:top w:type="dxa" w:w="60"/>
              <w:left w:type="dxa" w:w="100"/>
              <w:bottom w:type="dxa" w:w="60"/>
              <w:right w:type="dxa" w:w="100"/>
            </w:tcMar>
          </w:tcPr>
          <w:p>
            <w:pPr>
              <w:jc w:val="left"/>
            </w:pPr>
            <w:r>
              <w:rPr>
                <w:b w:val="false"/>
                <w:bCs w:val="false"/>
                <w:color w:val="000000"/>
                <w:sz w:val="19"/>
                <w:szCs w:val="19"/>
              </w:rPr>
              <w:t xml:space="preserve">SGBs (illiquid, hold-to-benefit), Gold/Silver ETFs (equity-like, easiest), or MCX F&amp;O (leveraged, complex). Start with ETFs.</w:t>
            </w:r>
          </w:p>
        </w:tc>
      </w:tr>
      <w:tr>
        <w:tc>
          <w:tcPr>
            <w:tcW w:type="dxa" w:w="2300"/>
            <w:shd w:fill="F4F8FC" w:val="clear"/>
            <w:tcMar>
              <w:top w:type="dxa" w:w="60"/>
              <w:left w:type="dxa" w:w="100"/>
              <w:bottom w:type="dxa" w:w="60"/>
              <w:right w:type="dxa" w:w="100"/>
            </w:tcMar>
          </w:tcPr>
          <w:p>
            <w:pPr>
              <w:jc w:val="left"/>
            </w:pPr>
            <w:r>
              <w:rPr>
                <w:b w:val="false"/>
                <w:bCs w:val="false"/>
                <w:color w:val="000000"/>
                <w:sz w:val="19"/>
                <w:szCs w:val="19"/>
              </w:rPr>
              <w:t xml:space="preserve">Mid/small-cap stocks</w:t>
            </w:r>
          </w:p>
        </w:tc>
        <w:tc>
          <w:tcPr>
            <w:tcW w:type="dxa" w:w="1500"/>
            <w:shd w:fill="F4F8FC" w:val="clear"/>
            <w:tcMar>
              <w:top w:type="dxa" w:w="60"/>
              <w:left w:type="dxa" w:w="100"/>
              <w:bottom w:type="dxa" w:w="60"/>
              <w:right w:type="dxa" w:w="100"/>
            </w:tcMar>
          </w:tcPr>
          <w:p>
            <w:pPr>
              <w:jc w:val="left"/>
            </w:pPr>
            <w:r>
              <w:rPr>
                <w:b w:val="false"/>
                <w:bCs w:val="false"/>
                <w:color w:val="000000"/>
                <w:sz w:val="19"/>
                <w:szCs w:val="19"/>
              </w:rPr>
              <w:t xml:space="preserve">2</w:t>
            </w:r>
          </w:p>
        </w:tc>
        <w:tc>
          <w:tcPr>
            <w:tcW w:type="dxa" w:w="5500"/>
            <w:shd w:fill="F4F8FC" w:val="clear"/>
            <w:tcMar>
              <w:top w:type="dxa" w:w="60"/>
              <w:left w:type="dxa" w:w="100"/>
              <w:bottom w:type="dxa" w:w="60"/>
              <w:right w:type="dxa" w:w="100"/>
            </w:tcMar>
          </w:tcPr>
          <w:p>
            <w:pPr>
              <w:jc w:val="left"/>
            </w:pPr>
            <w:r>
              <w:rPr>
                <w:b w:val="false"/>
                <w:bCs w:val="false"/>
                <w:color w:val="000000"/>
                <w:sz w:val="19"/>
                <w:szCs w:val="19"/>
              </w:rPr>
              <w:t xml:space="preserve">Liquidity and impact matter; size down, model slippage carefully.</w:t>
            </w:r>
          </w:p>
        </w:tc>
      </w:tr>
      <w:tr>
        <w:tc>
          <w:tcPr>
            <w:tcW w:type="dxa" w:w="2300"/>
            <w:tcMar>
              <w:top w:type="dxa" w:w="60"/>
              <w:left w:type="dxa" w:w="100"/>
              <w:bottom w:type="dxa" w:w="60"/>
              <w:right w:type="dxa" w:w="100"/>
            </w:tcMar>
          </w:tcPr>
          <w:p>
            <w:pPr>
              <w:jc w:val="left"/>
            </w:pPr>
            <w:r>
              <w:rPr>
                <w:b w:val="false"/>
                <w:bCs w:val="false"/>
                <w:color w:val="000000"/>
                <w:sz w:val="19"/>
                <w:szCs w:val="19"/>
              </w:rPr>
              <w:t xml:space="preserve">F&amp;O (futures &amp; options)</w:t>
            </w:r>
          </w:p>
        </w:tc>
        <w:tc>
          <w:tcPr>
            <w:tcW w:type="dxa" w:w="1500"/>
            <w:tcMar>
              <w:top w:type="dxa" w:w="60"/>
              <w:left w:type="dxa" w:w="100"/>
              <w:bottom w:type="dxa" w:w="60"/>
              <w:right w:type="dxa" w:w="100"/>
            </w:tcMar>
          </w:tcPr>
          <w:p>
            <w:pPr>
              <w:jc w:val="left"/>
            </w:pPr>
            <w:r>
              <w:rPr>
                <w:b w:val="false"/>
                <w:bCs w:val="false"/>
                <w:color w:val="000000"/>
                <w:sz w:val="19"/>
                <w:szCs w:val="19"/>
              </w:rPr>
              <w:t xml:space="preserve">3</w:t>
            </w:r>
          </w:p>
        </w:tc>
        <w:tc>
          <w:tcPr>
            <w:tcW w:type="dxa" w:w="5500"/>
            <w:tcMar>
              <w:top w:type="dxa" w:w="60"/>
              <w:left w:type="dxa" w:w="100"/>
              <w:bottom w:type="dxa" w:w="60"/>
              <w:right w:type="dxa" w:w="100"/>
            </w:tcMar>
          </w:tcPr>
          <w:p>
            <w:pPr>
              <w:jc w:val="left"/>
            </w:pPr>
            <w:r>
              <w:rPr>
                <w:b w:val="false"/>
                <w:bCs w:val="false"/>
                <w:color w:val="000000"/>
                <w:sz w:val="19"/>
                <w:szCs w:val="19"/>
              </w:rPr>
              <w:t xml:space="preserve">Leverage, margins, expiry, Greeks. Powerful but unforgiving — only after equities work.</w:t>
            </w:r>
          </w:p>
        </w:tc>
      </w:tr>
      <w:tr>
        <w:tc>
          <w:tcPr>
            <w:tcW w:type="dxa" w:w="2300"/>
            <w:shd w:fill="F4F8FC" w:val="clear"/>
            <w:tcMar>
              <w:top w:type="dxa" w:w="60"/>
              <w:left w:type="dxa" w:w="100"/>
              <w:bottom w:type="dxa" w:w="60"/>
              <w:right w:type="dxa" w:w="100"/>
            </w:tcMar>
          </w:tcPr>
          <w:p>
            <w:pPr>
              <w:jc w:val="left"/>
            </w:pPr>
            <w:r>
              <w:rPr>
                <w:b w:val="false"/>
                <w:bCs w:val="false"/>
                <w:color w:val="000000"/>
                <w:sz w:val="19"/>
                <w:szCs w:val="19"/>
              </w:rPr>
              <w:t xml:space="preserve">IPOs</w:t>
            </w:r>
          </w:p>
        </w:tc>
        <w:tc>
          <w:tcPr>
            <w:tcW w:type="dxa" w:w="1500"/>
            <w:shd w:fill="F4F8FC" w:val="clear"/>
            <w:tcMar>
              <w:top w:type="dxa" w:w="60"/>
              <w:left w:type="dxa" w:w="100"/>
              <w:bottom w:type="dxa" w:w="60"/>
              <w:right w:type="dxa" w:w="100"/>
            </w:tcMar>
          </w:tcPr>
          <w:p>
            <w:pPr>
              <w:jc w:val="left"/>
            </w:pPr>
            <w:r>
              <w:rPr>
                <w:b w:val="false"/>
                <w:bCs w:val="false"/>
                <w:color w:val="000000"/>
                <w:sz w:val="19"/>
                <w:szCs w:val="19"/>
              </w:rPr>
              <w:t xml:space="preserve">3 (separate track)</w:t>
            </w:r>
          </w:p>
        </w:tc>
        <w:tc>
          <w:tcPr>
            <w:tcW w:type="dxa" w:w="5500"/>
            <w:shd w:fill="F4F8FC" w:val="clear"/>
            <w:tcMar>
              <w:top w:type="dxa" w:w="60"/>
              <w:left w:type="dxa" w:w="100"/>
              <w:bottom w:type="dxa" w:w="60"/>
              <w:right w:type="dxa" w:w="100"/>
            </w:tcMar>
          </w:tcPr>
          <w:p>
            <w:pPr>
              <w:jc w:val="left"/>
            </w:pPr>
            <w:r>
              <w:rPr>
                <w:b w:val="false"/>
                <w:bCs w:val="false"/>
                <w:color w:val="000000"/>
                <w:sz w:val="19"/>
                <w:szCs w:val="19"/>
              </w:rPr>
              <w:t xml:space="preserve">Not a continuous-signal problem: it’s allotment + listing-day logic. Rules-based, event-driven; treat as its own module.</w:t>
            </w:r>
          </w:p>
        </w:tc>
      </w:tr>
    </w:tbl>
    <w:p>
      <w:pPr>
        <w:spacing w:after="80"/>
      </w:pPr>
      <w:r>
        <w:rPr>
          <w:sz w:val="21"/>
          <w:szCs w:val="21"/>
        </w:rPr>
        <w:t xml:space="preserve"/>
      </w:r>
    </w:p>
    <w:p>
      <w:pPr>
        <w:pBdr>
          <w:left w:val="single" w:color="2E75B6" w:sz="18" w:space="8"/>
        </w:pBdr>
        <w:shd w:fill="EAF1F8" w:val="clear"/>
        <w:spacing w:after="160" w:before="120" w:line="276"/>
        <w:ind w:left="120" w:right="120"/>
      </w:pPr>
      <w:r>
        <w:rPr>
          <w:b/>
          <w:bCs/>
          <w:color w:val="2E75B6"/>
          <w:sz w:val="21"/>
          <w:szCs w:val="21"/>
        </w:rPr>
        <w:t xml:space="preserve">On F&amp;O and “liquid gold/silver”:  </w:t>
      </w:r>
      <w:r>
        <w:rPr>
          <w:sz w:val="21"/>
          <w:szCs w:val="21"/>
        </w:rPr>
        <w:t xml:space="preserve">These multiply complexity (margin, expiry, Greeks, roll). Don’t build them into v1. Get a profitable, well-validated equity/ETF book first; the same infrastructure then extends to these.</w:t>
      </w:r>
    </w:p>
    <w:p>
      <w:r>
        <w:br w:type="page"/>
      </w:r>
    </w:p>
    <w:p>
      <w:pPr>
        <w:pStyle w:val="Heading1"/>
        <w:spacing w:after="140" w:before="320"/>
      </w:pPr>
      <w:r>
        <w:rPr>
          <w:b/>
          <w:bCs/>
          <w:color w:val="1F4E79"/>
          <w:sz w:val="30"/>
          <w:szCs w:val="30"/>
        </w:rPr>
        <w:t xml:space="preserve">5. News &amp; Web Intelligence (the “gather from the web” requirement)</w:t>
      </w:r>
    </w:p>
    <w:p>
      <w:pPr>
        <w:spacing w:after="120" w:line="276"/>
      </w:pPr>
      <w:r>
        <w:rPr>
          <w:sz w:val="21"/>
          <w:szCs w:val="21"/>
        </w:rPr>
        <w:t xml:space="preserve">You want the system aware of news, price-drop/growth catalysts, and events. Build this as a feature pipeline feeding the signal layer — never as a direct order trigger.</w:t>
      </w:r>
    </w:p>
    <w:p>
      <w:pPr>
        <w:pStyle w:val="ListParagraph"/>
        <w:numPr>
          <w:ilvl w:val="0"/>
          <w:numId w:val="3"/>
        </w:numPr>
        <w:spacing w:after="60" w:line="270"/>
      </w:pPr>
      <w:r>
        <w:rPr>
          <w:sz w:val="21"/>
          <w:szCs w:val="21"/>
        </w:rPr>
        <w:t xml:space="preserve">Ingest: company announcements &amp; filings (exchange disclosures), curated news feeds/APIs, and scheduled macro/earnings calendars. Respect each source’s terms of use.</w:t>
      </w:r>
    </w:p>
    <w:p>
      <w:pPr>
        <w:pStyle w:val="ListParagraph"/>
        <w:numPr>
          <w:ilvl w:val="0"/>
          <w:numId w:val="3"/>
        </w:numPr>
        <w:spacing w:after="60" w:line="270"/>
      </w:pPr>
      <w:r>
        <w:rPr>
          <w:sz w:val="21"/>
          <w:szCs w:val="21"/>
        </w:rPr>
        <w:t xml:space="preserve">Normalize &amp; tag: map each item to affected instruments and event types (earnings, guidance, M&amp;A, regulatory, management change).</w:t>
      </w:r>
    </w:p>
    <w:p>
      <w:pPr>
        <w:pStyle w:val="ListParagraph"/>
        <w:numPr>
          <w:ilvl w:val="0"/>
          <w:numId w:val="3"/>
        </w:numPr>
        <w:spacing w:after="60" w:line="270"/>
      </w:pPr>
      <w:r>
        <w:rPr>
          <w:sz w:val="21"/>
          <w:szCs w:val="21"/>
        </w:rPr>
        <w:t xml:space="preserve">Score: use an LLM to produce a calibrated sentiment/impact score plus a short rationale. Store the raw text + score for audit and backtesting.</w:t>
      </w:r>
    </w:p>
    <w:p>
      <w:pPr>
        <w:pStyle w:val="ListParagraph"/>
        <w:numPr>
          <w:ilvl w:val="0"/>
          <w:numId w:val="3"/>
        </w:numPr>
        <w:spacing w:after="60" w:line="270"/>
      </w:pPr>
      <w:r>
        <w:rPr>
          <w:sz w:val="21"/>
          <w:szCs w:val="21"/>
        </w:rPr>
        <w:t xml:space="preserve">Backtest the news signal like any other — does the sentiment feature actually predict forward returns after costs? Discard it if not. Treat it with the same skepticism as any factor.</w:t>
      </w:r>
    </w:p>
    <w:p>
      <w:pPr>
        <w:pBdr>
          <w:left w:val="single" w:color="C00000" w:sz="18" w:space="8"/>
        </w:pBdr>
        <w:shd w:fill="EAF1F8" w:val="clear"/>
        <w:spacing w:after="160" w:before="120" w:line="276"/>
        <w:ind w:left="120" w:right="120"/>
      </w:pPr>
      <w:r>
        <w:rPr>
          <w:b/>
          <w:bCs/>
          <w:color w:val="C00000"/>
          <w:sz w:val="21"/>
          <w:szCs w:val="21"/>
        </w:rPr>
        <w:t xml:space="preserve">Guardrail:  </w:t>
      </w:r>
      <w:r>
        <w:rPr>
          <w:sz w:val="21"/>
          <w:szCs w:val="21"/>
        </w:rPr>
        <w:t xml:space="preserve">News-driven features are noisy and easily overfit, and headlines can be stale or manipulated. Weight them modestly, always cross-check against price/volume confirmation, and never let a single headline move size on its own.</w:t>
      </w:r>
    </w:p>
    <w:p>
      <w:r>
        <w:br w:type="page"/>
      </w:r>
    </w:p>
    <w:p>
      <w:pPr>
        <w:pStyle w:val="Heading1"/>
        <w:spacing w:after="140" w:before="320"/>
      </w:pPr>
      <w:r>
        <w:rPr>
          <w:b/>
          <w:bCs/>
          <w:color w:val="1F4E79"/>
          <w:sz w:val="30"/>
          <w:szCs w:val="30"/>
        </w:rPr>
        <w:t xml:space="preserve">6. The Mathematics — What “Sound” Means Here</w:t>
      </w:r>
    </w:p>
    <w:p>
      <w:pPr>
        <w:spacing w:after="120" w:line="276"/>
      </w:pPr>
      <w:r>
        <w:rPr>
          <w:sz w:val="21"/>
          <w:szCs w:val="21"/>
        </w:rPr>
        <w:t xml:space="preserve">Since you’re new to quant, here is the core toolkit you’ll actually use, and what each is for. Learn these in roughly this order.</w:t>
      </w:r>
    </w:p>
    <w:tbl>
      <w:tblPr>
        <w:tblW w:type="dxa" w:w="9300"/>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3900"/>
        <w:gridCol w:w="3400"/>
      </w:tblGrid>
      <w:tr>
        <w:trPr>
          <w:tblHeader/>
        </w:trPr>
        <w:tc>
          <w:tcPr>
            <w:tcW w:type="dxa" w:w="2000"/>
            <w:shd w:fill="1F4E79" w:val="clear"/>
            <w:tcMar>
              <w:top w:type="dxa" w:w="60"/>
              <w:left w:type="dxa" w:w="100"/>
              <w:bottom w:type="dxa" w:w="60"/>
              <w:right w:type="dxa" w:w="100"/>
            </w:tcMar>
          </w:tcPr>
          <w:p>
            <w:pPr>
              <w:jc w:val="left"/>
            </w:pPr>
            <w:r>
              <w:rPr>
                <w:b/>
                <w:bCs/>
                <w:color w:val="FFFFFF"/>
                <w:sz w:val="19"/>
                <w:szCs w:val="19"/>
              </w:rPr>
              <w:t xml:space="preserve">Area</w:t>
            </w:r>
          </w:p>
        </w:tc>
        <w:tc>
          <w:tcPr>
            <w:tcW w:type="dxa" w:w="3900"/>
            <w:shd w:fill="1F4E79" w:val="clear"/>
            <w:tcMar>
              <w:top w:type="dxa" w:w="60"/>
              <w:left w:type="dxa" w:w="100"/>
              <w:bottom w:type="dxa" w:w="60"/>
              <w:right w:type="dxa" w:w="100"/>
            </w:tcMar>
          </w:tcPr>
          <w:p>
            <w:pPr>
              <w:jc w:val="left"/>
            </w:pPr>
            <w:r>
              <w:rPr>
                <w:b/>
                <w:bCs/>
                <w:color w:val="FFFFFF"/>
                <w:sz w:val="19"/>
                <w:szCs w:val="19"/>
              </w:rPr>
              <w:t xml:space="preserve">Tools / concepts</w:t>
            </w:r>
          </w:p>
        </w:tc>
        <w:tc>
          <w:tcPr>
            <w:tcW w:type="dxa" w:w="3400"/>
            <w:shd w:fill="1F4E79" w:val="clear"/>
            <w:tcMar>
              <w:top w:type="dxa" w:w="60"/>
              <w:left w:type="dxa" w:w="100"/>
              <w:bottom w:type="dxa" w:w="60"/>
              <w:right w:type="dxa" w:w="100"/>
            </w:tcMar>
          </w:tcPr>
          <w:p>
            <w:pPr>
              <w:jc w:val="left"/>
            </w:pPr>
            <w:r>
              <w:rPr>
                <w:b/>
                <w:bCs/>
                <w:color w:val="FFFFFF"/>
                <w:sz w:val="19"/>
                <w:szCs w:val="19"/>
              </w:rPr>
              <w:t xml:space="preserve">Used for</w:t>
            </w:r>
          </w:p>
        </w:tc>
      </w:tr>
      <w:tr>
        <w:tc>
          <w:tcPr>
            <w:tcW w:type="dxa" w:w="2000"/>
            <w:tcMar>
              <w:top w:type="dxa" w:w="60"/>
              <w:left w:type="dxa" w:w="100"/>
              <w:bottom w:type="dxa" w:w="60"/>
              <w:right w:type="dxa" w:w="100"/>
            </w:tcMar>
          </w:tcPr>
          <w:p>
            <w:pPr>
              <w:jc w:val="left"/>
            </w:pPr>
            <w:r>
              <w:rPr>
                <w:b w:val="false"/>
                <w:bCs w:val="false"/>
                <w:color w:val="000000"/>
                <w:sz w:val="19"/>
                <w:szCs w:val="19"/>
              </w:rPr>
              <w:t xml:space="preserve">Statistics</w:t>
            </w:r>
          </w:p>
        </w:tc>
        <w:tc>
          <w:tcPr>
            <w:tcW w:type="dxa" w:w="3900"/>
            <w:tcMar>
              <w:top w:type="dxa" w:w="60"/>
              <w:left w:type="dxa" w:w="100"/>
              <w:bottom w:type="dxa" w:w="60"/>
              <w:right w:type="dxa" w:w="100"/>
            </w:tcMar>
          </w:tcPr>
          <w:p>
            <w:pPr>
              <w:jc w:val="left"/>
            </w:pPr>
            <w:r>
              <w:rPr>
                <w:b w:val="false"/>
                <w:bCs w:val="false"/>
                <w:color w:val="000000"/>
                <w:sz w:val="19"/>
                <w:szCs w:val="19"/>
              </w:rPr>
              <w:t xml:space="preserve">Hypothesis testing, stationarity (ADF), autocorrelation, multiple-testing correction</w:t>
            </w:r>
          </w:p>
        </w:tc>
        <w:tc>
          <w:tcPr>
            <w:tcW w:type="dxa" w:w="3400"/>
            <w:tcMar>
              <w:top w:type="dxa" w:w="60"/>
              <w:left w:type="dxa" w:w="100"/>
              <w:bottom w:type="dxa" w:w="60"/>
              <w:right w:type="dxa" w:w="100"/>
            </w:tcMar>
          </w:tcPr>
          <w:p>
            <w:pPr>
              <w:jc w:val="left"/>
            </w:pPr>
            <w:r>
              <w:rPr>
                <w:b w:val="false"/>
                <w:bCs w:val="false"/>
                <w:color w:val="000000"/>
                <w:sz w:val="19"/>
                <w:szCs w:val="19"/>
              </w:rPr>
              <w:t xml:space="preserve">Deciding if a signal is real vs. luck</w:t>
            </w:r>
          </w:p>
        </w:tc>
      </w:tr>
      <w:tr>
        <w:tc>
          <w:tcPr>
            <w:tcW w:type="dxa" w:w="2000"/>
            <w:shd w:fill="F4F8FC" w:val="clear"/>
            <w:tcMar>
              <w:top w:type="dxa" w:w="60"/>
              <w:left w:type="dxa" w:w="100"/>
              <w:bottom w:type="dxa" w:w="60"/>
              <w:right w:type="dxa" w:w="100"/>
            </w:tcMar>
          </w:tcPr>
          <w:p>
            <w:pPr>
              <w:jc w:val="left"/>
            </w:pPr>
            <w:r>
              <w:rPr>
                <w:b w:val="false"/>
                <w:bCs w:val="false"/>
                <w:color w:val="000000"/>
                <w:sz w:val="19"/>
                <w:szCs w:val="19"/>
              </w:rPr>
              <w:t xml:space="preserve">Time series</w:t>
            </w:r>
          </w:p>
        </w:tc>
        <w:tc>
          <w:tcPr>
            <w:tcW w:type="dxa" w:w="3900"/>
            <w:shd w:fill="F4F8FC" w:val="clear"/>
            <w:tcMar>
              <w:top w:type="dxa" w:w="60"/>
              <w:left w:type="dxa" w:w="100"/>
              <w:bottom w:type="dxa" w:w="60"/>
              <w:right w:type="dxa" w:w="100"/>
            </w:tcMar>
          </w:tcPr>
          <w:p>
            <w:pPr>
              <w:jc w:val="left"/>
            </w:pPr>
            <w:r>
              <w:rPr>
                <w:b w:val="false"/>
                <w:bCs w:val="false"/>
                <w:color w:val="000000"/>
                <w:sz w:val="19"/>
                <w:szCs w:val="19"/>
              </w:rPr>
              <w:t xml:space="preserve">ARIMA, GARCH, cointegration, Kalman filter</w:t>
            </w:r>
          </w:p>
        </w:tc>
        <w:tc>
          <w:tcPr>
            <w:tcW w:type="dxa" w:w="3400"/>
            <w:shd w:fill="F4F8FC" w:val="clear"/>
            <w:tcMar>
              <w:top w:type="dxa" w:w="60"/>
              <w:left w:type="dxa" w:w="100"/>
              <w:bottom w:type="dxa" w:w="60"/>
              <w:right w:type="dxa" w:w="100"/>
            </w:tcMar>
          </w:tcPr>
          <w:p>
            <w:pPr>
              <w:jc w:val="left"/>
            </w:pPr>
            <w:r>
              <w:rPr>
                <w:b w:val="false"/>
                <w:bCs w:val="false"/>
                <w:color w:val="000000"/>
                <w:sz w:val="19"/>
                <w:szCs w:val="19"/>
              </w:rPr>
              <w:t xml:space="preserve">Volatility, spreads, pairs</w:t>
            </w:r>
          </w:p>
        </w:tc>
      </w:tr>
      <w:tr>
        <w:tc>
          <w:tcPr>
            <w:tcW w:type="dxa" w:w="2000"/>
            <w:tcMar>
              <w:top w:type="dxa" w:w="60"/>
              <w:left w:type="dxa" w:w="100"/>
              <w:bottom w:type="dxa" w:w="60"/>
              <w:right w:type="dxa" w:w="100"/>
            </w:tcMar>
          </w:tcPr>
          <w:p>
            <w:pPr>
              <w:jc w:val="left"/>
            </w:pPr>
            <w:r>
              <w:rPr>
                <w:b w:val="false"/>
                <w:bCs w:val="false"/>
                <w:color w:val="000000"/>
                <w:sz w:val="19"/>
                <w:szCs w:val="19"/>
              </w:rPr>
              <w:t xml:space="preserve">Portfolio theory</w:t>
            </w:r>
          </w:p>
        </w:tc>
        <w:tc>
          <w:tcPr>
            <w:tcW w:type="dxa" w:w="3900"/>
            <w:tcMar>
              <w:top w:type="dxa" w:w="60"/>
              <w:left w:type="dxa" w:w="100"/>
              <w:bottom w:type="dxa" w:w="60"/>
              <w:right w:type="dxa" w:w="100"/>
            </w:tcMar>
          </w:tcPr>
          <w:p>
            <w:pPr>
              <w:jc w:val="left"/>
            </w:pPr>
            <w:r>
              <w:rPr>
                <w:b w:val="false"/>
                <w:bCs w:val="false"/>
                <w:color w:val="000000"/>
                <w:sz w:val="19"/>
                <w:szCs w:val="19"/>
              </w:rPr>
              <w:t xml:space="preserve">Mean-variance, covariance shrinkage, risk parity, Kelly criterion</w:t>
            </w:r>
          </w:p>
        </w:tc>
        <w:tc>
          <w:tcPr>
            <w:tcW w:type="dxa" w:w="3400"/>
            <w:tcMar>
              <w:top w:type="dxa" w:w="60"/>
              <w:left w:type="dxa" w:w="100"/>
              <w:bottom w:type="dxa" w:w="60"/>
              <w:right w:type="dxa" w:w="100"/>
            </w:tcMar>
          </w:tcPr>
          <w:p>
            <w:pPr>
              <w:jc w:val="left"/>
            </w:pPr>
            <w:r>
              <w:rPr>
                <w:b w:val="false"/>
                <w:bCs w:val="false"/>
                <w:color w:val="000000"/>
                <w:sz w:val="19"/>
                <w:szCs w:val="19"/>
              </w:rPr>
              <w:t xml:space="preserve">Sizing &amp; allocation</w:t>
            </w:r>
          </w:p>
        </w:tc>
      </w:tr>
      <w:tr>
        <w:tc>
          <w:tcPr>
            <w:tcW w:type="dxa" w:w="2000"/>
            <w:shd w:fill="F4F8FC" w:val="clear"/>
            <w:tcMar>
              <w:top w:type="dxa" w:w="60"/>
              <w:left w:type="dxa" w:w="100"/>
              <w:bottom w:type="dxa" w:w="60"/>
              <w:right w:type="dxa" w:w="100"/>
            </w:tcMar>
          </w:tcPr>
          <w:p>
            <w:pPr>
              <w:jc w:val="left"/>
            </w:pPr>
            <w:r>
              <w:rPr>
                <w:b w:val="false"/>
                <w:bCs w:val="false"/>
                <w:color w:val="000000"/>
                <w:sz w:val="19"/>
                <w:szCs w:val="19"/>
              </w:rPr>
              <w:t xml:space="preserve">Validation</w:t>
            </w:r>
          </w:p>
        </w:tc>
        <w:tc>
          <w:tcPr>
            <w:tcW w:type="dxa" w:w="3900"/>
            <w:shd w:fill="F4F8FC" w:val="clear"/>
            <w:tcMar>
              <w:top w:type="dxa" w:w="60"/>
              <w:left w:type="dxa" w:w="100"/>
              <w:bottom w:type="dxa" w:w="60"/>
              <w:right w:type="dxa" w:w="100"/>
            </w:tcMar>
          </w:tcPr>
          <w:p>
            <w:pPr>
              <w:jc w:val="left"/>
            </w:pPr>
            <w:r>
              <w:rPr>
                <w:b w:val="false"/>
                <w:bCs w:val="false"/>
                <w:color w:val="000000"/>
                <w:sz w:val="19"/>
                <w:szCs w:val="19"/>
              </w:rPr>
              <w:t xml:space="preserve">Walk-forward, purged/embargoed CV, deflated Sharpe ratio</w:t>
            </w:r>
          </w:p>
        </w:tc>
        <w:tc>
          <w:tcPr>
            <w:tcW w:type="dxa" w:w="3400"/>
            <w:shd w:fill="F4F8FC" w:val="clear"/>
            <w:tcMar>
              <w:top w:type="dxa" w:w="60"/>
              <w:left w:type="dxa" w:w="100"/>
              <w:bottom w:type="dxa" w:w="60"/>
              <w:right w:type="dxa" w:w="100"/>
            </w:tcMar>
          </w:tcPr>
          <w:p>
            <w:pPr>
              <w:jc w:val="left"/>
            </w:pPr>
            <w:r>
              <w:rPr>
                <w:b w:val="false"/>
                <w:bCs w:val="false"/>
                <w:color w:val="000000"/>
                <w:sz w:val="19"/>
                <w:szCs w:val="19"/>
              </w:rPr>
              <w:t xml:space="preserve">Not fooling yourself</w:t>
            </w:r>
          </w:p>
        </w:tc>
      </w:tr>
      <w:tr>
        <w:tc>
          <w:tcPr>
            <w:tcW w:type="dxa" w:w="2000"/>
            <w:tcMar>
              <w:top w:type="dxa" w:w="60"/>
              <w:left w:type="dxa" w:w="100"/>
              <w:bottom w:type="dxa" w:w="60"/>
              <w:right w:type="dxa" w:w="100"/>
            </w:tcMar>
          </w:tcPr>
          <w:p>
            <w:pPr>
              <w:jc w:val="left"/>
            </w:pPr>
            <w:r>
              <w:rPr>
                <w:b w:val="false"/>
                <w:bCs w:val="false"/>
                <w:color w:val="000000"/>
                <w:sz w:val="19"/>
                <w:szCs w:val="19"/>
              </w:rPr>
              <w:t xml:space="preserve">Risk metrics</w:t>
            </w:r>
          </w:p>
        </w:tc>
        <w:tc>
          <w:tcPr>
            <w:tcW w:type="dxa" w:w="3900"/>
            <w:tcMar>
              <w:top w:type="dxa" w:w="60"/>
              <w:left w:type="dxa" w:w="100"/>
              <w:bottom w:type="dxa" w:w="60"/>
              <w:right w:type="dxa" w:w="100"/>
            </w:tcMar>
          </w:tcPr>
          <w:p>
            <w:pPr>
              <w:jc w:val="left"/>
            </w:pPr>
            <w:r>
              <w:rPr>
                <w:b w:val="false"/>
                <w:bCs w:val="false"/>
                <w:color w:val="000000"/>
                <w:sz w:val="19"/>
                <w:szCs w:val="19"/>
              </w:rPr>
              <w:t xml:space="preserve">Volatility, VaR/CVaR, max drawdown, Sharpe/Sortino/Calmar</w:t>
            </w:r>
          </w:p>
        </w:tc>
        <w:tc>
          <w:tcPr>
            <w:tcW w:type="dxa" w:w="3400"/>
            <w:tcMar>
              <w:top w:type="dxa" w:w="60"/>
              <w:left w:type="dxa" w:w="100"/>
              <w:bottom w:type="dxa" w:w="60"/>
              <w:right w:type="dxa" w:w="100"/>
            </w:tcMar>
          </w:tcPr>
          <w:p>
            <w:pPr>
              <w:jc w:val="left"/>
            </w:pPr>
            <w:r>
              <w:rPr>
                <w:b w:val="false"/>
                <w:bCs w:val="false"/>
                <w:color w:val="000000"/>
                <w:sz w:val="19"/>
                <w:szCs w:val="19"/>
              </w:rPr>
              <w:t xml:space="preserve">Measuring &amp; limiting risk</w:t>
            </w:r>
          </w:p>
        </w:tc>
      </w:tr>
      <w:tr>
        <w:tc>
          <w:tcPr>
            <w:tcW w:type="dxa" w:w="2000"/>
            <w:shd w:fill="F4F8FC" w:val="clear"/>
            <w:tcMar>
              <w:top w:type="dxa" w:w="60"/>
              <w:left w:type="dxa" w:w="100"/>
              <w:bottom w:type="dxa" w:w="60"/>
              <w:right w:type="dxa" w:w="100"/>
            </w:tcMar>
          </w:tcPr>
          <w:p>
            <w:pPr>
              <w:jc w:val="left"/>
            </w:pPr>
            <w:r>
              <w:rPr>
                <w:b w:val="false"/>
                <w:bCs w:val="false"/>
                <w:color w:val="000000"/>
                <w:sz w:val="19"/>
                <w:szCs w:val="19"/>
              </w:rPr>
              <w:t xml:space="preserve">ML (later)</w:t>
            </w:r>
          </w:p>
        </w:tc>
        <w:tc>
          <w:tcPr>
            <w:tcW w:type="dxa" w:w="3900"/>
            <w:shd w:fill="F4F8FC" w:val="clear"/>
            <w:tcMar>
              <w:top w:type="dxa" w:w="60"/>
              <w:left w:type="dxa" w:w="100"/>
              <w:bottom w:type="dxa" w:w="60"/>
              <w:right w:type="dxa" w:w="100"/>
            </w:tcMar>
          </w:tcPr>
          <w:p>
            <w:pPr>
              <w:jc w:val="left"/>
            </w:pPr>
            <w:r>
              <w:rPr>
                <w:b w:val="false"/>
                <w:bCs w:val="false"/>
                <w:color w:val="000000"/>
                <w:sz w:val="19"/>
                <w:szCs w:val="19"/>
              </w:rPr>
              <w:t xml:space="preserve">Gradient boosting, feature importance, regularization</w:t>
            </w:r>
          </w:p>
        </w:tc>
        <w:tc>
          <w:tcPr>
            <w:tcW w:type="dxa" w:w="3400"/>
            <w:shd w:fill="F4F8FC" w:val="clear"/>
            <w:tcMar>
              <w:top w:type="dxa" w:w="60"/>
              <w:left w:type="dxa" w:w="100"/>
              <w:bottom w:type="dxa" w:w="60"/>
              <w:right w:type="dxa" w:w="100"/>
            </w:tcMar>
          </w:tcPr>
          <w:p>
            <w:pPr>
              <w:jc w:val="left"/>
            </w:pPr>
            <w:r>
              <w:rPr>
                <w:b w:val="false"/>
                <w:bCs w:val="false"/>
                <w:color w:val="000000"/>
                <w:sz w:val="19"/>
                <w:szCs w:val="19"/>
              </w:rPr>
              <w:t xml:space="preserve">Nonlinear signal combination</w:t>
            </w:r>
          </w:p>
        </w:tc>
      </w:tr>
    </w:tbl>
    <w:p>
      <w:pPr>
        <w:spacing w:after="80"/>
      </w:pPr>
      <w:r>
        <w:rPr>
          <w:sz w:val="21"/>
          <w:szCs w:val="21"/>
        </w:rPr>
        <w:t xml:space="preserve"/>
      </w:r>
    </w:p>
    <w:p>
      <w:pPr>
        <w:pStyle w:val="Heading3"/>
        <w:spacing w:after="70" w:before="160"/>
      </w:pPr>
      <w:r>
        <w:rPr>
          <w:b/>
          <w:bCs/>
          <w:color w:val="595959"/>
          <w:sz w:val="22"/>
          <w:szCs w:val="22"/>
        </w:rPr>
        <w:t xml:space="preserve">Two books/ideas worth internalizing early</w:t>
      </w:r>
    </w:p>
    <w:p>
      <w:pPr>
        <w:pStyle w:val="ListParagraph"/>
        <w:numPr>
          <w:ilvl w:val="0"/>
          <w:numId w:val="2"/>
        </w:numPr>
        <w:spacing w:after="60" w:line="270"/>
      </w:pPr>
      <w:r>
        <w:rPr>
          <w:sz w:val="21"/>
          <w:szCs w:val="21"/>
        </w:rPr>
        <w:t xml:space="preserve">Marcos López de Prado, “Advances in Financial Machine Learning” — for purged cross-validation, the dangers of backtest overfitting, and the deflated Sharpe ratio. This is the antidote to overfitting.</w:t>
      </w:r>
    </w:p>
    <w:p>
      <w:pPr>
        <w:pStyle w:val="ListParagraph"/>
        <w:numPr>
          <w:ilvl w:val="0"/>
          <w:numId w:val="2"/>
        </w:numPr>
        <w:spacing w:after="60" w:line="270"/>
      </w:pPr>
      <w:r>
        <w:rPr>
          <w:sz w:val="21"/>
          <w:szCs w:val="21"/>
        </w:rPr>
        <w:t xml:space="preserve">Ernest Chan, “Quantitative Trading” / “Algorithmic Trading” — practical, retail-scale strategy building and mean-reversion/momentum foundations.</w:t>
      </w:r>
    </w:p>
    <w:p>
      <w:r>
        <w:br w:type="page"/>
      </w:r>
    </w:p>
    <w:p>
      <w:pPr>
        <w:pStyle w:val="Heading1"/>
        <w:spacing w:after="140" w:before="320"/>
      </w:pPr>
      <w:r>
        <w:rPr>
          <w:b/>
          <w:bCs/>
          <w:color w:val="1F4E79"/>
          <w:sz w:val="30"/>
          <w:szCs w:val="30"/>
        </w:rPr>
        <w:t xml:space="preserve">7. The Seven Ways a Backtest Lies (memorize these)</w:t>
      </w:r>
    </w:p>
    <w:p>
      <w:pPr>
        <w:pStyle w:val="ListParagraph"/>
        <w:numPr>
          <w:ilvl w:val="0"/>
          <w:numId w:val="3"/>
        </w:numPr>
        <w:spacing w:after="60" w:line="270"/>
      </w:pPr>
      <w:r>
        <w:rPr>
          <w:b/>
          <w:bCs/>
          <w:sz w:val="21"/>
          <w:szCs w:val="21"/>
        </w:rPr>
        <w:t xml:space="preserve">Look-ahead bias: </w:t>
      </w:r>
      <w:r>
        <w:rPr>
          <w:sz w:val="21"/>
          <w:szCs w:val="21"/>
        </w:rPr>
        <w:t xml:space="preserve">using information not available at decision time (e.g., today’s close to trade at today’s open).</w:t>
      </w:r>
    </w:p>
    <w:p>
      <w:pPr>
        <w:pStyle w:val="ListParagraph"/>
        <w:numPr>
          <w:ilvl w:val="0"/>
          <w:numId w:val="3"/>
        </w:numPr>
        <w:spacing w:after="60" w:line="270"/>
      </w:pPr>
      <w:r>
        <w:rPr>
          <w:b/>
          <w:bCs/>
          <w:sz w:val="21"/>
          <w:szCs w:val="21"/>
        </w:rPr>
        <w:t xml:space="preserve">Survivorship bias: </w:t>
      </w:r>
      <w:r>
        <w:rPr>
          <w:sz w:val="21"/>
          <w:szCs w:val="21"/>
        </w:rPr>
        <w:t xml:space="preserve">testing only on companies that still exist; you must include delisted/merged names.</w:t>
      </w:r>
    </w:p>
    <w:p>
      <w:pPr>
        <w:pStyle w:val="ListParagraph"/>
        <w:numPr>
          <w:ilvl w:val="0"/>
          <w:numId w:val="3"/>
        </w:numPr>
        <w:spacing w:after="60" w:line="270"/>
      </w:pPr>
      <w:r>
        <w:rPr>
          <w:b/>
          <w:bCs/>
          <w:sz w:val="21"/>
          <w:szCs w:val="21"/>
        </w:rPr>
        <w:t xml:space="preserve">Overfitting: </w:t>
      </w:r>
      <w:r>
        <w:rPr>
          <w:sz w:val="21"/>
          <w:szCs w:val="21"/>
        </w:rPr>
        <w:t xml:space="preserve">tuning parameters until the past looks great. Guard with walk-forward and out-of-sample holdouts.</w:t>
      </w:r>
    </w:p>
    <w:p>
      <w:pPr>
        <w:pStyle w:val="ListParagraph"/>
        <w:numPr>
          <w:ilvl w:val="0"/>
          <w:numId w:val="3"/>
        </w:numPr>
        <w:spacing w:after="60" w:line="270"/>
      </w:pPr>
      <w:r>
        <w:rPr>
          <w:b/>
          <w:bCs/>
          <w:sz w:val="21"/>
          <w:szCs w:val="21"/>
        </w:rPr>
        <w:t xml:space="preserve">Ignoring costs: </w:t>
      </w:r>
      <w:r>
        <w:rPr>
          <w:sz w:val="21"/>
          <w:szCs w:val="21"/>
        </w:rPr>
        <w:t xml:space="preserve">brokerage, STT, slippage, impact, and taxes turn many “profitable” strategies negative.</w:t>
      </w:r>
    </w:p>
    <w:p>
      <w:pPr>
        <w:pStyle w:val="ListParagraph"/>
        <w:numPr>
          <w:ilvl w:val="0"/>
          <w:numId w:val="3"/>
        </w:numPr>
        <w:spacing w:after="60" w:line="270"/>
      </w:pPr>
      <w:r>
        <w:rPr>
          <w:b/>
          <w:bCs/>
          <w:sz w:val="21"/>
          <w:szCs w:val="21"/>
        </w:rPr>
        <w:t xml:space="preserve">Unrealistic fills: </w:t>
      </w:r>
      <w:r>
        <w:rPr>
          <w:sz w:val="21"/>
          <w:szCs w:val="21"/>
        </w:rPr>
        <w:t xml:space="preserve">assuming you get the mid-price on illiquid names or large size.</w:t>
      </w:r>
    </w:p>
    <w:p>
      <w:pPr>
        <w:pStyle w:val="ListParagraph"/>
        <w:numPr>
          <w:ilvl w:val="0"/>
          <w:numId w:val="3"/>
        </w:numPr>
        <w:spacing w:after="60" w:line="270"/>
      </w:pPr>
      <w:r>
        <w:rPr>
          <w:b/>
          <w:bCs/>
          <w:sz w:val="21"/>
          <w:szCs w:val="21"/>
        </w:rPr>
        <w:t xml:space="preserve">Data-snooping / multiple testing: </w:t>
      </w:r>
      <w:r>
        <w:rPr>
          <w:sz w:val="21"/>
          <w:szCs w:val="21"/>
        </w:rPr>
        <w:t xml:space="preserve">try 100 strategies and a few look great by chance. Correct for the number of trials.</w:t>
      </w:r>
    </w:p>
    <w:p>
      <w:pPr>
        <w:pStyle w:val="ListParagraph"/>
        <w:numPr>
          <w:ilvl w:val="0"/>
          <w:numId w:val="3"/>
        </w:numPr>
        <w:spacing w:after="60" w:line="270"/>
      </w:pPr>
      <w:r>
        <w:rPr>
          <w:b/>
          <w:bCs/>
          <w:sz w:val="21"/>
          <w:szCs w:val="21"/>
        </w:rPr>
        <w:t xml:space="preserve">Regime dependence: </w:t>
      </w:r>
      <w:r>
        <w:rPr>
          <w:sz w:val="21"/>
          <w:szCs w:val="21"/>
        </w:rPr>
        <w:t xml:space="preserve">a strategy that only worked in one market regime (e.g., 2020–21 bull run). Test across regimes.</w:t>
      </w:r>
    </w:p>
    <w:p>
      <w:r>
        <w:br w:type="page"/>
      </w:r>
    </w:p>
    <w:p>
      <w:pPr>
        <w:pStyle w:val="Heading1"/>
        <w:spacing w:after="140" w:before="320"/>
      </w:pPr>
      <w:r>
        <w:rPr>
          <w:b/>
          <w:bCs/>
          <w:color w:val="1F4E79"/>
          <w:sz w:val="30"/>
          <w:szCs w:val="30"/>
        </w:rPr>
        <w:t xml:space="preserve">8. Self-Improvement Loop — Done Right</w:t>
      </w:r>
    </w:p>
    <w:p>
      <w:pPr>
        <w:spacing w:after="120" w:line="276"/>
      </w:pPr>
      <w:r>
        <w:rPr>
          <w:sz w:val="21"/>
          <w:szCs w:val="21"/>
        </w:rPr>
        <w:t xml:space="preserve">The safe architecture for adaptation, so the system gets better without teaching itself to gamble:</w:t>
      </w:r>
    </w:p>
    <w:p>
      <w:pPr>
        <w:pStyle w:val="ListParagraph"/>
        <w:numPr>
          <w:ilvl w:val="0"/>
          <w:numId w:val="2"/>
        </w:numPr>
        <w:spacing w:after="60" w:line="270"/>
      </w:pPr>
      <w:r>
        <w:rPr>
          <w:b/>
          <w:bCs/>
          <w:sz w:val="21"/>
          <w:szCs w:val="21"/>
        </w:rPr>
        <w:t xml:space="preserve">Log everything: </w:t>
      </w:r>
      <w:r>
        <w:rPr>
          <w:sz w:val="21"/>
          <w:szCs w:val="21"/>
        </w:rPr>
        <w:t xml:space="preserve">every signal, decision, order, fill, and outcome, time-stamped. This dataset is the fuel for improvement and the audit trail for compliance.</w:t>
      </w:r>
    </w:p>
    <w:p>
      <w:pPr>
        <w:pStyle w:val="ListParagraph"/>
        <w:numPr>
          <w:ilvl w:val="0"/>
          <w:numId w:val="2"/>
        </w:numPr>
        <w:spacing w:after="60" w:line="270"/>
      </w:pPr>
      <w:r>
        <w:rPr>
          <w:b/>
          <w:bCs/>
          <w:sz w:val="21"/>
          <w:szCs w:val="21"/>
        </w:rPr>
        <w:t xml:space="preserve">Scheduled re-fit: </w:t>
      </w:r>
      <w:r>
        <w:rPr>
          <w:sz w:val="21"/>
          <w:szCs w:val="21"/>
        </w:rPr>
        <w:t xml:space="preserve">periodically refit models on expanding/rolling windows — not continuously, and never on live PnL alone.</w:t>
      </w:r>
    </w:p>
    <w:p>
      <w:pPr>
        <w:pStyle w:val="ListParagraph"/>
        <w:numPr>
          <w:ilvl w:val="0"/>
          <w:numId w:val="2"/>
        </w:numPr>
        <w:spacing w:after="60" w:line="270"/>
      </w:pPr>
      <w:r>
        <w:rPr>
          <w:b/>
          <w:bCs/>
          <w:sz w:val="21"/>
          <w:szCs w:val="21"/>
        </w:rPr>
        <w:t xml:space="preserve">Champion / challenger: </w:t>
      </w:r>
      <w:r>
        <w:rPr>
          <w:sz w:val="21"/>
          <w:szCs w:val="21"/>
        </w:rPr>
        <w:t xml:space="preserve">new models run in shadow (paper) alongside the live “champion.” A challenger is promoted only after beating the champion out-of-sample on risk-adjusted return over a meaningful window.</w:t>
      </w:r>
    </w:p>
    <w:p>
      <w:pPr>
        <w:pStyle w:val="ListParagraph"/>
        <w:numPr>
          <w:ilvl w:val="0"/>
          <w:numId w:val="2"/>
        </w:numPr>
        <w:spacing w:after="60" w:line="270"/>
      </w:pPr>
      <w:r>
        <w:rPr>
          <w:b/>
          <w:bCs/>
          <w:sz w:val="21"/>
          <w:szCs w:val="21"/>
        </w:rPr>
        <w:t xml:space="preserve">Regime detection: </w:t>
      </w:r>
      <w:r>
        <w:rPr>
          <w:sz w:val="21"/>
          <w:szCs w:val="21"/>
        </w:rPr>
        <w:t xml:space="preserve">classify the current market regime (trending/ranging, high/low vol) and let the system lean on strategies suited to it, or de-risk when the regime is unfamiliar.</w:t>
      </w:r>
    </w:p>
    <w:p>
      <w:pPr>
        <w:pStyle w:val="ListParagraph"/>
        <w:numPr>
          <w:ilvl w:val="0"/>
          <w:numId w:val="2"/>
        </w:numPr>
        <w:spacing w:after="60" w:line="270"/>
      </w:pPr>
      <w:r>
        <w:rPr>
          <w:b/>
          <w:bCs/>
          <w:sz w:val="21"/>
          <w:szCs w:val="21"/>
        </w:rPr>
        <w:t xml:space="preserve">Human review cadence: </w:t>
      </w:r>
      <w:r>
        <w:rPr>
          <w:sz w:val="21"/>
          <w:szCs w:val="21"/>
        </w:rPr>
        <w:t xml:space="preserve">a weekly/monthly review where you approve promotions and inspect anomalies. Automation with an accountable human, not an autonomous black box.</w:t>
      </w:r>
    </w:p>
    <w:p>
      <w:pPr>
        <w:pBdr>
          <w:left w:val="single" w:color="C00000" w:sz="18" w:space="8"/>
        </w:pBdr>
        <w:shd w:fill="EAF1F8" w:val="clear"/>
        <w:spacing w:after="160" w:before="120" w:line="276"/>
        <w:ind w:left="120" w:right="120"/>
      </w:pPr>
      <w:r>
        <w:rPr>
          <w:b/>
          <w:bCs/>
          <w:color w:val="C00000"/>
          <w:sz w:val="21"/>
          <w:szCs w:val="21"/>
        </w:rPr>
        <w:t xml:space="preserve">The line you never cross:  </w:t>
      </w:r>
      <w:r>
        <w:rPr>
          <w:sz w:val="21"/>
          <w:szCs w:val="21"/>
        </w:rPr>
        <w:t xml:space="preserve">No model auto-promotes to live trading without passing the out-of-sample gate, and the drawdown kill-switch always outranks every model. Adaptation is bounded by hard risk limits it cannot override.</w:t>
      </w:r>
    </w:p>
    <w:p>
      <w:r>
        <w:br w:type="page"/>
      </w:r>
    </w:p>
    <w:p>
      <w:pPr>
        <w:pStyle w:val="Heading1"/>
        <w:spacing w:after="140" w:before="320"/>
      </w:pPr>
      <w:r>
        <w:rPr>
          <w:b/>
          <w:bCs/>
          <w:color w:val="1F4E79"/>
          <w:sz w:val="30"/>
          <w:szCs w:val="30"/>
        </w:rPr>
        <w:t xml:space="preserve">9. Your First 90 Days (concrete)</w:t>
      </w:r>
    </w:p>
    <w:tbl>
      <w:tblPr>
        <w:tblW w:type="dxa" w:w="930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2000"/>
        <w:gridCol w:w="5800"/>
      </w:tblGrid>
      <w:tr>
        <w:trPr>
          <w:tblHeader/>
        </w:trPr>
        <w:tc>
          <w:tcPr>
            <w:tcW w:type="dxa" w:w="1500"/>
            <w:shd w:fill="1F4E79" w:val="clear"/>
            <w:tcMar>
              <w:top w:type="dxa" w:w="60"/>
              <w:left w:type="dxa" w:w="100"/>
              <w:bottom w:type="dxa" w:w="60"/>
              <w:right w:type="dxa" w:w="100"/>
            </w:tcMar>
          </w:tcPr>
          <w:p>
            <w:pPr>
              <w:jc w:val="left"/>
            </w:pPr>
            <w:r>
              <w:rPr>
                <w:b/>
                <w:bCs/>
                <w:color w:val="FFFFFF"/>
                <w:sz w:val="19"/>
                <w:szCs w:val="19"/>
              </w:rPr>
              <w:t xml:space="preserve">Window</w:t>
            </w:r>
          </w:p>
        </w:tc>
        <w:tc>
          <w:tcPr>
            <w:tcW w:type="dxa" w:w="2000"/>
            <w:shd w:fill="1F4E79" w:val="clear"/>
            <w:tcMar>
              <w:top w:type="dxa" w:w="60"/>
              <w:left w:type="dxa" w:w="100"/>
              <w:bottom w:type="dxa" w:w="60"/>
              <w:right w:type="dxa" w:w="100"/>
            </w:tcMar>
          </w:tcPr>
          <w:p>
            <w:pPr>
              <w:jc w:val="left"/>
            </w:pPr>
            <w:r>
              <w:rPr>
                <w:b/>
                <w:bCs/>
                <w:color w:val="FFFFFF"/>
                <w:sz w:val="19"/>
                <w:szCs w:val="19"/>
              </w:rPr>
              <w:t xml:space="preserve">Focus</w:t>
            </w:r>
          </w:p>
        </w:tc>
        <w:tc>
          <w:tcPr>
            <w:tcW w:type="dxa" w:w="5800"/>
            <w:shd w:fill="1F4E79" w:val="clear"/>
            <w:tcMar>
              <w:top w:type="dxa" w:w="60"/>
              <w:left w:type="dxa" w:w="100"/>
              <w:bottom w:type="dxa" w:w="60"/>
              <w:right w:type="dxa" w:w="100"/>
            </w:tcMar>
          </w:tcPr>
          <w:p>
            <w:pPr>
              <w:jc w:val="left"/>
            </w:pPr>
            <w:r>
              <w:rPr>
                <w:b/>
                <w:bCs/>
                <w:color w:val="FFFFFF"/>
                <w:sz w:val="19"/>
                <w:szCs w:val="19"/>
              </w:rPr>
              <w:t xml:space="preserve">Concrete outputs</w:t>
            </w:r>
          </w:p>
        </w:tc>
      </w:tr>
      <w:tr>
        <w:tc>
          <w:tcPr>
            <w:tcW w:type="dxa" w:w="1500"/>
            <w:tcMar>
              <w:top w:type="dxa" w:w="60"/>
              <w:left w:type="dxa" w:w="100"/>
              <w:bottom w:type="dxa" w:w="60"/>
              <w:right w:type="dxa" w:w="100"/>
            </w:tcMar>
          </w:tcPr>
          <w:p>
            <w:pPr>
              <w:jc w:val="left"/>
            </w:pPr>
            <w:r>
              <w:rPr>
                <w:b w:val="false"/>
                <w:bCs w:val="false"/>
                <w:color w:val="000000"/>
                <w:sz w:val="19"/>
                <w:szCs w:val="19"/>
              </w:rPr>
              <w:t xml:space="preserve">Days 1–30</w:t>
            </w:r>
          </w:p>
        </w:tc>
        <w:tc>
          <w:tcPr>
            <w:tcW w:type="dxa" w:w="2000"/>
            <w:tcMar>
              <w:top w:type="dxa" w:w="60"/>
              <w:left w:type="dxa" w:w="100"/>
              <w:bottom w:type="dxa" w:w="60"/>
              <w:right w:type="dxa" w:w="100"/>
            </w:tcMar>
          </w:tcPr>
          <w:p>
            <w:pPr>
              <w:jc w:val="left"/>
            </w:pPr>
            <w:r>
              <w:rPr>
                <w:b w:val="false"/>
                <w:bCs w:val="false"/>
                <w:color w:val="000000"/>
                <w:sz w:val="19"/>
                <w:szCs w:val="19"/>
              </w:rPr>
              <w:t xml:space="preserve">Foundations</w:t>
            </w:r>
          </w:p>
        </w:tc>
        <w:tc>
          <w:tcPr>
            <w:tcW w:type="dxa" w:w="5800"/>
            <w:tcMar>
              <w:top w:type="dxa" w:w="60"/>
              <w:left w:type="dxa" w:w="100"/>
              <w:bottom w:type="dxa" w:w="60"/>
              <w:right w:type="dxa" w:w="100"/>
            </w:tcMar>
          </w:tcPr>
          <w:p>
            <w:pPr>
              <w:jc w:val="left"/>
            </w:pPr>
            <w:r>
              <w:rPr>
                <w:b w:val="false"/>
                <w:bCs w:val="false"/>
                <w:color w:val="000000"/>
                <w:sz w:val="19"/>
                <w:szCs w:val="19"/>
              </w:rPr>
              <w:t xml:space="preserve">Kite Connect account + auth flow; data ingestion + storage for a ~50-name large-cap universe; honest backtester with full costs; data-quality tests.</w:t>
            </w:r>
          </w:p>
        </w:tc>
      </w:tr>
      <w:tr>
        <w:tc>
          <w:tcPr>
            <w:tcW w:type="dxa" w:w="1500"/>
            <w:shd w:fill="F4F8FC" w:val="clear"/>
            <w:tcMar>
              <w:top w:type="dxa" w:w="60"/>
              <w:left w:type="dxa" w:w="100"/>
              <w:bottom w:type="dxa" w:w="60"/>
              <w:right w:type="dxa" w:w="100"/>
            </w:tcMar>
          </w:tcPr>
          <w:p>
            <w:pPr>
              <w:jc w:val="left"/>
            </w:pPr>
            <w:r>
              <w:rPr>
                <w:b w:val="false"/>
                <w:bCs w:val="false"/>
                <w:color w:val="000000"/>
                <w:sz w:val="19"/>
                <w:szCs w:val="19"/>
              </w:rPr>
              <w:t xml:space="preserve">Days 31–60</w:t>
            </w:r>
          </w:p>
        </w:tc>
        <w:tc>
          <w:tcPr>
            <w:tcW w:type="dxa" w:w="2000"/>
            <w:shd w:fill="F4F8FC" w:val="clear"/>
            <w:tcMar>
              <w:top w:type="dxa" w:w="60"/>
              <w:left w:type="dxa" w:w="100"/>
              <w:bottom w:type="dxa" w:w="60"/>
              <w:right w:type="dxa" w:w="100"/>
            </w:tcMar>
          </w:tcPr>
          <w:p>
            <w:pPr>
              <w:jc w:val="left"/>
            </w:pPr>
            <w:r>
              <w:rPr>
                <w:b w:val="false"/>
                <w:bCs w:val="false"/>
                <w:color w:val="000000"/>
                <w:sz w:val="19"/>
                <w:szCs w:val="19"/>
              </w:rPr>
              <w:t xml:space="preserve">First signals</w:t>
            </w:r>
          </w:p>
        </w:tc>
        <w:tc>
          <w:tcPr>
            <w:tcW w:type="dxa" w:w="5800"/>
            <w:shd w:fill="F4F8FC" w:val="clear"/>
            <w:tcMar>
              <w:top w:type="dxa" w:w="60"/>
              <w:left w:type="dxa" w:w="100"/>
              <w:bottom w:type="dxa" w:w="60"/>
              <w:right w:type="dxa" w:w="100"/>
            </w:tcMar>
          </w:tcPr>
          <w:p>
            <w:pPr>
              <w:jc w:val="left"/>
            </w:pPr>
            <w:r>
              <w:rPr>
                <w:b w:val="false"/>
                <w:bCs w:val="false"/>
                <w:color w:val="000000"/>
                <w:sz w:val="19"/>
                <w:szCs w:val="19"/>
              </w:rPr>
              <w:t xml:space="preserve">Implement 2–3 classic signals (momentum, mean-reversion, a pairs trade); backtest with walk-forward; produce the first nightly ranked suggestion list.</w:t>
            </w:r>
          </w:p>
        </w:tc>
      </w:tr>
      <w:tr>
        <w:tc>
          <w:tcPr>
            <w:tcW w:type="dxa" w:w="1500"/>
            <w:tcMar>
              <w:top w:type="dxa" w:w="60"/>
              <w:left w:type="dxa" w:w="100"/>
              <w:bottom w:type="dxa" w:w="60"/>
              <w:right w:type="dxa" w:w="100"/>
            </w:tcMar>
          </w:tcPr>
          <w:p>
            <w:pPr>
              <w:jc w:val="left"/>
            </w:pPr>
            <w:r>
              <w:rPr>
                <w:b w:val="false"/>
                <w:bCs w:val="false"/>
                <w:color w:val="000000"/>
                <w:sz w:val="19"/>
                <w:szCs w:val="19"/>
              </w:rPr>
              <w:t xml:space="preserve">Days 61–90</w:t>
            </w:r>
          </w:p>
        </w:tc>
        <w:tc>
          <w:tcPr>
            <w:tcW w:type="dxa" w:w="2000"/>
            <w:tcMar>
              <w:top w:type="dxa" w:w="60"/>
              <w:left w:type="dxa" w:w="100"/>
              <w:bottom w:type="dxa" w:w="60"/>
              <w:right w:type="dxa" w:w="100"/>
            </w:tcMar>
          </w:tcPr>
          <w:p>
            <w:pPr>
              <w:jc w:val="left"/>
            </w:pPr>
            <w:r>
              <w:rPr>
                <w:b w:val="false"/>
                <w:bCs w:val="false"/>
                <w:color w:val="000000"/>
                <w:sz w:val="19"/>
                <w:szCs w:val="19"/>
              </w:rPr>
              <w:t xml:space="preserve">Risk + paper</w:t>
            </w:r>
          </w:p>
        </w:tc>
        <w:tc>
          <w:tcPr>
            <w:tcW w:type="dxa" w:w="5800"/>
            <w:tcMar>
              <w:top w:type="dxa" w:w="60"/>
              <w:left w:type="dxa" w:w="100"/>
              <w:bottom w:type="dxa" w:w="60"/>
              <w:right w:type="dxa" w:w="100"/>
            </w:tcMar>
          </w:tcPr>
          <w:p>
            <w:pPr>
              <w:jc w:val="left"/>
            </w:pPr>
            <w:r>
              <w:rPr>
                <w:b w:val="false"/>
                <w:bCs w:val="false"/>
                <w:color w:val="000000"/>
                <w:sz w:val="19"/>
                <w:szCs w:val="19"/>
              </w:rPr>
              <w:t xml:space="preserve">Add sizing, hard limits, and the drawdown kill-switch; start paper trading the full pipeline; build a basic Streamlit monitoring dashboard.</w:t>
            </w:r>
          </w:p>
        </w:tc>
      </w:tr>
    </w:tbl>
    <w:p>
      <w:pPr>
        <w:spacing w:after="80"/>
      </w:pPr>
      <w:r>
        <w:rPr>
          <w:sz w:val="21"/>
          <w:szCs w:val="21"/>
        </w:rPr>
        <w:t xml:space="preserve"/>
      </w:r>
    </w:p>
    <w:p>
      <w:pPr>
        <w:spacing w:after="120" w:line="276"/>
      </w:pPr>
      <w:r>
        <w:rPr>
          <w:sz w:val="21"/>
          <w:szCs w:val="21"/>
        </w:rPr>
        <w:t xml:space="preserve">At day 90 you’ll have a working suggestion engine, an honest backtest, and a paper-trading loop — the foundation everything else builds on, and enough to know whether you have real edge before risking a rupee.</w:t>
      </w:r>
    </w:p>
    <w:p>
      <w:pPr>
        <w:pBdr>
          <w:bottom w:val="single" w:color="2E75B6" w:sz="6" w:space="2"/>
        </w:pBdr>
        <w:spacing w:after="120"/>
      </w:pPr>
      <w:r>
        <w:rPr>
          <w:sz w:val="21"/>
          <w:szCs w:val="21"/>
        </w:rPr>
        <w:t xml:space="preserve"/>
      </w:r>
    </w:p>
    <w:p>
      <w:pPr>
        <w:pStyle w:val="Heading3"/>
        <w:spacing w:after="70" w:before="160"/>
      </w:pPr>
      <w:r>
        <w:rPr>
          <w:b/>
          <w:bCs/>
          <w:color w:val="595959"/>
          <w:sz w:val="22"/>
          <w:szCs w:val="22"/>
        </w:rPr>
        <w:t xml:space="preserve">A closing note on expectations</w:t>
      </w:r>
    </w:p>
    <w:p>
      <w:pPr>
        <w:spacing w:after="120" w:line="276"/>
      </w:pPr>
      <w:r>
        <w:rPr>
          <w:sz w:val="21"/>
          <w:szCs w:val="21"/>
        </w:rPr>
        <w:t xml:space="preserve">Systematic trading is a research process, not a build-once product. Most strategies you test will not survive honest validation — that’s normal and healthy. The engineering (which you’re strong at) is maybe 40% of this; the other 60% is statistical discipline and resisting the urge to believe a pretty backtest. Build the honest infrastructure first, keep risk limits sacred, and let evidence — not hope — decide what trades. This document is your map; the next step is Phase 0.</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Systematic Trading Platform — Roadmap</dc:title>
  <dc:creator>JS Office Tech</dc:creator>
  <cp:lastModifiedBy>Un-named</cp:lastModifiedBy>
  <cp:revision>1</cp:revision>
  <dcterms:created xsi:type="dcterms:W3CDTF">2026-08-01T06:19:13.913Z</dcterms:created>
  <dcterms:modified xsi:type="dcterms:W3CDTF">2026-08-01T06:19:13.915Z</dcterms:modified>
</cp:coreProperties>
</file>

<file path=docProps/custom.xml><?xml version="1.0" encoding="utf-8"?>
<Properties xmlns="http://schemas.openxmlformats.org/officeDocument/2006/custom-properties" xmlns:vt="http://schemas.openxmlformats.org/officeDocument/2006/docPropsVTypes"/>
</file>