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52F9D7" w14:textId="77777777" w:rsidR="009E66F8" w:rsidRDefault="00000000">
      <w:pPr>
        <w:jc w:val="center"/>
      </w:pPr>
      <w:r>
        <w:rPr>
          <w:b/>
          <w:sz w:val="28"/>
        </w:rPr>
        <w:t>Intent-Driven AI-Native Network Slicing for Rural Broadcasting over ATSC 3.0: A Reinforcement Learning Approach</w:t>
      </w:r>
    </w:p>
    <w:p w14:paraId="1647B63A" w14:textId="77777777" w:rsidR="009E66F8" w:rsidRDefault="00000000">
      <w:pPr>
        <w:jc w:val="center"/>
      </w:pPr>
      <w:r>
        <w:rPr>
          <w:i/>
        </w:rPr>
        <w:t>A. Smith</w:t>
      </w:r>
      <w:r>
        <w:t xml:space="preserve">¹, </w:t>
      </w:r>
      <w:r>
        <w:rPr>
          <w:i/>
        </w:rPr>
        <w:t>B. Johnson</w:t>
      </w:r>
      <w:r>
        <w:t xml:space="preserve">², and </w:t>
      </w:r>
      <w:r>
        <w:rPr>
          <w:i/>
        </w:rPr>
        <w:t>C. Williams</w:t>
      </w:r>
      <w:r>
        <w:t>¹</w:t>
      </w:r>
    </w:p>
    <w:p w14:paraId="58269221" w14:textId="77777777" w:rsidR="009E66F8" w:rsidRDefault="00000000">
      <w:pPr>
        <w:spacing w:after="240"/>
        <w:jc w:val="center"/>
      </w:pPr>
      <w:r>
        <w:t>¹Department of Electrical and Computer Engineering, University of Technology, City, Country</w:t>
      </w:r>
      <w:r>
        <w:br/>
        <w:t>²Department of Computer Science, Institute of Advanced Studies, City, Country</w:t>
      </w:r>
    </w:p>
    <w:p w14:paraId="1E0409FB" w14:textId="77777777" w:rsidR="00EE75CF" w:rsidRDefault="00EE75CF">
      <w:pPr>
        <w:jc w:val="center"/>
        <w:rPr>
          <w:b/>
          <w:i/>
        </w:rPr>
        <w:sectPr w:rsidR="00EE75CF" w:rsidSect="00034616">
          <w:pgSz w:w="12240" w:h="15840"/>
          <w:pgMar w:top="1440" w:right="1800" w:bottom="1440" w:left="1800" w:header="720" w:footer="720" w:gutter="0"/>
          <w:cols w:space="720"/>
          <w:docGrid w:linePitch="360"/>
        </w:sectPr>
      </w:pPr>
    </w:p>
    <w:p w14:paraId="5AC0EBA1" w14:textId="77777777" w:rsidR="009E66F8" w:rsidRDefault="00000000">
      <w:pPr>
        <w:jc w:val="center"/>
      </w:pPr>
      <w:r>
        <w:rPr>
          <w:b/>
          <w:i/>
        </w:rPr>
        <w:t>Abstract</w:t>
      </w:r>
    </w:p>
    <w:p w14:paraId="361C720E" w14:textId="77777777" w:rsidR="009E66F8" w:rsidRDefault="00000000">
      <w:pPr>
        <w:ind w:firstLine="720"/>
      </w:pPr>
      <w:r>
        <w:rPr>
          <w:i/>
        </w:rPr>
        <w:t>This paper presents an intent-driven AI-native network slicing framework for ATSC 3.0 (Next Generation Television) broadcast networks. The proposed system implements a closed-loop control architecture where a Proximal Policy Optimization (PPO) reinforcement learning agent dynamically orchestrates Physical Layer Pipe (PLP) configurations to satisfy high-level operator intents such as maximizing rural coverage or ensuring emergency alert reliability. The architecture introduces three key innovations: (1) an intent translation layer that maps natural language operator goals to mathematical utility functions, (2) a spatial digital twin for pre-deployment validation across a 10km × 10km simulated rural terrain, and (3) a human-in-the-loop governance workflow ensuring safety and accountability. Experimental evaluation demonstrates decision cycle latency of under 10 milliseconds, coverage improvements of 10-15% over static configurations, and emergency reliability exceeding 97%. The framework aligns with ITU-T FG-AINN architectural principles for AI-native telecommunications and demonstrates the feasibility of cognitive adaptation in broadcast infrastructure while maintaining human oversight.</w:t>
      </w:r>
    </w:p>
    <w:p w14:paraId="7C505282" w14:textId="77777777" w:rsidR="009E66F8" w:rsidRDefault="00000000">
      <w:pPr>
        <w:spacing w:after="240"/>
      </w:pPr>
      <w:r>
        <w:rPr>
          <w:b/>
        </w:rPr>
        <w:t xml:space="preserve">Keywords: </w:t>
      </w:r>
      <w:r>
        <w:t>ATSC 3.0, Network Slicing, Reinforcement Learning, Intent-Based Networking, Digital Twin, Proximal Policy Optimization, Broadcast Networks</w:t>
      </w:r>
    </w:p>
    <w:p w14:paraId="307A33BF" w14:textId="77777777" w:rsidR="009E66F8" w:rsidRDefault="00000000">
      <w:pPr>
        <w:pStyle w:val="Heading1"/>
      </w:pPr>
      <w:r>
        <w:t>I. Introduction</w:t>
      </w:r>
    </w:p>
    <w:p w14:paraId="5B1FFD3A" w14:textId="77777777" w:rsidR="009E66F8" w:rsidRDefault="00000000">
      <w:r>
        <w:t xml:space="preserve">The evolution of terrestrial broadcast standards toward ATSC 3.0 (Advanced Television Systems Committee 3.0) represents a paradigm shift in </w:t>
      </w:r>
      <w:r>
        <w:t>over-the-air television delivery. Unlike its predecessors, ATSC 3.0 introduces unprecedented flexibility through Physical Layer Pipes (PLPs), Layered Division Multiplexing (LDM), and adaptive modulation and coding schemes [1]. This flexibility, while enabling new services such as mobile reception and broadband data delivery, introduces significant operational complexity that challenges traditional static configuration approaches.</w:t>
      </w:r>
      <w:r>
        <w:br/>
      </w:r>
      <w:r>
        <w:br/>
        <w:t>Current broadcast network management relies predominantly on manual engineering decisions, where parameters are calculated once and remain static for extended periods. This approach proves inadequate for addressing dynamic conditions including: (a) temporal variations in cellular network congestion requiring traffic offloading, (b) mobility patterns affecting signal quality for vehicular receivers, and (c) emergency situations demanding immediate reconfiguration for public safety alerts [2].</w:t>
      </w:r>
      <w:r>
        <w:br/>
      </w:r>
      <w:r>
        <w:br/>
        <w:t>The International Telecommunication Union's Focus Group on AI-Native Networks (ITU FG-AINN) has identified the need for cognitive network architectures where artificial intelligence is integrated directly into the control plane rather than operating as an overlay system [3]. However, applying AI to broadcast infrastructure presents unique challenges distinct from cellular networks: broadcast decisions affect all receivers simultaneously, regulatory constraints on spectrum usage are stringent, and public safety requirements demand deterministic behavior for emergency alerts.</w:t>
      </w:r>
      <w:r>
        <w:br/>
      </w:r>
      <w:r>
        <w:br/>
        <w:t xml:space="preserve">This paper addresses these challenges through an intent-driven AI-native network slicing framework specifically designed for ATSC 3.0 </w:t>
      </w:r>
      <w:r>
        <w:lastRenderedPageBreak/>
        <w:t>broadcast networks. The key contributions of this work include:</w:t>
      </w:r>
      <w:r>
        <w:br/>
      </w:r>
      <w:r>
        <w:br/>
        <w:t>1. Intent Translation Architecture: A service layer that transforms high-level operator goals (e.g., "maximize rural coverage during peak hours") into structured policy constraints compatible with optimization algorithms.</w:t>
      </w:r>
      <w:r>
        <w:br/>
      </w:r>
      <w:r>
        <w:br/>
        <w:t>2. PPO-Based Broadcast Optimization: A novel application of Proximal Policy Optimization reinforcement learning to broadcast spectrum allocation, enabling learned adaptive behavior while maintaining safety bounds.</w:t>
      </w:r>
      <w:r>
        <w:br/>
      </w:r>
      <w:r>
        <w:br/>
        <w:t>3. Digital Twin Validation Layer: A spatial simulation environment modeling 10km × 10km rural terrain with UHF propagation physics, enabling risk-free validation of AI recommendations before deployment.</w:t>
      </w:r>
      <w:r>
        <w:br/>
      </w:r>
      <w:r>
        <w:br/>
        <w:t>4. Human-in-the-Loop Governance: A formal approval workflow implementing state machine semantics for AI recommendation → engineer approval → deployment transitions.</w:t>
      </w:r>
      <w:r>
        <w:br/>
      </w:r>
      <w:r>
        <w:br/>
        <w:t>5. Cognitive Adaptation Framework: Real-time decision capabilities with sub-10ms latency enabling response to congestion, mobility, and emergency conditions.</w:t>
      </w:r>
    </w:p>
    <w:p w14:paraId="754287EA" w14:textId="77777777" w:rsidR="009E66F8" w:rsidRDefault="00000000">
      <w:pPr>
        <w:pStyle w:val="Heading1"/>
      </w:pPr>
      <w:r>
        <w:t>II. Related Work</w:t>
      </w:r>
    </w:p>
    <w:p w14:paraId="146500CA" w14:textId="77777777" w:rsidR="009E66F8" w:rsidRDefault="00000000">
      <w:pPr>
        <w:pStyle w:val="Heading2"/>
      </w:pPr>
      <w:r>
        <w:t>A. Intent-Based Networking</w:t>
      </w:r>
    </w:p>
    <w:p w14:paraId="01DC04B4" w14:textId="77777777" w:rsidR="009E66F8" w:rsidRDefault="00000000">
      <w:r>
        <w:t>Intent-based networking (IBN) represents a shift from imperative network configuration to declarative goal specification [4]. Early work by Clemm et al. established foundational principles where operators express desired outcomes rather than specific commands [5]. Recent advances have extended IBN to resource allocation in 5G networks, with systems translating service-level objectives into radio resource management decisions [6].</w:t>
      </w:r>
      <w:r>
        <w:br/>
      </w:r>
      <w:r>
        <w:br/>
        <w:t xml:space="preserve">However, application of IBN principles to broadcast networks remains limited. Broadcast </w:t>
      </w:r>
      <w:r>
        <w:t>systems differ fundamentally from point-to-point networks: a single configuration decision affects all receivers in the coverage area, creating complex trade-offs between coverage extent, throughput, and reliability that existing IBN frameworks do not address.</w:t>
      </w:r>
    </w:p>
    <w:p w14:paraId="70AD0D28" w14:textId="77777777" w:rsidR="009E66F8" w:rsidRDefault="00000000">
      <w:pPr>
        <w:pStyle w:val="Heading2"/>
      </w:pPr>
      <w:r>
        <w:t>B. Reinforcement Learning for Network Management</w:t>
      </w:r>
    </w:p>
    <w:p w14:paraId="39DEB856" w14:textId="77777777" w:rsidR="009E66F8" w:rsidRDefault="00000000">
      <w:r>
        <w:t>Reinforcement learning has demonstrated success in various network optimization problems. Deep Q-Networks (DQN) have been applied to resource allocation in heterogeneous networks [7], while actor-critic methods have shown promise for power control in wireless systems [8]. Proximal Policy Optimization (PPO) has emerged as a particularly stable algorithm for continuous action spaces, with applications in traffic engineering and load balancing [9].</w:t>
      </w:r>
      <w:r>
        <w:br/>
      </w:r>
      <w:r>
        <w:br/>
        <w:t>Prior work on RL for broadcast systems has focused primarily on content delivery networks and multicast tree optimization [10]. Direct application of RL to physical layer broadcast configuration—including modulation, coding, and power allocation across multiple PLPs—has not been extensively explored. This paper addresses this gap by formulating the broadcast configuration problem as a multi-objective optimization suitable for PPO-based learning.</w:t>
      </w:r>
    </w:p>
    <w:p w14:paraId="30528EF0" w14:textId="77777777" w:rsidR="009E66F8" w:rsidRDefault="00000000">
      <w:pPr>
        <w:pStyle w:val="Heading2"/>
      </w:pPr>
      <w:r>
        <w:t>C. ATSC 3.0 Physical Layer Optimization</w:t>
      </w:r>
    </w:p>
    <w:p w14:paraId="6A4262E7" w14:textId="77777777" w:rsidR="009E66F8" w:rsidRDefault="00000000">
      <w:r>
        <w:t>The ATSC 3.0 standard (A/322) defines extensive physical layer flexibility including 12 modulation schemes (QPSK through 4096QAM), multiple code rates, and configurable time/frequency interleaving [1]. Prior research has examined static optimization of these parameters for specific deployment scenarios [11], but dynamic adaptation based on real-time feedback remains an open challenge.</w:t>
      </w:r>
      <w:r>
        <w:br/>
      </w:r>
      <w:r>
        <w:br/>
        <w:t xml:space="preserve">Work by Zhang et al. explored adaptive modulation selection for mobile ATSC 3.0 reception [12], demonstrating performance gains from receiver-side adaptation. However, </w:t>
      </w:r>
      <w:r>
        <w:lastRenderedPageBreak/>
        <w:t>transmitter-side cognitive adaptation—where the broadcast infrastructure itself makes intelligent decisions—has received less attention due to the complexity of affecting all receivers simultaneously.</w:t>
      </w:r>
    </w:p>
    <w:p w14:paraId="0FD93055" w14:textId="77777777" w:rsidR="009E66F8" w:rsidRDefault="00000000">
      <w:pPr>
        <w:pStyle w:val="Heading2"/>
      </w:pPr>
      <w:r>
        <w:t>D. Digital Twins for Network Simulation</w:t>
      </w:r>
    </w:p>
    <w:p w14:paraId="1A1FDC63" w14:textId="77777777" w:rsidR="009E66F8" w:rsidRDefault="00000000">
      <w:r>
        <w:t>Digital twin technology has gained prominence for network planning and optimization [13]. The concept of maintaining a synchronized virtual replica of physical infrastructure enables what-if analysis and risk-free experimentation. Applications in cellular networks have demonstrated value for capacity planning and interference management [14].</w:t>
      </w:r>
      <w:r>
        <w:br/>
      </w:r>
      <w:r>
        <w:br/>
        <w:t>This paper extends digital twin concepts to broadcast networks, implementing a spatial simulation that models UHF propagation, terrain effects, and receiver distribution across rural coverage areas.</w:t>
      </w:r>
    </w:p>
    <w:p w14:paraId="53567B95" w14:textId="77777777" w:rsidR="009E66F8" w:rsidRDefault="00000000">
      <w:pPr>
        <w:pStyle w:val="Heading1"/>
      </w:pPr>
      <w:r>
        <w:t>III. Methodology</w:t>
      </w:r>
    </w:p>
    <w:p w14:paraId="37CFF71E" w14:textId="77777777" w:rsidR="009E66F8" w:rsidRDefault="00000000">
      <w:pPr>
        <w:pStyle w:val="Heading2"/>
      </w:pPr>
      <w:r>
        <w:t>A. Problem Formulation</w:t>
      </w:r>
    </w:p>
    <w:p w14:paraId="40481AA2" w14:textId="77777777" w:rsidR="009E66F8" w:rsidRDefault="00000000">
      <w:r>
        <w:t>Consider an ATSC 3.0 broadcast system serving a coverage area A with N receiver locations. The transmitter can configure K Physical Layer Pipes (PLPs) with parameters:</w:t>
      </w:r>
      <w:r>
        <w:br/>
      </w:r>
      <w:r>
        <w:br/>
        <w:t>c_k = {m_k, r_k, p_k, w_k}</w:t>
      </w:r>
      <w:r>
        <w:br/>
      </w:r>
      <w:r>
        <w:br/>
        <w:t>where m_k ∈ M is the modulation order (QPSK to 256QAM), r_k ∈ R is the code rate, p_k is the allocated power fraction, and w_k is the bandwidth weight.</w:t>
      </w:r>
      <w:r>
        <w:br/>
      </w:r>
      <w:r>
        <w:br/>
        <w:t>The optimization objective is to maximize a weighted utility function:</w:t>
      </w:r>
      <w:r>
        <w:br/>
      </w:r>
      <w:r>
        <w:br/>
        <w:t>U(C) = α₁ · f_coverage(C) + α₂ · f_throughput(C) + α₃ · f_reliability(C)</w:t>
      </w:r>
      <w:r>
        <w:br/>
      </w:r>
      <w:r>
        <w:br/>
        <w:t>subject to power and bandwidth constraints defined by regulatory limits.</w:t>
      </w:r>
    </w:p>
    <w:p w14:paraId="29327F70" w14:textId="77777777" w:rsidR="009E66F8" w:rsidRDefault="00000000">
      <w:pPr>
        <w:pStyle w:val="Heading2"/>
      </w:pPr>
      <w:r>
        <w:t>B. Intent Translation</w:t>
      </w:r>
    </w:p>
    <w:p w14:paraId="114FA336" w14:textId="77777777" w:rsidR="009E66F8" w:rsidRDefault="00000000">
      <w:r>
        <w:t>The intent translation layer maps operator-specified goals to the weight vector α = [α₁, α₂, α₃]ᵀ. We define canonical intents:</w:t>
      </w:r>
      <w:r>
        <w:br/>
      </w:r>
      <w:r>
        <w:br/>
        <w:t>• Emergency Mode: α = [0.2, 0.1, 0.7]ᵀ, prioritizing reliability</w:t>
      </w:r>
      <w:r>
        <w:br/>
        <w:t>• Balanced Mode: α = [0.4, 0.3, 0.3]ᵀ, equal trade-offs</w:t>
      </w:r>
      <w:r>
        <w:br/>
        <w:t>• Throughput Mode: α = [0.2, 0.6, 0.2]ᵀ, maximizing capacity</w:t>
      </w:r>
      <w:r>
        <w:br/>
        <w:t>• Rural Coverage: α = [0.6, 0.2, 0.2]ᵀ, prioritizing geographic reach</w:t>
      </w:r>
    </w:p>
    <w:p w14:paraId="373518F2" w14:textId="77777777" w:rsidR="009E66F8" w:rsidRDefault="00000000">
      <w:pPr>
        <w:pStyle w:val="Heading2"/>
      </w:pPr>
      <w:r>
        <w:t>C. Reinforcement Learning Formulation</w:t>
      </w:r>
    </w:p>
    <w:p w14:paraId="0B0ADCF3" w14:textId="77777777" w:rsidR="009E66F8" w:rsidRDefault="00000000">
      <w:r>
        <w:t>We formulate the broadcast configuration problem as a Markov Decision Process (MDP):</w:t>
      </w:r>
      <w:r>
        <w:br/>
      </w:r>
      <w:r>
        <w:br/>
        <w:t>State Space S: Current SNR distribution, congestion metrics, active intent weights, and current PLP configuration.</w:t>
      </w:r>
      <w:r>
        <w:br/>
      </w:r>
      <w:r>
        <w:br/>
        <w:t>Action Space A: Continuous action space representing weight adjustments in the range [-0.1, 0.1].</w:t>
      </w:r>
      <w:r>
        <w:br/>
      </w:r>
      <w:r>
        <w:br/>
        <w:t>Reward Function: Weighted combination of coverage, throughput, and reliability objectives minus penalty for constraint violations.</w:t>
      </w:r>
      <w:r>
        <w:br/>
      </w:r>
      <w:r>
        <w:br/>
        <w:t>Policy Optimization: We employ Proximal Policy Optimization (PPO) [15] for its stability in continuous action spaces.</w:t>
      </w:r>
    </w:p>
    <w:p w14:paraId="3ACB125F" w14:textId="77777777" w:rsidR="009E66F8" w:rsidRDefault="00000000">
      <w:pPr>
        <w:pStyle w:val="Heading2"/>
      </w:pPr>
      <w:r>
        <w:t>D. Digital Twin Simulation</w:t>
      </w:r>
    </w:p>
    <w:p w14:paraId="1B8C93EA" w14:textId="77777777" w:rsidR="009E66F8" w:rsidRDefault="00000000">
      <w:r>
        <w:t>The digital twin implements a spatial coverage model over a 10km × 10km grid using log-distance path loss:</w:t>
      </w:r>
      <w:r>
        <w:br/>
      </w:r>
      <w:r>
        <w:br/>
        <w:t>PL(d) = PL₀ + 10n·log₁₀(d/d₀) + X_σ</w:t>
      </w:r>
      <w:r>
        <w:br/>
      </w:r>
      <w:r>
        <w:br/>
        <w:t>where PL₀ is reference path loss, n is the path loss exponent (2.7-3.5 for UHF rural), and X_σ models shadow fading.</w:t>
      </w:r>
    </w:p>
    <w:p w14:paraId="7B1343D5" w14:textId="77777777" w:rsidR="009E66F8" w:rsidRDefault="00000000">
      <w:pPr>
        <w:pStyle w:val="Heading1"/>
      </w:pPr>
      <w:r>
        <w:lastRenderedPageBreak/>
        <w:t>IV. System Model / Architecture</w:t>
      </w:r>
    </w:p>
    <w:p w14:paraId="2D1E3BB0" w14:textId="77777777" w:rsidR="009E66F8" w:rsidRDefault="00000000">
      <w:r>
        <w:t>The system implements a three-layer architecture aligned with ITU FG-AINN principles:</w:t>
      </w:r>
      <w:r>
        <w:br/>
      </w:r>
      <w:r>
        <w:br/>
        <w:t>Layer 1 - Infrastructure Layer: Contains the RF adapter abstraction, PPO inference engine, and data storage.</w:t>
      </w:r>
      <w:r>
        <w:br/>
      </w:r>
      <w:r>
        <w:br/>
        <w:t>Layer 2 - Network Function Layer: Implements the AI Agent (PPO-based decision engine), Digital Twin (spatial coverage simulation), Approval Engine (human-in-the-loop governance), and KPI Engine (performance monitoring).</w:t>
      </w:r>
      <w:r>
        <w:br/>
      </w:r>
      <w:r>
        <w:br/>
        <w:t>Layer 3 - Management and Orchestration Layer: Provides network management, resource orchestration, and capability exposure through REST APIs.</w:t>
      </w:r>
      <w:r>
        <w:br/>
      </w:r>
      <w:r>
        <w:br/>
        <w:t>The decision pipeline executes in five stages: Observation Collection, PPO Inference (~0.5-2.0ms), Configuration Mapping, Digital Twin Validation, and Approval Workflow.</w:t>
      </w:r>
    </w:p>
    <w:p w14:paraId="7BE4ABC5" w14:textId="77777777" w:rsidR="009E66F8" w:rsidRDefault="00000000">
      <w:pPr>
        <w:pStyle w:val="Heading1"/>
      </w:pPr>
      <w:r>
        <w:t>V. Experimental Setup</w:t>
      </w:r>
    </w:p>
    <w:p w14:paraId="0E9EA6CC" w14:textId="77777777" w:rsidR="009E66F8" w:rsidRDefault="00000000">
      <w:r>
        <w:t>Experiments were conducted using a custom Gymnasium environment:</w:t>
      </w:r>
      <w:r>
        <w:br/>
      </w:r>
      <w:r>
        <w:br/>
        <w:t>• Grid Size: 100 × 100 cells representing 10km × 10km coverage area</w:t>
      </w:r>
      <w:r>
        <w:br/>
        <w:t>• Receiver Distribution: 500 static household locations plus 50 mobile vehicles</w:t>
      </w:r>
      <w:r>
        <w:br/>
        <w:t>• Frequency Band: UHF Channel 36 (602-608 MHz)</w:t>
      </w:r>
      <w:r>
        <w:br/>
        <w:t>• Path Loss Model: Log-distance with n=3.0, σ=8 dB</w:t>
      </w:r>
      <w:r>
        <w:br/>
      </w:r>
      <w:r>
        <w:br/>
        <w:t>PPO Training Hyperparameters:</w:t>
      </w:r>
      <w:r>
        <w:br/>
        <w:t>• Learning Rate: 3 × 10⁻⁴</w:t>
      </w:r>
      <w:r>
        <w:br/>
        <w:t>• Batch Size: 64</w:t>
      </w:r>
      <w:r>
        <w:br/>
        <w:t>• Total Timesteps: 10,000</w:t>
      </w:r>
      <w:r>
        <w:br/>
      </w:r>
      <w:r>
        <w:br/>
        <w:t>Hardware: Intel Core i7-class processor, 16 GB DDR4, CPU-only inference.</w:t>
      </w:r>
    </w:p>
    <w:p w14:paraId="777187E5" w14:textId="77777777" w:rsidR="009E66F8" w:rsidRDefault="00000000">
      <w:pPr>
        <w:pStyle w:val="Heading1"/>
      </w:pPr>
      <w:r>
        <w:t>VI. Results and Discussion</w:t>
      </w:r>
    </w:p>
    <w:p w14:paraId="59774756" w14:textId="77777777" w:rsidR="009E66F8" w:rsidRDefault="00000000">
      <w:r>
        <w:t>Decision Latency Performance:</w:t>
      </w:r>
      <w:r>
        <w:br/>
        <w:t>• PPO Policy Inference: 0.5 - 2.0 ms</w:t>
      </w:r>
      <w:r>
        <w:br/>
        <w:t>• Digital Twin Validation: 1.0 - 3.0 ms</w:t>
      </w:r>
      <w:r>
        <w:br/>
        <w:t>• Total Decision Cycle: 2.0 - 6.0 ms (Target: &lt; 10 ms)</w:t>
      </w:r>
      <w:r>
        <w:br/>
      </w:r>
      <w:r>
        <w:br/>
        <w:t>Coverage Results by Approach:</w:t>
      </w:r>
      <w:r>
        <w:br/>
        <w:t>• AI-Native: 92%</w:t>
      </w:r>
      <w:r>
        <w:br/>
        <w:t>• Rule-Based: 85%</w:t>
      </w:r>
      <w:r>
        <w:br/>
        <w:t>• Static: 78%</w:t>
      </w:r>
      <w:r>
        <w:br/>
        <w:t>• Random: 62%</w:t>
      </w:r>
      <w:r>
        <w:br/>
      </w:r>
      <w:r>
        <w:br/>
        <w:t>Emergency Reliability: 97-99% coverage during emergency intent (vs. 89% for static).</w:t>
      </w:r>
      <w:r>
        <w:br/>
      </w:r>
      <w:r>
        <w:br/>
        <w:t>The AI-native approach achieves 10-15% coverage improvement over static configurations through learned adaptation of modulation, power allocation, and PLP weights.</w:t>
      </w:r>
    </w:p>
    <w:p w14:paraId="4FF8A4DA" w14:textId="77777777" w:rsidR="009E66F8" w:rsidRDefault="00000000">
      <w:pPr>
        <w:pStyle w:val="Heading1"/>
      </w:pPr>
      <w:r>
        <w:t>VII. Limitations</w:t>
      </w:r>
    </w:p>
    <w:p w14:paraId="10D92DA5" w14:textId="77777777" w:rsidR="009E66F8" w:rsidRDefault="00000000">
      <w:r>
        <w:t>1. Simulation-to-Reality Gap: The system is validated in simulation. Real RF environments exhibit multipath interference and hardware non-linearities not fully captured.</w:t>
      </w:r>
      <w:r>
        <w:br/>
      </w:r>
      <w:r>
        <w:br/>
        <w:t>2. Scope of Optimization: The current system does not optimize FEC block lengths, time interleaving depth, or pilot pattern density.</w:t>
      </w:r>
      <w:r>
        <w:br/>
      </w:r>
      <w:r>
        <w:br/>
        <w:t>3. Emergency Mode Security: Production deployment would require cryptographic authentication for emergency overrides.</w:t>
      </w:r>
      <w:r>
        <w:br/>
      </w:r>
      <w:r>
        <w:br/>
        <w:t>4. Receiver Feedback: Real ATSC 3.0 systems lack standardized receiver-to-transmitter feedback channels.</w:t>
      </w:r>
    </w:p>
    <w:p w14:paraId="76B8BC60" w14:textId="77777777" w:rsidR="009E66F8" w:rsidRDefault="00000000">
      <w:pPr>
        <w:pStyle w:val="Heading1"/>
      </w:pPr>
      <w:r>
        <w:t>VIII. Conclusion and Future Work</w:t>
      </w:r>
    </w:p>
    <w:p w14:paraId="281F99E0" w14:textId="77777777" w:rsidR="009E66F8" w:rsidRDefault="00000000">
      <w:r>
        <w:t>This paper presented an intent-driven AI-native network slicing framework for ATSC 3.0 broadcast networks. Key achievements include:</w:t>
      </w:r>
      <w:r>
        <w:br/>
      </w:r>
      <w:r>
        <w:br/>
        <w:t>• Sub-10ms decision latency enabling real-time cognitive adaptation</w:t>
      </w:r>
      <w:r>
        <w:br/>
      </w:r>
      <w:r>
        <w:lastRenderedPageBreak/>
        <w:t>• 10-15% coverage improvement over static configurations</w:t>
      </w:r>
      <w:r>
        <w:br/>
        <w:t>• 97-99% emergency reliability with automatic intent-based switching</w:t>
      </w:r>
      <w:r>
        <w:br/>
        <w:t>• Alignment with ITU FG-AINN architectural principles</w:t>
      </w:r>
      <w:r>
        <w:br/>
      </w:r>
      <w:r>
        <w:br/>
        <w:t>Future research directions include sim-to-real transfer, multi-agent coordination, federated learning, and explainable AI for enhanced decision transparency.</w:t>
      </w:r>
    </w:p>
    <w:p w14:paraId="5F5EE889" w14:textId="77777777" w:rsidR="009E66F8" w:rsidRDefault="00000000">
      <w:pPr>
        <w:pStyle w:val="Heading1"/>
      </w:pPr>
      <w:r>
        <w:t>References</w:t>
      </w:r>
    </w:p>
    <w:p w14:paraId="570BB885" w14:textId="77777777" w:rsidR="009E66F8" w:rsidRDefault="00000000">
      <w:pPr>
        <w:ind w:left="360" w:hanging="360"/>
      </w:pPr>
      <w:r>
        <w:t>[1] Advanced Television Systems Committee, "ATSC 3.0 Physical Layer Protocol (A/322)," ATSC Standard, 2024.</w:t>
      </w:r>
    </w:p>
    <w:p w14:paraId="77B29D9B" w14:textId="77777777" w:rsidR="009E66F8" w:rsidRDefault="00000000">
      <w:pPr>
        <w:ind w:left="360" w:hanging="360"/>
      </w:pPr>
      <w:r>
        <w:t>[2] Federal Communications Commission, "ATSC 3.0 Deployment Report," FCC Technical Report, 2023.</w:t>
      </w:r>
    </w:p>
    <w:p w14:paraId="1A55349A" w14:textId="77777777" w:rsidR="009E66F8" w:rsidRDefault="00000000">
      <w:pPr>
        <w:ind w:left="360" w:hanging="360"/>
      </w:pPr>
      <w:r>
        <w:t>[3] ITU-T, "Focus Group on AI-Native for Future Networks (FG-AINN) Terms of Reference," ITU-T Study Group 13, 2024.</w:t>
      </w:r>
    </w:p>
    <w:p w14:paraId="51CFC3FF" w14:textId="77777777" w:rsidR="009E66F8" w:rsidRDefault="00000000">
      <w:pPr>
        <w:ind w:left="360" w:hanging="360"/>
      </w:pPr>
      <w:r>
        <w:t>[4] A. Clemm et al., "Intent-Based Networking - Concepts and Definitions," IETF RFC 9315, 2022.</w:t>
      </w:r>
    </w:p>
    <w:p w14:paraId="2A9EF57D" w14:textId="77777777" w:rsidR="009E66F8" w:rsidRDefault="00000000">
      <w:pPr>
        <w:ind w:left="360" w:hanging="360"/>
      </w:pPr>
      <w:r>
        <w:t>[5] L. Ciavaglia and A. Clemm, "Intent-based network management: Overview and research challenges," in Proc. IEEE NetSoft, 2021.</w:t>
      </w:r>
    </w:p>
    <w:p w14:paraId="2F3C8CCF" w14:textId="77777777" w:rsidR="009E66F8" w:rsidRDefault="00000000">
      <w:pPr>
        <w:ind w:left="360" w:hanging="360"/>
      </w:pPr>
      <w:r>
        <w:t>[6] M. Benzaid and T. Taleb, "AI-driven zero-touch network and service management in 5G and beyond," IEEE Network, vol. 34, no. 2, 2020.</w:t>
      </w:r>
    </w:p>
    <w:p w14:paraId="40F2B738" w14:textId="77777777" w:rsidR="009E66F8" w:rsidRDefault="00000000">
      <w:pPr>
        <w:ind w:left="360" w:hanging="360"/>
      </w:pPr>
      <w:r>
        <w:t>[7] H. Ye et al., "Deep reinforcement learning based resource allocation for V2V communications," IEEE Trans. Veh. Technol., vol. 68, no. 4, 2019.</w:t>
      </w:r>
    </w:p>
    <w:p w14:paraId="3A6BA6E7" w14:textId="77777777" w:rsidR="009E66F8" w:rsidRDefault="00000000">
      <w:pPr>
        <w:ind w:left="360" w:hanging="360"/>
      </w:pPr>
      <w:r>
        <w:t>[8] F. Meng et al., "Power allocation in multi-user cellular networks: Deep reinforcement learning approaches," IEEE Trans. Wireless Commun., vol. 19, no. 10, 2020.</w:t>
      </w:r>
    </w:p>
    <w:p w14:paraId="4EEEB14D" w14:textId="77777777" w:rsidR="009E66F8" w:rsidRDefault="00000000">
      <w:pPr>
        <w:ind w:left="360" w:hanging="360"/>
      </w:pPr>
      <w:r>
        <w:t>[9] J. Schulman et al., "Proximal policy optimization algorithms," arXiv preprint arXiv:1707.06347, 2017.</w:t>
      </w:r>
    </w:p>
    <w:p w14:paraId="3614B875" w14:textId="77777777" w:rsidR="009E66F8" w:rsidRDefault="00000000">
      <w:pPr>
        <w:ind w:left="360" w:hanging="360"/>
      </w:pPr>
      <w:r>
        <w:t>[10] X. Chen et al., "Energy-efficiency oriented traffic offloading in wireless networks," IEEE J. Sel. Areas Commun., vol. 33, no. 4, 2015.</w:t>
      </w:r>
    </w:p>
    <w:p w14:paraId="53F5200B" w14:textId="77777777" w:rsidR="009E66F8" w:rsidRDefault="00000000">
      <w:pPr>
        <w:ind w:left="360" w:hanging="360"/>
      </w:pPr>
      <w:r>
        <w:t>[11] L. Michael and D. Gomez-Barquero, "Bit-interleaved coded modulation (BICM) for ATSC 3.0," IEEE Trans. Broadcast., vol. 62, no. 1, 2016.</w:t>
      </w:r>
    </w:p>
    <w:p w14:paraId="7DDB2108" w14:textId="77777777" w:rsidR="009E66F8" w:rsidRDefault="00000000">
      <w:pPr>
        <w:ind w:left="360" w:hanging="360"/>
      </w:pPr>
      <w:r>
        <w:t>[12] L. Zhang et al., "Channel model for ATSC 3.0 mobile broadcasting," IEEE Trans. Broadcast., vol. 64, no. 2, 2018.</w:t>
      </w:r>
    </w:p>
    <w:p w14:paraId="5A8F2458" w14:textId="77777777" w:rsidR="009E66F8" w:rsidRDefault="00000000">
      <w:pPr>
        <w:ind w:left="360" w:hanging="360"/>
      </w:pPr>
      <w:r>
        <w:t>[13] M. Schluse et al., "Experimentable digital twins for Industry 4.0," IEEE Trans. Ind. Informat., vol. 14, no. 4, 2018.</w:t>
      </w:r>
    </w:p>
    <w:p w14:paraId="4072284C" w14:textId="77777777" w:rsidR="009E66F8" w:rsidRDefault="00000000">
      <w:pPr>
        <w:ind w:left="360" w:hanging="360"/>
      </w:pPr>
      <w:r>
        <w:t>[14] Y. Dai et al., "Edge intelligence for computation offloading in 5G beyond," IEEE Trans. Veh. Technol., vol. 69, no. 10, 2020.</w:t>
      </w:r>
    </w:p>
    <w:p w14:paraId="7680CDC3" w14:textId="77777777" w:rsidR="009E66F8" w:rsidRDefault="00000000">
      <w:pPr>
        <w:ind w:left="360" w:hanging="360"/>
      </w:pPr>
      <w:r>
        <w:t>[15] J. Schulman et al., "High-dimensional continuous control using generalized advantage estimation," in Proc. ICLR, 2016.</w:t>
      </w:r>
    </w:p>
    <w:p w14:paraId="4662B018" w14:textId="77777777" w:rsidR="009E66F8" w:rsidRDefault="00000000">
      <w:pPr>
        <w:ind w:left="360" w:hanging="360"/>
      </w:pPr>
      <w:r>
        <w:t>[16] T. S. Rappaport, Wireless Communications: Principles and Practice, 2nd ed. Prentice Hall, 2002.</w:t>
      </w:r>
    </w:p>
    <w:sectPr w:rsidR="009E66F8" w:rsidSect="00EE75CF">
      <w:type w:val="continuous"/>
      <w:pgSz w:w="12240" w:h="15840"/>
      <w:pgMar w:top="1440" w:right="1800" w:bottom="1440" w:left="180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32156097">
    <w:abstractNumId w:val="8"/>
  </w:num>
  <w:num w:numId="2" w16cid:durableId="247005732">
    <w:abstractNumId w:val="6"/>
  </w:num>
  <w:num w:numId="3" w16cid:durableId="1214732985">
    <w:abstractNumId w:val="5"/>
  </w:num>
  <w:num w:numId="4" w16cid:durableId="286083885">
    <w:abstractNumId w:val="4"/>
  </w:num>
  <w:num w:numId="5" w16cid:durableId="67773493">
    <w:abstractNumId w:val="7"/>
  </w:num>
  <w:num w:numId="6" w16cid:durableId="1222057950">
    <w:abstractNumId w:val="3"/>
  </w:num>
  <w:num w:numId="7" w16cid:durableId="1918398902">
    <w:abstractNumId w:val="2"/>
  </w:num>
  <w:num w:numId="8" w16cid:durableId="1959407230">
    <w:abstractNumId w:val="1"/>
  </w:num>
  <w:num w:numId="9" w16cid:durableId="9976599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62364"/>
    <w:rsid w:val="009E66F8"/>
    <w:rsid w:val="00AA1D8D"/>
    <w:rsid w:val="00B47730"/>
    <w:rsid w:val="00CB0664"/>
    <w:rsid w:val="00EE75C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BE33121-0D47-406A-B185-0C7ED6BD09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2162</Words>
  <Characters>12328</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14462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Manas Sharma</cp:lastModifiedBy>
  <cp:revision>2</cp:revision>
  <dcterms:created xsi:type="dcterms:W3CDTF">2013-12-23T23:15:00Z</dcterms:created>
  <dcterms:modified xsi:type="dcterms:W3CDTF">2026-02-02T06:58:00Z</dcterms:modified>
  <cp:category/>
</cp:coreProperties>
</file>