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Takumi technical implementation</w:t>
        <w:br/>
        <w:t>and three person delivery plan</w:t>
      </w:r>
    </w:p>
    <w:p>
      <w:r>
        <w:t>JETRO PS 03  |  Final product concept  |  24 October 2026</w:t>
      </w:r>
    </w:p>
    <w:p>
      <w:r>
        <w:t>We will build a platform that captures a skilled expert’s demonstration, recovers the explanations missing from it, and turns approved knowledge into interactive practice and a technical viva. Learners will practise decisions in a browser playground and open the original evidence behind each explanation.</w:t>
      </w:r>
    </w:p>
    <w:p>
      <w:pPr>
        <w:pStyle w:val="Heading2"/>
      </w:pPr>
      <w:r>
        <w:t>The product decision</w:t>
      </w:r>
    </w:p>
    <w:p>
      <w:r>
        <w:t>The core differentiator is the link between newly acquired expert reasoning and a learner’s actions. A useful explanation must come from an actual expert response, remain attached to its source, and influence a reviewed practice scenario. A video summary or an animated assembly alone does not establish that link.</w:t>
      </w:r>
    </w:p>
    <w:p>
      <w:pPr>
        <w:pStyle w:val="Heading2"/>
      </w:pPr>
      <w:r>
        <w:t>The three product experiences</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Experience</w:t>
            </w:r>
          </w:p>
        </w:tc>
        <w:tc>
          <w:tcPr>
            <w:tcW w:type="dxa" w:w="7704"/>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Purpose</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Expert Studio</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Record a task, answer targeted clarification questions, correct the draft, and approve a knowledge release.</w:t>
            </w:r>
          </w:p>
        </w:tc>
      </w:tr>
      <w:tr>
        <w:trPr>
          <w:cantSplit/>
        </w:trPr>
        <w:tc>
          <w:tcPr>
            <w:tcW w:type="dxa" w:w="237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Apprentice Playground</w:t>
            </w:r>
          </w:p>
        </w:tc>
        <w:tc>
          <w:tcPr>
            <w:tcW w:type="dxa" w:w="770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Study approved content, inspect a virtual assembly, request information, and practise expert-defined decisions.</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Technical Viva</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Explain choices, respond to a changed situation, and receive evidence-linked feedback.</w:t>
            </w:r>
          </w:p>
        </w:tc>
      </w:tr>
    </w:tbl>
    <w:p>
      <w:pPr>
        <w:spacing w:after="0"/>
      </w:pPr>
    </w:p>
    <w:p>
      <w:pPr>
        <w:pStyle w:val="Heading2"/>
      </w:pPr>
      <w:r>
        <w:t>The hackathon scope</w:t>
      </w:r>
    </w:p>
    <w:p>
      <w:r>
        <w:t>Deliver one task, one real expert, a short recording, three useful clarification questions, one authored 3D scene, two reviewed scenario variations, and three viva questions. The browser playground is the working MVP. AR and immersive VR are planned interfaces after the learning workflow is validated.</w:t>
      </w:r>
    </w:p>
    <w:p>
      <w:r>
        <w:rPr>
          <w:b/>
        </w:rPr>
        <w:t>Build assumption:</w:t>
      </w:r>
      <w:r>
        <w:t xml:space="preserve"> three people over 36 hours. Confirm the event’s actual duration, preparation rules, required integrations, and submission format before starting. The plan includes a 24-hour reduction. No outcome or winning probability is guaranteed.</w:t>
      </w:r>
    </w:p>
    <w:p>
      <w:r>
        <w:br w:type="page"/>
      </w:r>
    </w:p>
    <w:p>
      <w:pPr>
        <w:pStyle w:val="Heading1"/>
      </w:pPr>
      <w:r>
        <w:t>1 Product workflow and demonstration task</w:t>
      </w:r>
    </w:p>
    <w:p>
      <w:r>
        <w:t>The initial users are workshop experts, apprentices, vocational students, newly hired technicians, and international workers. Manufacturing SMEs and technical training institutions are the likely buyers. This keeps the product aligned with the transfer of industrial expertise in PS 03.</w:t>
      </w:r>
    </w:p>
    <w:p>
      <w:pPr>
        <w:pStyle w:val="Heading2"/>
      </w:pPr>
      <w:r>
        <w:t>Default task</w:t>
      </w:r>
    </w:p>
    <w:p>
      <w:r>
        <w:t>Use inspection of an unpowered shaft-and-bearing bench assembly with a workshop instructor. The instructor defines the real procedure, valid observations, common mistakes, and escalation rules. The prototype represents a training task; it does not certify equipment or replace a mechanical procedure.</w:t>
      </w:r>
    </w:p>
    <w:p>
      <w:pPr>
        <w:pStyle w:val="Heading2"/>
      </w:pPr>
      <w:r>
        <w:t>The complete workflow</w:t>
      </w:r>
    </w:p>
    <w:p>
      <w:pPr>
        <w:numPr>
          <w:ilvl w:val="0"/>
          <w:numId w:val="10"/>
        </w:numPr>
        <w:spacing w:after="80"/>
      </w:pPr>
      <w:r>
        <w:t>An expert creates a task and uploads a two-to-four-minute demonstration with normal narration. The task records equipment context, language, and reviewer.</w:t>
      </w:r>
    </w:p>
    <w:p>
      <w:pPr>
        <w:numPr>
          <w:ilvl w:val="0"/>
          <w:numId w:val="10"/>
        </w:numPr>
        <w:spacing w:after="80"/>
      </w:pPr>
      <w:r>
        <w:t>The processing worker drafts timestamped steps and observable actions. It leaves unsupported reasons, specifications, and physical measurements unknown.</w:t>
      </w:r>
    </w:p>
    <w:p>
      <w:pPr>
        <w:numPr>
          <w:ilvl w:val="0"/>
          <w:numId w:val="10"/>
        </w:numPr>
        <w:spacing w:after="80"/>
      </w:pPr>
      <w:r>
        <w:t>The platform identifies missing decision knowledge and asks up to three targeted questions about cues, alternatives, exceptions, or novice mistakes.</w:t>
      </w:r>
    </w:p>
    <w:p>
      <w:pPr>
        <w:numPr>
          <w:ilvl w:val="0"/>
          <w:numId w:val="10"/>
        </w:numPr>
        <w:spacing w:after="80"/>
      </w:pPr>
      <w:r>
        <w:t>The expert answers, corrects the draft, and approves the knowledge pack. Each answer becomes a separately attributed source.</w:t>
      </w:r>
    </w:p>
    <w:p>
      <w:pPr>
        <w:numPr>
          <w:ilvl w:val="0"/>
          <w:numId w:val="10"/>
        </w:numPr>
        <w:spacing w:after="80"/>
      </w:pPr>
      <w:r>
        <w:t>A reviewed scenario maps knowledge units to components and decisions in one prebuilt browser scene. The system does not claim to generate accurate geometry or physics from video.</w:t>
      </w:r>
    </w:p>
    <w:p>
      <w:pPr>
        <w:numPr>
          <w:ilvl w:val="0"/>
          <w:numId w:val="10"/>
        </w:numPr>
        <w:spacing w:after="80"/>
      </w:pPr>
      <w:r>
        <w:t>The apprentice studies the pack, attempts an unseen task variation, and requests observations or chooses actions. The server records and evaluates those decisions.</w:t>
      </w:r>
    </w:p>
    <w:p>
      <w:pPr>
        <w:numPr>
          <w:ilvl w:val="0"/>
          <w:numId w:val="10"/>
        </w:numPr>
        <w:spacing w:after="80"/>
      </w:pPr>
      <w:r>
        <w:t>A technical viva asks the learner to explain a decision and identify when more evidence is needed. Feedback opens the supporting source.</w:t>
      </w:r>
    </w:p>
    <w:p>
      <w:pPr>
        <w:numPr>
          <w:ilvl w:val="0"/>
          <w:numId w:val="10"/>
        </w:numPr>
        <w:spacing w:after="80"/>
      </w:pPr>
      <w:r>
        <w:t>The instructor reviews unresolved learning gaps. New observations enter a draft and become active only after another approval.</w:t>
      </w:r>
    </w:p>
    <w:p>
      <w:pPr>
        <w:pStyle w:val="Heading2"/>
      </w:pPr>
      <w:r>
        <w:t>The central demonstration moment</w:t>
      </w:r>
    </w:p>
    <w:p>
      <w:r>
        <w:t>Show a reason absent from the original explanation, obtain it from the expert, approve it, and use it to resolve a new learner scenario. If the recording already contains that reason, choose a genuine remaining gap rather than manipulating the baseline.</w:t>
      </w:r>
    </w:p>
    <w:p>
      <w:r>
        <w:br w:type="page"/>
      </w:r>
    </w:p>
    <w:p>
      <w:pPr>
        <w:pStyle w:val="Heading1"/>
      </w:pPr>
      <w:r>
        <w:t>2 System architecture</w:t>
      </w:r>
    </w:p>
    <w:p>
      <w:r>
        <w:t>Use one web application with two role-based experiences, one API, and one background worker. The database owns approved knowledge and training state. Models draft content; the application controls permissions, publication, and assessment rules.</w:t>
      </w:r>
    </w:p>
    <w:p>
      <w:r>
        <w:drawing>
          <wp:inline xmlns:a="http://schemas.openxmlformats.org/drawingml/2006/main" xmlns:pic="http://schemas.openxmlformats.org/drawingml/2006/picture">
            <wp:extent cx="6400800" cy="3500157"/>
            <wp:docPr id="1" name="Picture 1" descr="System architecture connecting expert and apprentice interfaces to the API, private storage, PostgreSQL, processing worker, and hosted model adapters"/>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3500157"/>
                    </a:xfrm>
                    <a:prstGeom prst="rect"/>
                  </pic:spPr>
                </pic:pic>
              </a:graphicData>
            </a:graphic>
          </wp:inline>
        </w:drawing>
      </w:r>
    </w:p>
    <w:p>
      <w:r>
        <w:t>Figure 1  The worker produces draft artifacts. Apprentice requests use the active approved release. Media upload and playback use authorized storage URLs.</w:t>
      </w:r>
    </w:p>
    <w:tbl>
      <w:tblPr>
        <w:tblW w:type="auto" w:w="0"/>
        <w:jc w:val="center"/>
        <w:tblLayout w:type="fixed"/>
        <w:tblLook w:firstColumn="1" w:firstRow="1" w:lastColumn="0" w:lastRow="0" w:noHBand="0" w:noVBand="1" w:val="04A0"/>
      </w:tblPr>
      <w:tblGrid>
        <w:gridCol w:w="1944"/>
        <w:gridCol w:w="6696"/>
        <w:gridCol w:w="1440"/>
      </w:tblGrid>
      <w:tr>
        <w:trPr>
          <w:cantSplit/>
          <w:tblHeader/>
        </w:trPr>
        <w:tc>
          <w:tcPr>
            <w:tcW w:type="dxa" w:w="1944"/>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Layer</w:t>
            </w:r>
          </w:p>
        </w:tc>
        <w:tc>
          <w:tcPr>
            <w:tcW w:type="dxa" w:w="6696"/>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Implementation</w:t>
            </w:r>
          </w:p>
        </w:tc>
        <w:tc>
          <w:tcPr>
            <w:tcW w:type="dxa" w:w="1440"/>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Owner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Web interface</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Next.js and TypeScript; client-only React Three Fiber scene</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 and C</w:t>
            </w:r>
          </w:p>
        </w:tc>
      </w:tr>
      <w:tr>
        <w:trPr>
          <w:cantSplit/>
        </w:trPr>
        <w:tc>
          <w:tcPr>
            <w:tcW w:type="dxa" w:w="194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API and rules</w:t>
            </w:r>
          </w:p>
        </w:tc>
        <w:tc>
          <w:tcPr>
            <w:tcW w:type="dxa" w:w="669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FastAPI, Pydantic, SQLAlchemy, migrations</w:t>
            </w:r>
          </w:p>
        </w:tc>
        <w:tc>
          <w:tcPr>
            <w:tcW w:type="dxa" w:w="144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B</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Data and retrieval</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PostgreSQL and pgvector; exact search for the small corpus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B and A</w:t>
            </w:r>
          </w:p>
        </w:tc>
      </w:tr>
      <w:tr>
        <w:trPr>
          <w:cantSplit/>
        </w:trPr>
        <w:tc>
          <w:tcPr>
            <w:tcW w:type="dxa" w:w="194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Async processing</w:t>
            </w:r>
          </w:p>
        </w:tc>
        <w:tc>
          <w:tcPr>
            <w:tcW w:type="dxa" w:w="669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Redis and RQ; stage checkpoints and bounded retry</w:t>
            </w:r>
          </w:p>
        </w:tc>
        <w:tc>
          <w:tcPr>
            <w:tcW w:type="dxa" w:w="144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B and A</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Media and AI</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Private object storage; tested hosted model adapters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B and A</w:t>
            </w:r>
          </w:p>
        </w:tc>
      </w:tr>
    </w:tbl>
    <w:p>
      <w:pPr>
        <w:spacing w:after="0"/>
      </w:pPr>
    </w:p>
    <w:p>
      <w:r>
        <w:t>React Three Fiber is a React renderer for Three.js. Use a tested compatible React and renderer pair and pin the lockfile. The current documentation explicitly pairs major versions; do not install incompatible versions or adopt an alpha during the build. [1]</w:t>
      </w:r>
    </w:p>
    <w:p>
      <w:r>
        <w:br w:type="page"/>
      </w:r>
    </w:p>
    <w:p>
      <w:pPr>
        <w:pStyle w:val="Heading1"/>
      </w:pPr>
      <w:r>
        <w:t>3 Knowledge capture implementation</w:t>
      </w:r>
    </w:p>
    <w:p>
      <w:pPr>
        <w:pStyle w:val="Heading2"/>
      </w:pPr>
      <w:r>
        <w:t>Ingestion and processing</w:t>
      </w:r>
    </w:p>
    <w:p>
      <w:r>
        <w:t>Person B implements the upload session and completion endpoint. The server checks organization access, actual media type, checksum, decodability, and duration. Proposed application limits are four minutes and 100 MB. They are product limits, not claims about provider limits.</w:t>
      </w:r>
    </w:p>
    <w:p>
      <w:r>
        <w:t>Person A implements a worker pipeline with stages for media preparation, draft extraction, gap detection, and validation. Persist stage outputs so a retry does not repeat completed work or duplicate a draft. Poll the persisted stage through the API; show stage labels rather than fabricated percentages.</w:t>
      </w:r>
    </w:p>
    <w:p>
      <w:pPr>
        <w:pStyle w:val="Heading2"/>
      </w:pPr>
      <w:r>
        <w:t>The knowledge unit</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Field</w:t>
            </w:r>
          </w:p>
        </w:tc>
        <w:tc>
          <w:tcPr>
            <w:tcW w:type="dxa" w:w="8280"/>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Meaning</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Action</w:t>
            </w:r>
          </w:p>
        </w:tc>
        <w:tc>
          <w:tcPr>
            <w:tcW w:type="dxa" w:w="82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What the expert does in this context.</w:t>
            </w:r>
          </w:p>
        </w:tc>
      </w:tr>
      <w:tr>
        <w:trPr>
          <w:cantSplit/>
        </w:trPr>
        <w:tc>
          <w:tcPr>
            <w:tcW w:type="dxa" w:w="180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Cue</w:t>
            </w:r>
          </w:p>
        </w:tc>
        <w:tc>
          <w:tcPr>
            <w:tcW w:type="dxa" w:w="828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The observation or measurement that matters.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Interpretation</w:t>
            </w:r>
          </w:p>
        </w:tc>
        <w:tc>
          <w:tcPr>
            <w:tcW w:type="dxa" w:w="82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What the expert believes the cue indicates.</w:t>
            </w:r>
          </w:p>
        </w:tc>
      </w:tr>
      <w:tr>
        <w:trPr>
          <w:cantSplit/>
        </w:trPr>
        <w:tc>
          <w:tcPr>
            <w:tcW w:type="dxa" w:w="180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Decision</w:t>
            </w:r>
          </w:p>
        </w:tc>
        <w:tc>
          <w:tcPr>
            <w:tcW w:type="dxa" w:w="828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The action or information request justified by that evidence.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Exception</w:t>
            </w:r>
          </w:p>
        </w:tc>
        <w:tc>
          <w:tcPr>
            <w:tcW w:type="dxa" w:w="82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When the advice does not apply or requires escalation.</w:t>
            </w:r>
          </w:p>
        </w:tc>
      </w:tr>
      <w:tr>
        <w:trPr>
          <w:cantSplit/>
        </w:trPr>
        <w:tc>
          <w:tcPr>
            <w:tcW w:type="dxa" w:w="180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Evidence</w:t>
            </w:r>
          </w:p>
        </w:tc>
        <w:tc>
          <w:tcPr>
            <w:tcW w:type="dxa" w:w="828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Source recording, exact interval, or attributed expert response.</w:t>
            </w:r>
          </w:p>
        </w:tc>
      </w:tr>
    </w:tbl>
    <w:p>
      <w:pPr>
        <w:spacing w:after="0"/>
      </w:pPr>
    </w:p>
    <w:p>
      <w:pPr>
        <w:pStyle w:val="Heading2"/>
      </w:pPr>
      <w:r>
        <w:t>Clarification logic</w:t>
      </w:r>
    </w:p>
    <w:p>
      <w:r>
        <w:t>Start with deterministic checks for missing fields at expert-designated decision points. Rank gaps using a simple visible rubric: task importance, missing reasoning, and expected novice confusion. Ask a maximum of three non-leading questions. This is a heuristic priority score, not calibrated model confidence.</w:t>
      </w:r>
    </w:p>
    <w:p>
      <w:r>
        <w:t>Example: “What prompted the extra check at this point, and what observation would change your next action?” The expert can answer, reject the premise, mark the cue unobservable, or defer it. Preserve the original draft and the correction.</w:t>
      </w:r>
    </w:p>
    <w:p>
      <w:pPr>
        <w:pStyle w:val="Heading2"/>
      </w:pPr>
      <w:r>
        <w:t>Model integration</w:t>
      </w:r>
    </w:p>
    <w:p>
      <w:r>
        <w:t>Use a hosted video-capable model behind an adapter. Test actual account access, timestamp quality, language handling, schema output, quota, and latency before fixing the model ID. Provider documentation supports video timestamps and structured output, but a valid schema does not establish factual correctness. [2, 3]</w:t>
      </w:r>
    </w:p>
    <w:p>
      <w:r>
        <w:t>If native video extraction fails, use explicitly timestamped sampled frames with corrected narration under the same contract. Neither path can recover force, torque, or tactile feel without appropriate source evidence.</w:t>
      </w:r>
    </w:p>
    <w:p>
      <w:r>
        <w:br w:type="page"/>
      </w:r>
    </w:p>
    <w:p>
      <w:pPr>
        <w:pStyle w:val="Heading1"/>
      </w:pPr>
      <w:r>
        <w:t>4 Evidence approval and retrieval</w:t>
      </w:r>
    </w:p>
    <w:p>
      <w:pPr>
        <w:pStyle w:val="Heading2"/>
      </w:pPr>
      <w:r>
        <w:t>Review and publication</w:t>
      </w:r>
    </w:p>
    <w:p>
      <w:r>
        <w:t>Expert responses have their own evidence IDs and provenance. Person A provides a review interface showing each draft claim next to the source. Person B enforces author and reviewer permissions, optimistic revision checks, and immutable published releases.</w:t>
      </w:r>
    </w:p>
    <w:p>
      <w:r>
        <w:t>Prepare retrieval chunks and embeddings from the reviewed version before activation. Publish the release and update its active pointer in one transaction. A later edit creates a new draft. Existing learner attempts remain tied to the release they used.</w:t>
      </w:r>
    </w:p>
    <w:p>
      <w:pPr>
        <w:pStyle w:val="Heading2"/>
      </w:pPr>
      <w:r>
        <w:t>The retrieval path</w:t>
      </w:r>
    </w:p>
    <w:p>
      <w:pPr>
        <w:numPr>
          <w:ilvl w:val="0"/>
          <w:numId w:val="11"/>
        </w:numPr>
        <w:spacing w:after="80"/>
      </w:pPr>
      <w:r>
        <w:t>Authenticate the learner and resolve organization, task, equipment context, and active release server-side.</w:t>
      </w:r>
    </w:p>
    <w:p>
      <w:pPr>
        <w:numPr>
          <w:ilvl w:val="0"/>
          <w:numId w:val="11"/>
        </w:numPr>
        <w:spacing w:after="80"/>
      </w:pPr>
      <w:r>
        <w:t>Retrieve only approved units from that release using exact vector similarity and task filters. Add explicitly linked prerequisites and exceptions.</w:t>
      </w:r>
    </w:p>
    <w:p>
      <w:pPr>
        <w:numPr>
          <w:ilvl w:val="0"/>
          <w:numId w:val="11"/>
        </w:numPr>
        <w:spacing w:after="80"/>
      </w:pPr>
      <w:r>
        <w:t>Ask the model for structured claims and citations using only allowed knowledge and evidence IDs.</w:t>
      </w:r>
    </w:p>
    <w:p>
      <w:pPr>
        <w:numPr>
          <w:ilvl w:val="0"/>
          <w:numId w:val="11"/>
        </w:numPr>
        <w:spacing w:after="80"/>
      </w:pPr>
      <w:r>
        <w:t>Reject unknown IDs, cross-task references, invalid intervals, and stale releases. Return an answer, a clarification request, or insufficient evidence.</w:t>
      </w:r>
    </w:p>
    <w:p>
      <w:pPr>
        <w:numPr>
          <w:ilvl w:val="0"/>
          <w:numId w:val="11"/>
        </w:numPr>
        <w:spacing w:after="80"/>
      </w:pPr>
      <w:r>
        <w:t>Render source links that seek the video to the reviewer-confirmed span or display the expert’s attributed response.</w:t>
      </w:r>
    </w:p>
    <w:p>
      <w:pPr>
        <w:pStyle w:val="Heading2"/>
      </w:pPr>
      <w:r>
        <w:t>Output contract</w:t>
      </w:r>
    </w:p>
    <w:p>
      <w:pPr>
        <w:spacing w:after="140" w:line="240" w:lineRule="auto"/>
      </w:pPr>
      <w:r>
        <w:rPr>
          <w:rFonts w:ascii="DejaVu Sans Mono" w:hAnsi="DejaVu Sans Mono"/>
          <w:sz w:val="18"/>
        </w:rPr>
        <w:t>status: answered | needs_context | insufficient_evidence</w:t>
        <w:br/>
      </w:r>
      <w:r>
        <w:rPr>
          <w:rFonts w:ascii="DejaVu Sans Mono" w:hAnsi="DejaVu Sans Mono"/>
          <w:sz w:val="18"/>
        </w:rPr>
        <w:t>release_id: immutable approved release</w:t>
        <w:br/>
      </w:r>
      <w:r>
        <w:rPr>
          <w:rFonts w:ascii="DejaVu Sans Mono" w:hAnsi="DejaVu Sans Mono"/>
          <w:sz w:val="18"/>
        </w:rPr>
        <w:t>claims: [{text, knowledge_unit_id, evidence_ids}]</w:t>
        <w:br/>
      </w:r>
      <w:r>
        <w:rPr>
          <w:rFonts w:ascii="DejaVu Sans Mono" w:hAnsi="DejaVu Sans Mono"/>
          <w:sz w:val="18"/>
        </w:rPr>
        <w:t>missing_information: optional list</w:t>
        <w:br/>
      </w:r>
      <w:r>
        <w:rPr>
          <w:rFonts w:ascii="DejaVu Sans Mono" w:hAnsi="DejaVu Sans Mono"/>
          <w:sz w:val="18"/>
        </w:rPr>
        <w:t>review_required: boolean</w:t>
        <w:br/>
      </w:r>
    </w:p>
    <w:p>
      <w:r>
        <w:t>Existing citations prove that a source exists, not that it supports the answer. Human evaluation must check semantic support. The system must abstain when asked for a specification absent from approved material.</w:t>
      </w:r>
    </w:p>
    <w:p>
      <w:pPr>
        <w:pStyle w:val="Heading2"/>
      </w:pPr>
      <w:r>
        <w:t>Multilingual behavior</w:t>
      </w:r>
    </w:p>
    <w:p>
      <w:r>
        <w:t>Keep original technical terms, stable knowledge IDs, and aligned translations. Have a qualified reviewer check units, negation, conditions, and escalation language. Without such review, label the translated passage as a preview. Cache answers by organization, task, release, language, and normalized question.</w:t>
      </w:r>
    </w:p>
    <w:p>
      <w:r>
        <w:t>Exact search in pgvector is adequate for the MVP corpus. A separate graph database or approximate search index is unnecessary for one task pack. [4]</w:t>
      </w:r>
    </w:p>
    <w:p>
      <w:r>
        <w:br w:type="page"/>
      </w:r>
    </w:p>
    <w:p>
      <w:pPr>
        <w:pStyle w:val="Heading1"/>
      </w:pPr>
      <w:r>
        <w:t>5 Apprentice playground implementation</w:t>
      </w:r>
    </w:p>
    <w:p>
      <w:r>
        <w:t>Person C builds a browser scene using React Three Fiber and Three.js. Start with simple authored geometry for a base, housing, shaft, and inspection markers. The expert verifies what the representation means. Avoid detailed modeling work that does not affect a learning decision.</w:t>
      </w:r>
    </w:p>
    <w:p>
      <w:pPr>
        <w:pStyle w:val="Heading2"/>
      </w:pPr>
      <w:r>
        <w:t>The first five interactions</w:t>
      </w:r>
    </w:p>
    <w:tbl>
      <w:tblPr>
        <w:tblW w:type="auto" w:w="0"/>
        <w:jc w:val="center"/>
        <w:tblLayout w:type="fixed"/>
        <w:tblLook w:firstColumn="1" w:firstRow="1" w:lastColumn="0" w:lastRow="0" w:noHBand="0" w:noVBand="1" w:val="04A0"/>
      </w:tblPr>
      <w:tblGrid>
        <w:gridCol w:w="1584"/>
        <w:gridCol w:w="4032"/>
        <w:gridCol w:w="4464"/>
      </w:tblGrid>
      <w:tr>
        <w:trPr>
          <w:cantSplit/>
          <w:tblHeader/>
        </w:trPr>
        <w:tc>
          <w:tcPr>
            <w:tcW w:type="dxa" w:w="1584"/>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Interaction</w:t>
            </w:r>
          </w:p>
        </w:tc>
        <w:tc>
          <w:tcPr>
            <w:tcW w:type="dxa" w:w="4032"/>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Client behavior</w:t>
            </w:r>
          </w:p>
        </w:tc>
        <w:tc>
          <w:tcPr>
            <w:tcW w:type="dxa" w:w="4464"/>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Server behavior</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Inspect</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Rotate view or select a component</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Record an inspection event</w:t>
            </w:r>
          </w:p>
        </w:tc>
      </w:tr>
      <w:tr>
        <w:trPr>
          <w:cantSplit/>
        </w:trPr>
        <w:tc>
          <w:tcPr>
            <w:tcW w:type="dxa" w:w="158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Request evidence</w:t>
            </w:r>
          </w:p>
        </w:tc>
        <w:tc>
          <w:tcPr>
            <w:tcW w:type="dxa" w:w="403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Choose an observation or measurement</w:t>
            </w:r>
          </w:p>
        </w:tc>
        <w:tc>
          <w:tcPr>
            <w:tcW w:type="dxa" w:w="44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Reveal only scenario-approved information</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Choose a check</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Select a candidate inspection action</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Evaluate prerequisite and allowed transition</w:t>
            </w:r>
          </w:p>
        </w:tc>
      </w:tr>
      <w:tr>
        <w:trPr>
          <w:cantSplit/>
        </w:trPr>
        <w:tc>
          <w:tcPr>
            <w:tcW w:type="dxa" w:w="158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Continue or escalate</w:t>
            </w:r>
          </w:p>
        </w:tc>
        <w:tc>
          <w:tcPr>
            <w:tcW w:type="dxa" w:w="403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Confirm a next action or ask a supervisor</w:t>
            </w:r>
          </w:p>
        </w:tc>
        <w:tc>
          <w:tcPr>
            <w:tcW w:type="dxa" w:w="44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Apply reviewed decision rules</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Explain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Open the viva for the chosen decision</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Attach attempt context and approved rubric</w:t>
            </w:r>
          </w:p>
        </w:tc>
      </w:tr>
    </w:tbl>
    <w:p>
      <w:pPr>
        <w:spacing w:after="0"/>
      </w:pPr>
    </w:p>
    <w:p>
      <w:pPr>
        <w:pStyle w:val="Heading2"/>
      </w:pPr>
      <w:r>
        <w:t>How knowledge connects to the scene</w:t>
      </w:r>
    </w:p>
    <w:p>
      <w:r>
        <w:t>A scenario manifest links visible component IDs, decision IDs, knowledge units, and feedback evidence. Person A and the expert approve the content. Person B owns the authoritative transition engine. Person C renders the state and animates accepted changes.</w:t>
      </w:r>
    </w:p>
    <w:p>
      <w:pPr>
        <w:spacing w:after="140" w:line="240" w:lineRule="auto"/>
      </w:pPr>
      <w:r>
        <w:rPr>
          <w:rFonts w:ascii="DejaVu Sans Mono" w:hAnsi="DejaVu Sans Mono"/>
          <w:sz w:val="18"/>
        </w:rPr>
        <w:t>scenario_id: assembly_inspection_v1</w:t>
        <w:br/>
      </w:r>
      <w:r>
        <w:rPr>
          <w:rFonts w:ascii="DejaVu Sans Mono" w:hAnsi="DejaVu Sans Mono"/>
          <w:sz w:val="18"/>
        </w:rPr>
        <w:t>release_id: release_approved_01</w:t>
        <w:br/>
      </w:r>
      <w:r>
        <w:rPr>
          <w:rFonts w:ascii="DejaVu Sans Mono" w:hAnsi="DejaVu Sans Mono"/>
          <w:sz w:val="18"/>
        </w:rPr>
        <w:t>scene_template: shaft_bearing_demo</w:t>
        <w:br/>
      </w:r>
      <w:r>
        <w:rPr>
          <w:rFonts w:ascii="DejaVu Sans Mono" w:hAnsi="DejaVu Sans Mono"/>
          <w:sz w:val="18"/>
        </w:rPr>
        <w:t>initial_state: observation_pending</w:t>
        <w:br/>
      </w:r>
      <w:r>
        <w:rPr>
          <w:rFonts w:ascii="DejaVu Sans Mono" w:hAnsi="DejaVu Sans Mono"/>
          <w:sz w:val="18"/>
        </w:rPr>
        <w:t>component_ids: [base, housing, shaft]</w:t>
        <w:br/>
      </w:r>
      <w:r>
        <w:rPr>
          <w:rFonts w:ascii="DejaVu Sans Mono" w:hAnsi="DejaVu Sans Mono"/>
          <w:sz w:val="18"/>
        </w:rPr>
        <w:t>public_actions: [inspect, request_observation, escalate]</w:t>
        <w:br/>
      </w:r>
      <w:r>
        <w:rPr>
          <w:rFonts w:ascii="DejaVu Sans Mono" w:hAnsi="DejaVu Sans Mono"/>
          <w:sz w:val="18"/>
        </w:rPr>
        <w:t>knowledge_ids: [unit_01, unit_02]</w:t>
        <w:br/>
      </w:r>
      <w:r>
        <w:rPr>
          <w:rFonts w:ascii="DejaVu Sans Mono" w:hAnsi="DejaVu Sans Mono"/>
          <w:sz w:val="18"/>
        </w:rPr>
        <w:t>private_rules: stored and evaluated on server</w:t>
        <w:br/>
      </w:r>
    </w:p>
    <w:p>
      <w:r>
        <w:t>The manifest is a mapping contract, not an automatically reconstructed digital twin. Geometry and interaction templates are authored. AI may draft explanations or scenario text, but experts review the valid branches and outcomes.</w:t>
      </w:r>
    </w:p>
    <w:p>
      <w:pPr>
        <w:pStyle w:val="Heading2"/>
      </w:pPr>
      <w:r>
        <w:t>Two practice modes</w:t>
      </w:r>
    </w:p>
    <w:p>
      <w:r>
        <w:t>Guided mode shows evidence and hints during practice. Assessment mode withholds answers until submission and uses an unseen variation. A client animation can be optimistic for camera movement, but task completion must wait for the server’s accepted transition.</w:t>
      </w:r>
    </w:p>
    <w:p>
      <w:r>
        <w:t>Represent physical consequences as reviewed illustrative outcomes. Do not imply that a generic 3D engine validates friction, tolerances, stress, or tactile skill. If 3D fails on a device, retain an equivalent labeled 2D decision flow.</w:t>
      </w:r>
    </w:p>
    <w:p>
      <w:r>
        <w:br w:type="page"/>
      </w:r>
    </w:p>
    <w:p>
      <w:pPr>
        <w:pStyle w:val="Heading1"/>
      </w:pPr>
      <w:r>
        <w:t>6 Technical viva and learning assessment</w:t>
      </w:r>
    </w:p>
    <w:p>
      <w:r>
        <w:t>The viva evaluates task reasoning after the learner has made decisions. It is a technical oral or written assessment for apprenticeship readiness, rather than a generic recruitment interview.</w:t>
      </w:r>
    </w:p>
    <w:p>
      <w:pPr>
        <w:pStyle w:val="Heading2"/>
      </w:pPr>
      <w:r>
        <w:t>Question generation</w:t>
      </w:r>
    </w:p>
    <w:p>
      <w:r>
        <w:t>Person A drafts questions from the approved release and the learner’s attempt. The instructor approves a small question bank before use. Select three questions: explain one action, handle one changed condition, and identify one case where the available evidence is insufficient.</w:t>
      </w:r>
    </w:p>
    <w:p>
      <w:r>
        <w:t>A question record includes the target knowledge IDs, accepted reasoning elements, prohibited unsupported claims, evidence links, language, and release ID. The learner response can be typed. Speech transcription is an optional enhancement after the text path works.</w:t>
      </w:r>
    </w:p>
    <w:p>
      <w:pPr>
        <w:pStyle w:val="Heading2"/>
      </w:pPr>
      <w:r>
        <w:t>Evaluation and feedback</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Dimension</w:t>
            </w:r>
          </w:p>
        </w:tc>
        <w:tc>
          <w:tcPr>
            <w:tcW w:type="dxa" w:w="7776"/>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Assessment method</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Decision accuracy</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Server checks actions against the reviewed scenario rules.</w:t>
            </w:r>
          </w:p>
        </w:tc>
      </w:tr>
      <w:tr>
        <w:trPr>
          <w:cantSplit/>
        </w:trPr>
        <w:tc>
          <w:tcPr>
            <w:tcW w:type="dxa" w:w="230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Evidence gathering</w:t>
            </w:r>
          </w:p>
        </w:tc>
        <w:tc>
          <w:tcPr>
            <w:tcW w:type="dxa" w:w="777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Server records relevant observations requested before acting.</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Explanation quality</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Model drafts rubric feedback; instructor can review or override.</w:t>
            </w:r>
          </w:p>
        </w:tc>
      </w:tr>
      <w:tr>
        <w:trPr>
          <w:cantSplit/>
        </w:trPr>
        <w:tc>
          <w:tcPr>
            <w:tcW w:type="dxa" w:w="230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Recognition of limits</w:t>
            </w:r>
          </w:p>
        </w:tc>
        <w:tc>
          <w:tcPr>
            <w:tcW w:type="dxa" w:w="777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Scenario checks whether the learner escalates when required.</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Practical competence</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Requires separate supervised physical assessment.</w:t>
            </w:r>
          </w:p>
        </w:tc>
      </w:tr>
    </w:tbl>
    <w:p>
      <w:pPr>
        <w:spacing w:after="0"/>
      </w:pPr>
    </w:p>
    <w:p>
      <w:r>
        <w:t>Keep scores separate. A fluent explanation should not compensate for a critical wrong decision. Do not evaluate personality, accent, or confidence as technical skill. A viva result remains an exercise result; it is not industrial certification.</w:t>
      </w:r>
    </w:p>
    <w:p>
      <w:pPr>
        <w:pStyle w:val="Heading2"/>
      </w:pPr>
      <w:r>
        <w:t>The feedback cycle</w:t>
      </w:r>
    </w:p>
    <w:p>
      <w:pPr>
        <w:numPr>
          <w:ilvl w:val="0"/>
          <w:numId w:val="12"/>
        </w:numPr>
        <w:spacing w:after="80"/>
      </w:pPr>
      <w:r>
        <w:t>Learner submits an action or explanation.</w:t>
      </w:r>
    </w:p>
    <w:p>
      <w:pPr>
        <w:numPr>
          <w:ilvl w:val="0"/>
          <w:numId w:val="12"/>
        </w:numPr>
        <w:spacing w:after="80"/>
      </w:pPr>
      <w:r>
        <w:t>Server stores the attempt against the exact scenario and knowledge release.</w:t>
      </w:r>
    </w:p>
    <w:p>
      <w:pPr>
        <w:numPr>
          <w:ilvl w:val="0"/>
          <w:numId w:val="12"/>
        </w:numPr>
        <w:spacing w:after="80"/>
      </w:pPr>
      <w:r>
        <w:t>Deterministic rules produce the decision outcome; optional AI feedback cites the approved rubric.</w:t>
      </w:r>
    </w:p>
    <w:p>
      <w:pPr>
        <w:numPr>
          <w:ilvl w:val="0"/>
          <w:numId w:val="12"/>
        </w:numPr>
        <w:spacing w:after="80"/>
      </w:pPr>
      <w:r>
        <w:t>Learner opens the relevant expert evidence and tries a different reviewed variation.</w:t>
      </w:r>
    </w:p>
    <w:p>
      <w:pPr>
        <w:numPr>
          <w:ilvl w:val="0"/>
          <w:numId w:val="12"/>
        </w:numPr>
        <w:spacing w:after="80"/>
      </w:pPr>
      <w:r>
        <w:t>Instructor sees repeated misconceptions and decides whether to revise the pack or provide practical coaching.</w:t>
      </w:r>
    </w:p>
    <w:p>
      <w:r>
        <w:t>Virtual training can support learning, but transfer depends on task and training design. Assembly studies report mixed comparisons with video or physical practice. Measure an unseen decision and, where feasible, supervised real-task performance. [5, 6]</w:t>
      </w:r>
    </w:p>
    <w:p>
      <w:r>
        <w:br w:type="page"/>
      </w:r>
    </w:p>
    <w:p>
      <w:pPr>
        <w:pStyle w:val="Heading1"/>
      </w:pPr>
      <w:r>
        <w:t>7 Data model and state management</w:t>
      </w:r>
    </w:p>
    <w:tbl>
      <w:tblPr>
        <w:tblW w:type="auto" w:w="0"/>
        <w:jc w:val="center"/>
        <w:tblLayout w:type="fixed"/>
        <w:tblLook w:firstColumn="1" w:firstRow="1" w:lastColumn="0" w:lastRow="0" w:noHBand="0" w:noVBand="1" w:val="04A0"/>
      </w:tblPr>
      <w:tblGrid>
        <w:gridCol w:w="1872"/>
        <w:gridCol w:w="5040"/>
        <w:gridCol w:w="3168"/>
      </w:tblGrid>
      <w:tr>
        <w:trPr>
          <w:cantSplit/>
          <w:tblHeader/>
        </w:trPr>
        <w:tc>
          <w:tcPr>
            <w:tcW w:type="dxa" w:w="1872"/>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Entity</w:t>
            </w:r>
          </w:p>
        </w:tc>
        <w:tc>
          <w:tcPr>
            <w:tcW w:type="dxa" w:w="5040"/>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Essential fields</w:t>
            </w:r>
          </w:p>
        </w:tc>
        <w:tc>
          <w:tcPr>
            <w:tcW w:type="dxa" w:w="3168"/>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Purpose</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Task</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organization, equipment, owner, title</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Scope the knowledge</w:t>
            </w:r>
          </w:p>
        </w:tc>
      </w:tr>
      <w:tr>
        <w:trPr>
          <w:cantSplit/>
        </w:trPr>
        <w:tc>
          <w:tcPr>
            <w:tcW w:type="dxa" w:w="187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MediaAsset</w:t>
            </w:r>
          </w:p>
        </w:tc>
        <w:tc>
          <w:tcPr>
            <w:tcW w:type="dxa" w:w="504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storage key, checksum, language, duration</w:t>
            </w:r>
          </w:p>
        </w:tc>
        <w:tc>
          <w:tcPr>
            <w:tcW w:type="dxa" w:w="316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Preserve the source</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ProcessingJob</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input hash, stage, state, timing, error</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Resume and audit extraction</w:t>
            </w:r>
          </w:p>
        </w:tc>
      </w:tr>
      <w:tr>
        <w:trPr>
          <w:cantSplit/>
        </w:trPr>
        <w:tc>
          <w:tcPr>
            <w:tcW w:type="dxa" w:w="187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DraftVersion</w:t>
            </w:r>
          </w:p>
        </w:tc>
        <w:tc>
          <w:tcPr>
            <w:tcW w:type="dxa" w:w="504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task, revision, parent, status</w:t>
            </w:r>
          </w:p>
        </w:tc>
        <w:tc>
          <w:tcPr>
            <w:tcW w:type="dxa" w:w="316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Separate editable work</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KnowledgeUnit</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action, cue, interpretation, decision, exception</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Structure the expertise</w:t>
            </w:r>
          </w:p>
        </w:tc>
      </w:tr>
      <w:tr>
        <w:trPr>
          <w:cantSplit/>
        </w:trPr>
        <w:tc>
          <w:tcPr>
            <w:tcW w:type="dxa" w:w="187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EvidenceItem</w:t>
            </w:r>
          </w:p>
        </w:tc>
        <w:tc>
          <w:tcPr>
            <w:tcW w:type="dxa" w:w="504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source type, author, text or media interval</w:t>
            </w:r>
          </w:p>
        </w:tc>
        <w:tc>
          <w:tcPr>
            <w:tcW w:type="dxa" w:w="316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Attribute every explanation</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ClaimEvidence</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unit field, evidence ID, support review</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Record support at claim level</w:t>
            </w:r>
          </w:p>
        </w:tc>
      </w:tr>
      <w:tr>
        <w:trPr>
          <w:cantSplit/>
        </w:trPr>
        <w:tc>
          <w:tcPr>
            <w:tcW w:type="dxa" w:w="187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ElicitationItem</w:t>
            </w:r>
          </w:p>
        </w:tc>
        <w:tc>
          <w:tcPr>
            <w:tcW w:type="dxa" w:w="504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gap, question, response, status</w:t>
            </w:r>
          </w:p>
        </w:tc>
        <w:tc>
          <w:tcPr>
            <w:tcW w:type="dxa" w:w="316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Track acquired reasoning</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Release</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content hash, reviewer, approval, active state</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Freeze approved knowledge</w:t>
            </w:r>
          </w:p>
        </w:tc>
      </w:tr>
      <w:tr>
        <w:trPr>
          <w:cantSplit/>
        </w:trPr>
        <w:tc>
          <w:tcPr>
            <w:tcW w:type="dxa" w:w="187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RetrievalChunk</w:t>
            </w:r>
          </w:p>
        </w:tc>
        <w:tc>
          <w:tcPr>
            <w:tcW w:type="dxa" w:w="504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organization, task, release, embedding</w:t>
            </w:r>
          </w:p>
        </w:tc>
        <w:tc>
          <w:tcPr>
            <w:tcW w:type="dxa" w:w="316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Retrieve in scope</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ScenarioVersion</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release, template, public state, private rules</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Freeze approved practice</w:t>
            </w:r>
          </w:p>
        </w:tc>
      </w:tr>
      <w:tr>
        <w:trPr>
          <w:cantSplit/>
        </w:trPr>
        <w:tc>
          <w:tcPr>
            <w:tcW w:type="dxa" w:w="187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Attempt and Event</w:t>
            </w:r>
          </w:p>
        </w:tc>
        <w:tc>
          <w:tcPr>
            <w:tcW w:type="dxa" w:w="504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learner, scenario, revision, actions, results</w:t>
            </w:r>
          </w:p>
        </w:tc>
        <w:tc>
          <w:tcPr>
            <w:tcW w:type="dxa" w:w="316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Track practice and viva</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AuditEvent</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actor, action, entity, revision, timestamp</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Explain important changes</w:t>
            </w:r>
          </w:p>
        </w:tc>
      </w:tr>
    </w:tbl>
    <w:p>
      <w:pPr>
        <w:spacing w:after="0"/>
      </w:pPr>
    </w:p>
    <w:p>
      <w:pPr>
        <w:pStyle w:val="Heading2"/>
      </w:pPr>
      <w:r>
        <w:t>State transitions</w:t>
      </w:r>
    </w:p>
    <w:p>
      <w:r>
        <w:t>Capture moves through uploaded, processing, draft, review, and published. Failures preserve the previous successful artifact. Knowledge publication and scenario publication are separate: an approved pack does not automatically approve every generated scenario.</w:t>
      </w:r>
    </w:p>
    <w:p>
      <w:r>
        <w:t>When a knowledge release changes, scenarios referencing the older release remain historical. A scenario must be reviewed against the new release before activation. Existing attempts retain their original IDs and scores.</w:t>
      </w:r>
    </w:p>
    <w:p>
      <w:pPr>
        <w:pStyle w:val="Heading2"/>
      </w:pPr>
      <w:r>
        <w:t>Integrity requirements</w:t>
      </w:r>
    </w:p>
    <w:p>
      <w:r>
        <w:t>Every child record belongs to its task and organization. Valid source intervals satisfy zero less than or equal to start, start less than end, and end no greater than duration. Review status cannot be set by a learner. Draft edits require the expected revision; conflicting edits return a conflict response.</w:t>
      </w:r>
    </w:p>
    <w:p>
      <w:r>
        <w:t>Store prerequisite relationships as ordinary records. A graph view can be derived later without adding a second database.</w:t>
      </w:r>
    </w:p>
    <w:p>
      <w:r>
        <w:br w:type="page"/>
      </w:r>
    </w:p>
    <w:p>
      <w:pPr>
        <w:pStyle w:val="Heading1"/>
      </w:pPr>
      <w:r>
        <w:t>8 API contracts and integration workflow</w:t>
      </w:r>
    </w:p>
    <w:tbl>
      <w:tblPr>
        <w:tblW w:type="auto" w:w="0"/>
        <w:jc w:val="center"/>
        <w:tblLayout w:type="fixed"/>
        <w:tblLook w:firstColumn="1" w:firstRow="1" w:lastColumn="0" w:lastRow="0" w:noHBand="0" w:noVBand="1" w:val="04A0"/>
      </w:tblPr>
      <w:tblGrid>
        <w:gridCol w:w="3816"/>
        <w:gridCol w:w="6264"/>
      </w:tblGrid>
      <w:tr>
        <w:trPr>
          <w:cantSplit/>
          <w:tblHeader/>
        </w:trPr>
        <w:tc>
          <w:tcPr>
            <w:tcW w:type="dxa" w:w="3816"/>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Endpoint</w:t>
            </w:r>
          </w:p>
        </w:tc>
        <w:tc>
          <w:tcPr>
            <w:tcW w:type="dxa" w:w="6264"/>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Contract and responsibility</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POST /tasks</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Create a task in the authenticated workspace.</w:t>
            </w:r>
          </w:p>
        </w:tc>
      </w:tr>
      <w:tr>
        <w:trPr>
          <w:cantSplit/>
        </w:trPr>
        <w:tc>
          <w:tcPr>
            <w:tcW w:type="dxa" w:w="381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POST /tasks/{id}/uploads</w:t>
            </w:r>
          </w:p>
        </w:tc>
        <w:tc>
          <w:tcPr>
            <w:tcW w:type="dxa" w:w="62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Return authorized upload details and a media ID.</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POST /media/{id}/complete</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Validate upload and enqueue an idempotent job.</w:t>
            </w:r>
          </w:p>
        </w:tc>
      </w:tr>
      <w:tr>
        <w:trPr>
          <w:cantSplit/>
        </w:trPr>
        <w:tc>
          <w:tcPr>
            <w:tcW w:type="dxa" w:w="381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GET /jobs/{id}</w:t>
            </w:r>
          </w:p>
        </w:tc>
        <w:tc>
          <w:tcPr>
            <w:tcW w:type="dxa" w:w="62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Return persisted stage, errors, and artifact references.</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GET and PATCH /drafts/{id}</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Read or edit a draft with expected revision.</w:t>
            </w:r>
          </w:p>
        </w:tc>
      </w:tr>
      <w:tr>
        <w:trPr>
          <w:cantSplit/>
        </w:trPr>
        <w:tc>
          <w:tcPr>
            <w:tcW w:type="dxa" w:w="381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POST /elicitation/{id}/responses</w:t>
            </w:r>
          </w:p>
        </w:tc>
        <w:tc>
          <w:tcPr>
            <w:tcW w:type="dxa" w:w="62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Save an attributed expert answer.</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POST /drafts/{id}/publish</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Activate a reviewed immutable knowledge release.</w:t>
            </w:r>
          </w:p>
        </w:tc>
      </w:tr>
      <w:tr>
        <w:trPr>
          <w:cantSplit/>
        </w:trPr>
        <w:tc>
          <w:tcPr>
            <w:tcW w:type="dxa" w:w="381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POST /scenarios/{id}/publish</w:t>
            </w:r>
          </w:p>
        </w:tc>
        <w:tc>
          <w:tcPr>
            <w:tcW w:type="dxa" w:w="62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Approve a scenario bound to a knowledge release.</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POST /tasks/{id}/questions</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Return supported claims or insufficient evidence.</w:t>
            </w:r>
          </w:p>
        </w:tc>
      </w:tr>
      <w:tr>
        <w:trPr>
          <w:cantSplit/>
        </w:trPr>
        <w:tc>
          <w:tcPr>
            <w:tcW w:type="dxa" w:w="381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POST /scenarios/{id}/attempts</w:t>
            </w:r>
          </w:p>
        </w:tc>
        <w:tc>
          <w:tcPr>
            <w:tcW w:type="dxa" w:w="62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Create an attempt; return public initial state.</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POST /attempts/{id}/actions</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Validate action, revision, and idempotency key.</w:t>
            </w:r>
          </w:p>
        </w:tc>
      </w:tr>
      <w:tr>
        <w:trPr>
          <w:cantSplit/>
        </w:trPr>
        <w:tc>
          <w:tcPr>
            <w:tcW w:type="dxa" w:w="381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POST /attempts/{id}/viva</w:t>
            </w:r>
          </w:p>
        </w:tc>
        <w:tc>
          <w:tcPr>
            <w:tcW w:type="dxa" w:w="62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Store response and return evidence-linked feedback.</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GET /tasks/{id}/report</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Return measured capture and learning outcomes.</w:t>
            </w:r>
          </w:p>
        </w:tc>
      </w:tr>
    </w:tbl>
    <w:p>
      <w:pPr>
        <w:spacing w:after="0"/>
      </w:pPr>
    </w:p>
    <w:p>
      <w:pPr>
        <w:pStyle w:val="Heading2"/>
      </w:pPr>
      <w:r>
        <w:t>The simulator event contract</w:t>
      </w:r>
    </w:p>
    <w:p>
      <w:pPr>
        <w:spacing w:after="140" w:line="240" w:lineRule="auto"/>
      </w:pPr>
      <w:r>
        <w:rPr>
          <w:rFonts w:ascii="DejaVu Sans Mono" w:hAnsi="DejaVu Sans Mono"/>
          <w:sz w:val="18"/>
        </w:rPr>
        <w:t>{</w:t>
        <w:br/>
      </w:r>
      <w:r>
        <w:rPr>
          <w:rFonts w:ascii="DejaVu Sans Mono" w:hAnsi="DejaVu Sans Mono"/>
          <w:sz w:val="18"/>
        </w:rPr>
        <w:t xml:space="preserve">  "attempt_id": "attempt_01",</w:t>
        <w:br/>
      </w:r>
      <w:r>
        <w:rPr>
          <w:rFonts w:ascii="DejaVu Sans Mono" w:hAnsi="DejaVu Sans Mono"/>
          <w:sz w:val="18"/>
        </w:rPr>
        <w:t xml:space="preserve">  "expected_revision": 3,</w:t>
        <w:br/>
      </w:r>
      <w:r>
        <w:rPr>
          <w:rFonts w:ascii="DejaVu Sans Mono" w:hAnsi="DejaVu Sans Mono"/>
          <w:sz w:val="18"/>
        </w:rPr>
        <w:t xml:space="preserve">  "client_event_id": "event_unique_04",</w:t>
        <w:br/>
      </w:r>
      <w:r>
        <w:rPr>
          <w:rFonts w:ascii="DejaVu Sans Mono" w:hAnsi="DejaVu Sans Mono"/>
          <w:sz w:val="18"/>
        </w:rPr>
        <w:t xml:space="preserve">  "action_type": "request_observation",</w:t>
        <w:br/>
      </w:r>
      <w:r>
        <w:rPr>
          <w:rFonts w:ascii="DejaVu Sans Mono" w:hAnsi="DejaVu Sans Mono"/>
          <w:sz w:val="18"/>
        </w:rPr>
        <w:t xml:space="preserve">  "target_id": "housing",</w:t>
        <w:br/>
      </w:r>
      <w:r>
        <w:rPr>
          <w:rFonts w:ascii="DejaVu Sans Mono" w:hAnsi="DejaVu Sans Mono"/>
          <w:sz w:val="18"/>
        </w:rPr>
        <w:t xml:space="preserve">  "observation_id": "reviewed_check_02"</w:t>
        <w:br/>
      </w:r>
      <w:r>
        <w:rPr>
          <w:rFonts w:ascii="DejaVu Sans Mono" w:hAnsi="DejaVu Sans Mono"/>
          <w:sz w:val="18"/>
        </w:rPr>
        <w:t>}</w:t>
        <w:br/>
      </w:r>
    </w:p>
    <w:p>
      <w:r>
        <w:t>The server loads its own attempt state, validates the event, evaluates reviewed rules, and commits the event plus next revision atomically. Repeated event IDs return the previous result. The client cannot submit a trusted score, completion state, or unrestricted next-state value.</w:t>
      </w:r>
    </w:p>
    <w:p>
      <w:r>
        <w:t>All three people agree on these schemas during hours 0–2. Person B publishes example request and response fixtures. Person A and Person C can then develop against those fixtures while API implementation proceeds.</w:t>
      </w:r>
    </w:p>
    <w:p>
      <w:r>
        <w:br w:type="page"/>
      </w:r>
    </w:p>
    <w:p>
      <w:pPr>
        <w:pStyle w:val="Heading1"/>
      </w:pPr>
      <w:r>
        <w:t>9 Responsibilities across three people</w:t>
      </w:r>
    </w:p>
    <w:tbl>
      <w:tblPr>
        <w:tblW w:type="auto" w:w="0"/>
        <w:jc w:val="center"/>
        <w:tblLayout w:type="fixed"/>
        <w:tblLook w:firstColumn="1" w:firstRow="1" w:lastColumn="0" w:lastRow="0" w:noHBand="0" w:noVBand="1" w:val="04A0"/>
      </w:tblPr>
      <w:tblGrid>
        <w:gridCol w:w="936"/>
        <w:gridCol w:w="3744"/>
        <w:gridCol w:w="5400"/>
      </w:tblGrid>
      <w:tr>
        <w:trPr>
          <w:cantSplit/>
          <w:tblHeader/>
        </w:trPr>
        <w:tc>
          <w:tcPr>
            <w:tcW w:type="dxa" w:w="936"/>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b/>
                <w:color w:val="FFFFFF"/>
                <w:sz w:val="20"/>
              </w:rPr>
              <w:t>Person</w:t>
            </w:r>
          </w:p>
        </w:tc>
        <w:tc>
          <w:tcPr>
            <w:tcW w:type="dxa" w:w="3744"/>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Primary ownership</w:t>
            </w:r>
          </w:p>
        </w:tc>
        <w:tc>
          <w:tcPr>
            <w:tcW w:type="dxa" w:w="5400"/>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Completion evidence</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A</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AI knowledge pipeline and Expert Studio</w:t>
            </w:r>
          </w:p>
        </w:tc>
        <w:tc>
          <w:tcPr>
            <w:tcW w:type="dxa" w:w="54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Real media produces a draft; genuine expert response becomes reviewed evidence; grounded answers work.</w:t>
            </w:r>
          </w:p>
        </w:tc>
      </w:tr>
      <w:tr>
        <w:trPr>
          <w:cantSplit/>
        </w:trPr>
        <w:tc>
          <w:tcPr>
            <w:tcW w:type="dxa" w:w="93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B</w:t>
            </w:r>
          </w:p>
        </w:tc>
        <w:tc>
          <w:tcPr>
            <w:tcW w:type="dxa" w:w="374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Backend platform and rule engine</w:t>
            </w:r>
          </w:p>
        </w:tc>
        <w:tc>
          <w:tcPr>
            <w:tcW w:type="dxa" w:w="540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Permissions, persistence, releases, scenario transitions, attempts, deployment, and recovery work.</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C</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Apprentice interface and 3D playground</w:t>
            </w:r>
          </w:p>
        </w:tc>
        <w:tc>
          <w:tcPr>
            <w:tcW w:type="dxa" w:w="54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Learner can study, inspect, request information, complete practice, answer the viva, and open evidence.</w:t>
            </w:r>
          </w:p>
        </w:tc>
      </w:tr>
    </w:tbl>
    <w:p>
      <w:pPr>
        <w:spacing w:after="0"/>
      </w:pPr>
    </w:p>
    <w:p>
      <w:pPr>
        <w:pStyle w:val="Heading2"/>
      </w:pPr>
      <w:r>
        <w:t>Person A deliverables</w:t>
      </w:r>
    </w:p>
    <w:p>
      <w:pPr>
        <w:pStyle w:val="ListBullet"/>
      </w:pPr>
      <w:r>
        <w:t>Own model adapters, structured extraction, gap detection, clarification prompts, embeddings, retrieval, and answer validation.</w:t>
      </w:r>
    </w:p>
    <w:p>
      <w:pPr>
        <w:pStyle w:val="ListBullet"/>
      </w:pPr>
      <w:r>
        <w:t>Build the Expert Studio upload, review, and evidence components using the shared UI shell.</w:t>
      </w:r>
    </w:p>
    <w:p>
      <w:pPr>
        <w:pStyle w:val="ListBullet"/>
      </w:pPr>
      <w:r>
        <w:t>Coordinate expert input and draft the scenario rubric and viva question bank. Review content with the instructor.</w:t>
      </w:r>
    </w:p>
    <w:p>
      <w:pPr>
        <w:pStyle w:val="ListBullet"/>
      </w:pPr>
      <w:r>
        <w:t>Own grounding evaluation, capture coverage, and the distinction between model drafts and expert statements.</w:t>
      </w:r>
    </w:p>
    <w:p>
      <w:pPr>
        <w:pStyle w:val="Heading2"/>
      </w:pPr>
      <w:r>
        <w:t>Person B deliverables</w:t>
      </w:r>
    </w:p>
    <w:p>
      <w:pPr>
        <w:pStyle w:val="ListBullet"/>
      </w:pPr>
      <w:r>
        <w:t>Own schema, migrations, role enforcement, media authorization, Redis/RQ jobs, and revision conflicts.</w:t>
      </w:r>
    </w:p>
    <w:p>
      <w:pPr>
        <w:pStyle w:val="ListBullet"/>
      </w:pPr>
      <w:r>
        <w:t>Implement knowledge and scenario release rules, server-side transitions, idempotent attempts, and scoring.</w:t>
      </w:r>
    </w:p>
    <w:p>
      <w:pPr>
        <w:pStyle w:val="ListBullet"/>
      </w:pPr>
      <w:r>
        <w:t>Provide API fixtures early; own deployment, logs, reset data, retries, and access/isolation tests.</w:t>
      </w:r>
    </w:p>
    <w:p>
      <w:pPr>
        <w:pStyle w:val="Heading2"/>
      </w:pPr>
      <w:r>
        <w:t>Person C deliverables</w:t>
      </w:r>
    </w:p>
    <w:p>
      <w:pPr>
        <w:pStyle w:val="ListBullet"/>
      </w:pPr>
      <w:r>
        <w:t>Own navigation, apprentice lesson view, player seeking, approved-content Q&amp;A interface, and responsive behavior.</w:t>
      </w:r>
    </w:p>
    <w:p>
      <w:pPr>
        <w:pStyle w:val="ListBullet"/>
      </w:pPr>
      <w:r>
        <w:t>Build one 3D scene, component selection, inspection interactions, observation panels, and server-driven animations.</w:t>
      </w:r>
    </w:p>
    <w:p>
      <w:pPr>
        <w:pStyle w:val="ListBullet"/>
      </w:pPr>
      <w:r>
        <w:t>Build technical-viva input, evidence-linked feedback, learner report, and the labeled 2D fallback.</w:t>
      </w:r>
    </w:p>
    <w:p>
      <w:pPr>
        <w:pStyle w:val="Heading2"/>
      </w:pPr>
      <w:r>
        <w:t>Shared responsibilities</w:t>
      </w:r>
    </w:p>
    <w:p>
      <w:r>
        <w:t>A and B agree on evidence and release contracts. B and C agree on simulator events. A and C map decisions to source-backed feedback. All three run an integrated checkpoint every four hours and review the final demo claims. The expert supplies domain approval; no teammate role automatically establishes industrial expertise.</w:t>
      </w:r>
    </w:p>
    <w:p>
      <w:r>
        <w:br w:type="page"/>
      </w:r>
    </w:p>
    <w:p>
      <w:pPr>
        <w:pStyle w:val="Heading1"/>
      </w:pPr>
      <w:r>
        <w:t>10 Roadmap for a 36 hour build</w:t>
      </w:r>
    </w:p>
    <w:tbl>
      <w:tblPr>
        <w:tblW w:type="auto" w:w="0"/>
        <w:jc w:val="center"/>
        <w:tblLayout w:type="fixed"/>
        <w:tblLook w:firstColumn="1" w:firstRow="1" w:lastColumn="0" w:lastRow="0" w:noHBand="0" w:noVBand="1" w:val="04A0"/>
      </w:tblPr>
      <w:tblGrid>
        <w:gridCol w:w="936"/>
        <w:gridCol w:w="3053"/>
        <w:gridCol w:w="3053"/>
        <w:gridCol w:w="3038"/>
      </w:tblGrid>
      <w:tr>
        <w:trPr>
          <w:cantSplit/>
          <w:tblHeader/>
        </w:trPr>
        <w:tc>
          <w:tcPr>
            <w:tcW w:type="dxa" w:w="936"/>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b/>
                <w:color w:val="FFFFFF"/>
                <w:sz w:val="20"/>
              </w:rPr>
              <w:t>Hours</w:t>
            </w:r>
          </w:p>
        </w:tc>
        <w:tc>
          <w:tcPr>
            <w:tcW w:type="dxa" w:w="3053"/>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Person A</w:t>
            </w:r>
          </w:p>
        </w:tc>
        <w:tc>
          <w:tcPr>
            <w:tcW w:type="dxa" w:w="3053"/>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Person B</w:t>
            </w:r>
          </w:p>
        </w:tc>
        <w:tc>
          <w:tcPr>
            <w:tcW w:type="dxa" w:w="3038"/>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Person C</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0–2</w:t>
            </w:r>
          </w:p>
        </w:tc>
        <w:tc>
          <w:tcPr>
            <w:tcW w:type="dxa" w:w="30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Expert/task, sample extraction, shared contracts</w:t>
            </w:r>
          </w:p>
        </w:tc>
        <w:tc>
          <w:tcPr>
            <w:tcW w:type="dxa" w:w="30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Schema, endpoint fixtures, auth skeleton</w:t>
            </w:r>
          </w:p>
        </w:tc>
        <w:tc>
          <w:tcPr>
            <w:tcW w:type="dxa" w:w="303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Wireflow, renderer spike, primitive scene</w:t>
            </w:r>
          </w:p>
        </w:tc>
      </w:tr>
      <w:tr>
        <w:trPr>
          <w:cantSplit/>
        </w:trPr>
        <w:tc>
          <w:tcPr>
            <w:tcW w:type="dxa" w:w="93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2–6</w:t>
            </w:r>
          </w:p>
        </w:tc>
        <w:tc>
          <w:tcPr>
            <w:tcW w:type="dxa" w:w="3053"/>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Draft extraction and Expert Studio shell</w:t>
            </w:r>
          </w:p>
        </w:tc>
        <w:tc>
          <w:tcPr>
            <w:tcW w:type="dxa" w:w="3053"/>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Media, jobs, task/draft persistence</w:t>
            </w:r>
          </w:p>
        </w:tc>
        <w:tc>
          <w:tcPr>
            <w:tcW w:type="dxa" w:w="303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Learner shell, player, scene selection</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6–10</w:t>
            </w:r>
          </w:p>
        </w:tc>
        <w:tc>
          <w:tcPr>
            <w:tcW w:type="dxa" w:w="30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Gap questions and expert responses</w:t>
            </w:r>
          </w:p>
        </w:tc>
        <w:tc>
          <w:tcPr>
            <w:tcW w:type="dxa" w:w="30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Evidence APIs and revision checks</w:t>
            </w:r>
          </w:p>
        </w:tc>
        <w:tc>
          <w:tcPr>
            <w:tcW w:type="dxa" w:w="303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Inspection actions and observation panel</w:t>
            </w:r>
          </w:p>
        </w:tc>
      </w:tr>
      <w:tr>
        <w:trPr>
          <w:cantSplit/>
        </w:trPr>
        <w:tc>
          <w:tcPr>
            <w:tcW w:type="dxa" w:w="93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10–16</w:t>
            </w:r>
          </w:p>
        </w:tc>
        <w:tc>
          <w:tcPr>
            <w:tcW w:type="dxa" w:w="3053"/>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Review UI, approved retrieval, grounded Q&amp;A</w:t>
            </w:r>
          </w:p>
        </w:tc>
        <w:tc>
          <w:tcPr>
            <w:tcW w:type="dxa" w:w="3053"/>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Knowledge/scenario approval and attempts</w:t>
            </w:r>
          </w:p>
        </w:tc>
        <w:tc>
          <w:tcPr>
            <w:tcW w:type="dxa" w:w="303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Bind playground to real API state</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16–22</w:t>
            </w:r>
          </w:p>
        </w:tc>
        <w:tc>
          <w:tcPr>
            <w:tcW w:type="dxa" w:w="30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Viva questions and expert-reviewed branches</w:t>
            </w:r>
          </w:p>
        </w:tc>
        <w:tc>
          <w:tcPr>
            <w:tcW w:type="dxa" w:w="30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Scoring, action idempotency, viva storage</w:t>
            </w:r>
          </w:p>
        </w:tc>
        <w:tc>
          <w:tcPr>
            <w:tcW w:type="dxa" w:w="303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Viva UI, feedback, evidence replay</w:t>
            </w:r>
          </w:p>
        </w:tc>
      </w:tr>
      <w:tr>
        <w:trPr>
          <w:cantSplit/>
        </w:trPr>
        <w:tc>
          <w:tcPr>
            <w:tcW w:type="dxa" w:w="93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22–26</w:t>
            </w:r>
          </w:p>
        </w:tc>
        <w:tc>
          <w:tcPr>
            <w:tcW w:type="dxa" w:w="3053"/>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Grounding and capture evaluation</w:t>
            </w:r>
          </w:p>
        </w:tc>
        <w:tc>
          <w:tcPr>
            <w:tcW w:type="dxa" w:w="3053"/>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Isolation and release tests; reports</w:t>
            </w:r>
          </w:p>
        </w:tc>
        <w:tc>
          <w:tcPr>
            <w:tcW w:type="dxa" w:w="303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Usability tests and 2D fallback</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26–30</w:t>
            </w:r>
          </w:p>
        </w:tc>
        <w:tc>
          <w:tcPr>
            <w:tcW w:type="dxa" w:w="30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Fix extraction and content defects</w:t>
            </w:r>
          </w:p>
        </w:tc>
        <w:tc>
          <w:tcPr>
            <w:tcW w:type="dxa" w:w="30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Deployment, media, worker recovery</w:t>
            </w:r>
          </w:p>
        </w:tc>
        <w:tc>
          <w:tcPr>
            <w:tcW w:type="dxa" w:w="303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Deployed interaction and playback checks</w:t>
            </w:r>
          </w:p>
        </w:tc>
      </w:tr>
      <w:tr>
        <w:trPr>
          <w:cantSplit/>
        </w:trPr>
        <w:tc>
          <w:tcPr>
            <w:tcW w:type="dxa" w:w="93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30–36</w:t>
            </w:r>
          </w:p>
        </w:tc>
        <w:tc>
          <w:tcPr>
            <w:tcW w:type="dxa" w:w="3053"/>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Freeze prompts; verify claims</w:t>
            </w:r>
          </w:p>
        </w:tc>
        <w:tc>
          <w:tcPr>
            <w:tcW w:type="dxa" w:w="3053"/>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Freeze schema; rehearse reset/recovery</w:t>
            </w:r>
          </w:p>
        </w:tc>
        <w:tc>
          <w:tcPr>
            <w:tcW w:type="dxa" w:w="303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Freeze UI; rehearse and submit</w:t>
            </w:r>
          </w:p>
        </w:tc>
      </w:tr>
    </w:tbl>
    <w:p>
      <w:pPr>
        <w:spacing w:after="0"/>
      </w:pPr>
    </w:p>
    <w:p>
      <w:pPr>
        <w:pStyle w:val="Heading2"/>
      </w:pPr>
      <w:r>
        <w:t>Checkpoints that control scope</w:t>
      </w:r>
    </w:p>
    <w:p>
      <w:r>
        <w:t>Hour 2: confirm a real expert/task and a working model sample. Hour 6: a recording must produce a stored draft. Hour 10: an expert answer must have separate provenance. Hour 16: a published pack must answer a supported question. Hour 22: one full scene attempt and viva must persist. Hour 30: stop feature work.</w:t>
      </w:r>
    </w:p>
    <w:p>
      <w:pPr>
        <w:pStyle w:val="Heading2"/>
      </w:pPr>
      <w:r>
        <w:t>If the event lasts 24 hours</w:t>
      </w:r>
    </w:p>
    <w:p>
      <w:r>
        <w:t>Keep the same end-to-end workflow, but reduce to one scenario variation and typed viva responses. Remove automatic scenario generation, speech, a general manager dashboard, and translated training unless reviewed content already exists. Use authored simple geometry. Reserve the last six hours for integration, deployment, evaluation, and rehearsal.</w:t>
      </w:r>
    </w:p>
    <w:p>
      <w:pPr>
        <w:pStyle w:val="Heading2"/>
      </w:pPr>
      <w:r>
        <w:t>The first cuts if a checkpoint fails</w:t>
      </w:r>
    </w:p>
    <w:p>
      <w:r>
        <w:t>Cut visual polish and optional translation first. Replace free-form 3D manipulation with component selection and predefined actions. Use one manually authored, expert-approved scenario rather than waiting for automatic generation. Keep expert clarification, evidence, publication, and assessment intact.</w:t>
      </w:r>
    </w:p>
    <w:p>
      <w:r>
        <w:br w:type="page"/>
      </w:r>
    </w:p>
    <w:p>
      <w:pPr>
        <w:pStyle w:val="Heading1"/>
      </w:pPr>
      <w:r>
        <w:t>11 Evaluation and acceptance criteria</w:t>
      </w:r>
    </w:p>
    <w:p>
      <w:r>
        <w:t>Evaluate the capture pipeline, software behavior, and learner outcomes separately. Targets below are release checks for a small prototype; they are not proven results or industrial guarantees.</w:t>
      </w:r>
    </w:p>
    <w:tbl>
      <w:tblPr>
        <w:tblW w:type="auto" w:w="0"/>
        <w:jc w:val="center"/>
        <w:tblLayout w:type="fixed"/>
        <w:tblLook w:firstColumn="1" w:firstRow="1" w:lastColumn="0" w:lastRow="0" w:noHBand="0" w:noVBand="1" w:val="04A0"/>
      </w:tblPr>
      <w:tblGrid>
        <w:gridCol w:w="1800"/>
        <w:gridCol w:w="3384"/>
        <w:gridCol w:w="4896"/>
      </w:tblGrid>
      <w:tr>
        <w:trPr>
          <w:cantSplit/>
          <w:tblHeader/>
        </w:trPr>
        <w:tc>
          <w:tcPr>
            <w:tcW w:type="dxa" w:w="1800"/>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Check</w:t>
            </w:r>
          </w:p>
        </w:tc>
        <w:tc>
          <w:tcPr>
            <w:tcW w:type="dxa" w:w="3384"/>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Method</w:t>
            </w:r>
          </w:p>
        </w:tc>
        <w:tc>
          <w:tcPr>
            <w:tcW w:type="dxa" w:w="4896"/>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Acceptance target</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Evidence validity</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Fixed supported Q&amp;A set</w:t>
            </w:r>
          </w:p>
        </w:tc>
        <w:tc>
          <w:tcPr>
            <w:tcW w:type="dxa" w:w="48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Every returned ID and interval exists and is in scope</w:t>
            </w:r>
          </w:p>
        </w:tc>
      </w:tr>
      <w:tr>
        <w:trPr>
          <w:cantSplit/>
        </w:trPr>
        <w:tc>
          <w:tcPr>
            <w:tcW w:type="dxa" w:w="180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Evidence support</w:t>
            </w:r>
          </w:p>
        </w:tc>
        <w:tc>
          <w:tcPr>
            <w:tcW w:type="dxa" w:w="338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Expert checks actual claim/source pairs</w:t>
            </w:r>
          </w:p>
        </w:tc>
        <w:tc>
          <w:tcPr>
            <w:tcW w:type="dxa" w:w="489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At least 9 of 10 answers supported; critical defects resolved</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Missing knowledge</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Five unsupported questions</w:t>
            </w:r>
          </w:p>
        </w:tc>
        <w:tc>
          <w:tcPr>
            <w:tcW w:type="dxa" w:w="48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Abstain on all five</w:t>
            </w:r>
          </w:p>
        </w:tc>
      </w:tr>
      <w:tr>
        <w:trPr>
          <w:cantSplit/>
        </w:trPr>
        <w:tc>
          <w:tcPr>
            <w:tcW w:type="dxa" w:w="180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Release isolation</w:t>
            </w:r>
          </w:p>
        </w:tc>
        <w:tc>
          <w:tcPr>
            <w:tcW w:type="dxa" w:w="338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Draft, stale, and other-task fixtures</w:t>
            </w:r>
          </w:p>
        </w:tc>
        <w:tc>
          <w:tcPr>
            <w:tcW w:type="dxa" w:w="489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No unauthorized material in learner answers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Simulation integrity</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Replay, duplicate, invalid and stale events</w:t>
            </w:r>
          </w:p>
        </w:tc>
        <w:tc>
          <w:tcPr>
            <w:tcW w:type="dxa" w:w="48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No double scoring or client-forged completion</w:t>
            </w:r>
          </w:p>
        </w:tc>
      </w:tr>
      <w:tr>
        <w:trPr>
          <w:cantSplit/>
        </w:trPr>
        <w:tc>
          <w:tcPr>
            <w:tcW w:type="dxa" w:w="180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Learning transfer</w:t>
            </w:r>
          </w:p>
        </w:tc>
        <w:tc>
          <w:tcPr>
            <w:tcW w:type="dxa" w:w="338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Different reviewed scenario after training</w:t>
            </w:r>
          </w:p>
        </w:tc>
        <w:tc>
          <w:tcPr>
            <w:tcW w:type="dxa" w:w="489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Report actual decisions, evidence requests and errors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Practical skill</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Instructor observes physical performance</w:t>
            </w:r>
          </w:p>
        </w:tc>
        <w:tc>
          <w:tcPr>
            <w:tcW w:type="dxa" w:w="48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Report separately from browser/viva scores</w:t>
            </w:r>
          </w:p>
        </w:tc>
      </w:tr>
    </w:tbl>
    <w:p>
      <w:pPr>
        <w:spacing w:after="0"/>
      </w:pPr>
    </w:p>
    <w:p>
      <w:pPr>
        <w:pStyle w:val="Heading2"/>
      </w:pPr>
      <w:r>
        <w:t>Capture quality</w:t>
      </w:r>
    </w:p>
    <w:p>
      <w:r>
        <w:t>Ask the expert to list important decisions before tuning the pipeline. Report how many are accurately represented before and after clarification, accepted new explanations, rejected model suggestions, interview time, and review time. Filled fields alone do not establish complete knowledge capture.</w:t>
      </w:r>
    </w:p>
    <w:p>
      <w:pPr>
        <w:pStyle w:val="Heading2"/>
      </w:pPr>
      <w:r>
        <w:t>A small learning pilot</w:t>
      </w:r>
    </w:p>
    <w:p>
      <w:r>
        <w:t>If feasible, recruit six to ten novices and compare the ordinary video/step guide with the reasoning-rich pack using matched unseen variations. Counterbalance forms and order where possible. Keep exposure comparable. Report participant counts and individual results; a small pilot does not establish causal factory productivity gains.</w:t>
      </w:r>
    </w:p>
    <w:p>
      <w:pPr>
        <w:pStyle w:val="Heading2"/>
      </w:pPr>
      <w:r>
        <w:t>Definition of done</w:t>
      </w:r>
    </w:p>
    <w:p>
      <w:pPr>
        <w:pStyle w:val="ListBullet"/>
      </w:pPr>
      <w:r>
        <w:t>Real source material produces a draft and a genuine expert response changes the approved pack.</w:t>
      </w:r>
    </w:p>
    <w:p>
      <w:pPr>
        <w:pStyle w:val="ListBullet"/>
      </w:pPr>
      <w:r>
        <w:t>Learner completes a server-scored scenario and technical viva with evidence playback.</w:t>
      </w:r>
    </w:p>
    <w:p>
      <w:pPr>
        <w:pStyle w:val="ListBullet"/>
      </w:pPr>
      <w:r>
        <w:t>Unsupported questions, stale releases, duplicate events, and prohibited publication are handled correctly.</w:t>
      </w:r>
    </w:p>
    <w:p>
      <w:pPr>
        <w:pStyle w:val="ListBullet"/>
      </w:pPr>
      <w:r>
        <w:t>The deployed upload, worker, media seeking, reset, and fallback work in rehearsal.</w:t>
      </w:r>
    </w:p>
    <w:p>
      <w:pPr>
        <w:pStyle w:val="ListBullet"/>
      </w:pPr>
      <w:r>
        <w:t>All reported timings and results come from logs or recorded evaluation; illustrations are labeled.</w:t>
      </w:r>
    </w:p>
    <w:p>
      <w:r>
        <w:br w:type="page"/>
      </w:r>
    </w:p>
    <w:p>
      <w:pPr>
        <w:pStyle w:val="Heading1"/>
      </w:pPr>
      <w:r>
        <w:t>12 Deployment and operational safeguards</w:t>
      </w:r>
    </w:p>
    <w:p>
      <w:pPr>
        <w:pStyle w:val="Heading2"/>
      </w:pPr>
      <w:r>
        <w:t>Deploy the minimum working topology</w:t>
      </w:r>
    </w:p>
    <w:p>
      <w:r>
        <w:t>Deploy the Next.js frontend, FastAPI API, a sustained Python worker, PostgreSQL, Redis, and private object storage. FastAPI background tasks are suitable for small work; video and model processing belong in a worker with durable stage records. RQ documents retries and failed-job handling. [7, 8]</w:t>
      </w:r>
    </w:p>
    <w:p>
      <w:r>
        <w:t>Keep model keys on the server. Authenticate APIs and derive organization/role from the session. Serve media through short-lived authorized access; test CORS, browser seeking, and range requests on the final deployment. Store checksum, model ID, prompt version, stage timing, and release version in logs.</w:t>
      </w:r>
    </w:p>
    <w:p>
      <w:pPr>
        <w:pStyle w:val="Heading2"/>
      </w:pPr>
      <w:r>
        <w:t>Failures and recovery</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Failure</w:t>
            </w:r>
          </w:p>
        </w:tc>
        <w:tc>
          <w:tcPr>
            <w:tcW w:type="dxa" w:w="7704"/>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Expected behavior</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Provider timeout or quota</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Preserve the input and stage; bounded retry or explicit failure.</w:t>
            </w:r>
          </w:p>
        </w:tc>
      </w:tr>
      <w:tr>
        <w:trPr>
          <w:cantSplit/>
        </w:trPr>
        <w:tc>
          <w:tcPr>
            <w:tcW w:type="dxa" w:w="237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Invalid model output</w:t>
            </w:r>
          </w:p>
        </w:tc>
        <w:tc>
          <w:tcPr>
            <w:tcW w:type="dxa" w:w="770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Reject the draft; retain diagnostic details and permit correction.</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Media unavailable</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Show a recoverable error; never fabricate supporting evidence.</w:t>
            </w:r>
          </w:p>
        </w:tc>
      </w:tr>
      <w:tr>
        <w:trPr>
          <w:cantSplit/>
        </w:trPr>
        <w:tc>
          <w:tcPr>
            <w:tcW w:type="dxa" w:w="237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3D not supported</w:t>
            </w:r>
          </w:p>
        </w:tc>
        <w:tc>
          <w:tcPr>
            <w:tcW w:type="dxa" w:w="770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Use the equivalent labeled 2D scenario with the same server rules.</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Knowledge changed</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Review dependent scenario before activating it for the new release.</w:t>
            </w:r>
          </w:p>
        </w:tc>
      </w:tr>
      <w:tr>
        <w:trPr>
          <w:cantSplit/>
        </w:trPr>
        <w:tc>
          <w:tcPr>
            <w:tcW w:type="dxa" w:w="237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Venue connectivity fails</w:t>
            </w:r>
          </w:p>
        </w:tc>
        <w:tc>
          <w:tcPr>
            <w:tcW w:type="dxa" w:w="770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Use a clearly labeled prior-run recording and approved static pack.</w:t>
            </w:r>
          </w:p>
        </w:tc>
      </w:tr>
    </w:tbl>
    <w:p>
      <w:pPr>
        <w:spacing w:after="0"/>
      </w:pPr>
    </w:p>
    <w:p>
      <w:pPr>
        <w:pStyle w:val="Heading2"/>
      </w:pPr>
      <w:r>
        <w:t>Knowledge ownership and review</w:t>
      </w:r>
    </w:p>
    <w:p>
      <w:r>
        <w:t>Record expert consent and the organization’s authority to use uploaded material. Keep each company’s data private and maintain reviewer attribution. Do not assume that provider retention or model-training settings meet a factory’s requirements; verify the selected service terms for a real pilot.</w:t>
      </w:r>
    </w:p>
    <w:p>
      <w:r>
        <w:t>Treat uploaded instructions as data rather than commands to the model or application. An uploaded document cannot change access permissions, publish a release, or override the approved task scope.</w:t>
      </w:r>
    </w:p>
    <w:p>
      <w:pPr>
        <w:pStyle w:val="Heading2"/>
      </w:pPr>
      <w:r>
        <w:t>Measure the operating cost</w:t>
      </w:r>
    </w:p>
    <w:p>
      <w:r>
        <w:t>Track model input/output usage, extraction retries, embeddings, storage, bandwidth, and human review time. Reuse approved scenarios across learners. Report measured cost per approved task pack and per learner attempt instead of guessing a subscription margin.</w:t>
      </w:r>
    </w:p>
    <w:p>
      <w:r>
        <w:br w:type="page"/>
      </w:r>
    </w:p>
    <w:p>
      <w:pPr>
        <w:pStyle w:val="Heading1"/>
      </w:pPr>
      <w:r>
        <w:t>13 Demonstration and product expansion</w:t>
      </w:r>
    </w:p>
    <w:p>
      <w:pPr>
        <w:pStyle w:val="Heading2"/>
      </w:pPr>
      <w:r>
        <w:t>Four minute demonstration</w:t>
      </w:r>
    </w:p>
    <w:tbl>
      <w:tblPr>
        <w:tblW w:type="auto" w:w="0"/>
        <w:jc w:val="center"/>
        <w:tblLayout w:type="fixed"/>
        <w:tblLook w:firstColumn="1" w:firstRow="1" w:lastColumn="0" w:lastRow="0" w:noHBand="0" w:noVBand="1" w:val="04A0"/>
      </w:tblPr>
      <w:tblGrid>
        <w:gridCol w:w="1296"/>
        <w:gridCol w:w="5256"/>
        <w:gridCol w:w="3528"/>
      </w:tblGrid>
      <w:tr>
        <w:trPr>
          <w:cantSplit/>
          <w:tblHeader/>
        </w:trPr>
        <w:tc>
          <w:tcPr>
            <w:tcW w:type="dxa" w:w="1296"/>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b/>
                <w:color w:val="FFFFFF"/>
                <w:sz w:val="20"/>
              </w:rPr>
              <w:t>Time</w:t>
            </w:r>
          </w:p>
        </w:tc>
        <w:tc>
          <w:tcPr>
            <w:tcW w:type="dxa" w:w="5256"/>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Show</w:t>
            </w:r>
          </w:p>
        </w:tc>
        <w:tc>
          <w:tcPr>
            <w:tcW w:type="dxa" w:w="3528"/>
            <w:vAlign w:val="center"/>
            <w:shd w:fill="293D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b/>
                <w:color w:val="FFFFFF"/>
                <w:sz w:val="20"/>
              </w:rPr>
              <w:t>Evidence of value</w:t>
            </w:r>
          </w:p>
        </w:tc>
      </w:tr>
      <w:tr>
        <w:trPr>
          <w:cantSplit/>
        </w:trPr>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0:00–0:30</w:t>
            </w:r>
          </w:p>
        </w:tc>
        <w:tc>
          <w:tcPr>
            <w:tcW w:type="dxa" w:w="52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Task, expert, and a genuine explanation gap</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Industrial relevance</w:t>
            </w:r>
          </w:p>
        </w:tc>
      </w:tr>
      <w:tr>
        <w:trPr>
          <w:cantSplit/>
        </w:trPr>
        <w:tc>
          <w:tcPr>
            <w:tcW w:type="dxa" w:w="129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0:30–1:20</w:t>
            </w:r>
          </w:p>
        </w:tc>
        <w:tc>
          <w:tcPr>
            <w:tcW w:type="dxa" w:w="525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Source-linked draft and live clarification</w:t>
            </w:r>
          </w:p>
        </w:tc>
        <w:tc>
          <w:tcPr>
            <w:tcW w:type="dxa" w:w="352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New reasoning acquired</w:t>
            </w:r>
          </w:p>
        </w:tc>
      </w:tr>
      <w:tr>
        <w:trPr>
          <w:cantSplit/>
        </w:trPr>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1:20–1:45</w:t>
            </w:r>
          </w:p>
        </w:tc>
        <w:tc>
          <w:tcPr>
            <w:tcW w:type="dxa" w:w="52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Human approval and publication</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Controlled knowledge release</w:t>
            </w:r>
          </w:p>
        </w:tc>
      </w:tr>
      <w:tr>
        <w:trPr>
          <w:cantSplit/>
        </w:trPr>
        <w:tc>
          <w:tcPr>
            <w:tcW w:type="dxa" w:w="129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1:45–2:45</w:t>
            </w:r>
          </w:p>
        </w:tc>
        <w:tc>
          <w:tcPr>
            <w:tcW w:type="dxa" w:w="525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Learner playground and changed observation</w:t>
            </w:r>
          </w:p>
        </w:tc>
        <w:tc>
          <w:tcPr>
            <w:tcW w:type="dxa" w:w="352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Application beyond recall</w:t>
            </w:r>
          </w:p>
        </w:tc>
      </w:tr>
      <w:tr>
        <w:trPr>
          <w:cantSplit/>
        </w:trPr>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2:45–3:15</w:t>
            </w:r>
          </w:p>
        </w:tc>
        <w:tc>
          <w:tcPr>
            <w:tcW w:type="dxa" w:w="52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Viva feedback opening source evidence</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Traceable assessment</w:t>
            </w:r>
          </w:p>
        </w:tc>
      </w:tr>
      <w:tr>
        <w:trPr>
          <w:cantSplit/>
        </w:trPr>
        <w:tc>
          <w:tcPr>
            <w:tcW w:type="dxa" w:w="129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3:15–3:35</w:t>
            </w:r>
          </w:p>
        </w:tc>
        <w:tc>
          <w:tcPr>
            <w:tcW w:type="dxa" w:w="525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Unsupported specification question</w:t>
            </w:r>
          </w:p>
        </w:tc>
        <w:tc>
          <w:tcPr>
            <w:tcW w:type="dxa" w:w="352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Recognition of knowledge limits</w:t>
            </w:r>
          </w:p>
        </w:tc>
      </w:tr>
      <w:tr>
        <w:trPr>
          <w:cantSplit/>
        </w:trPr>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jc w:val="center"/>
            </w:pPr>
            <w:r>
              <w:rPr>
                <w:sz w:val="20"/>
              </w:rPr>
              <w:t>3:35–4:00</w:t>
            </w:r>
          </w:p>
        </w:tc>
        <w:tc>
          <w:tcPr>
            <w:tcW w:type="dxa" w:w="52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Measured results and SME pilot plan</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20" w:line="247" w:lineRule="auto"/>
            </w:pPr>
            <w:r>
              <w:rPr>
                <w:sz w:val="20"/>
              </w:rPr>
              <w:t>Feasibility and impact</w:t>
            </w:r>
          </w:p>
        </w:tc>
      </w:tr>
    </w:tbl>
    <w:p>
      <w:pPr>
        <w:spacing w:after="0"/>
      </w:pPr>
    </w:p>
    <w:p>
      <w:r>
        <w:t>Begin with a previously processed clip if ingestion takes too long, and state that clearly. The expert response, approval, and attempt should genuinely execute if described as live. Keep a clean reset and run three rehearsals.</w:t>
      </w:r>
    </w:p>
    <w:p>
      <w:pPr>
        <w:pStyle w:val="Heading2"/>
      </w:pPr>
      <w:r>
        <w:t>Business entry</w:t>
      </w:r>
    </w:p>
    <w:p>
      <w:r>
        <w:t>Start with an assisted capture pilot for a manufacturing SME or technical training center: a few high-priority tasks, reviewed terminology, and supervised apprentice sessions. Potential pricing is a setup/capture fee plus a site or active-task subscription. Validate willingness to pay and review effort before setting prices.</w:t>
      </w:r>
    </w:p>
    <w:p>
      <w:pPr>
        <w:pStyle w:val="Heading2"/>
      </w:pPr>
      <w:r>
        <w:t>AR and VR roadmap</w:t>
      </w:r>
    </w:p>
    <w:p>
      <w:r>
        <w:t>After the browser loop works, expose the same task releases, scene mappings, event contracts, and scoring rules through other interfaces. AR can overlay approved guidance on real components; VR can support spatial rehearsal. Both require authored assets, hardware testing, and task-specific validation.</w:t>
      </w:r>
    </w:p>
    <w:p>
      <w:r>
        <w:t>An immersive client still needs its own tracking, interaction, alignment, and accessibility work. Reusing backend rules does not make the browser scene automatically VR-ready. Unity’s XR Interaction Toolkit is an option for future interaction development, not an industrial physics or learning-validation engine. [9]</w:t>
      </w:r>
    </w:p>
    <w:p>
      <w:r>
        <w:t>Add a headset demonstration only after the core workflow passes its tests and a teammate has the necessary hardware and experience. Preserve browser access for adoption and judging.</w:t>
      </w:r>
    </w:p>
    <w:p>
      <w:r>
        <w:br w:type="page"/>
      </w:r>
    </w:p>
    <w:p>
      <w:pPr>
        <w:pStyle w:val="Heading1"/>
      </w:pPr>
      <w:r>
        <w:t>14 Research basis and implementation references</w:t>
      </w:r>
    </w:p>
    <w:p>
      <w:r>
        <w:t>The challenge scope and judging weights come from the supplied JETRO PS 03 brief. The architecture, responsibilities, schedule, and acceptance targets are implementation decisions. No vendor capability or research result is presented as a measured outcome of Takumi.</w:t>
      </w:r>
    </w:p>
    <w:p>
      <w:pPr>
        <w:pStyle w:val="Heading2"/>
      </w:pPr>
      <w:r>
        <w:t>Why the differentiation must be specific</w:t>
      </w:r>
    </w:p>
    <w:p>
      <w:r>
        <w:t>Dozuki already describes video-to-guide conversion, multilingual transformation, knowledge checks, and visual verification. Takumi’s demonstration should therefore focus on acquiring a missing explanation from an expert and tracing its use in practice. This comparison does not prove that competitors lack interview functionality. [10]</w:t>
      </w:r>
    </w:p>
    <w:p>
      <w:r>
        <w:t>Applied Cognitive Task Analysis provides a research basis for eliciting cognitive demands and translating them into training inputs. The proposed interview is inspired by that approach; the automated adaptation still requires validation. [11]</w:t>
      </w:r>
    </w:p>
    <w:p>
      <w:pPr>
        <w:pStyle w:val="Heading2"/>
      </w:pPr>
      <w:r>
        <w:t>References</w:t>
      </w:r>
    </w:p>
    <w:p>
      <w:pPr>
        <w:spacing w:after="140"/>
      </w:pPr>
      <w:r>
        <w:rPr>
          <w:b/>
          <w:sz w:val="20"/>
        </w:rPr>
        <w:t>[1] React Three Fiber introduction</w:t>
        <w:br/>
      </w:r>
      <w:r>
        <w:rPr>
          <w:sz w:val="18"/>
        </w:rPr>
        <w:t>https://r3f.docs.pmnd.rs/getting-started/introduction</w:t>
      </w:r>
    </w:p>
    <w:p>
      <w:pPr>
        <w:spacing w:after="140"/>
      </w:pPr>
      <w:r>
        <w:rPr>
          <w:b/>
          <w:sz w:val="20"/>
        </w:rPr>
        <w:t>[2] Google Gemini video understanding</w:t>
        <w:br/>
      </w:r>
      <w:r>
        <w:rPr>
          <w:sz w:val="18"/>
        </w:rPr>
        <w:t>https://ai.google.dev/gemini-api/docs/video-understanding</w:t>
      </w:r>
    </w:p>
    <w:p>
      <w:pPr>
        <w:spacing w:after="140"/>
      </w:pPr>
      <w:r>
        <w:rPr>
          <w:b/>
          <w:sz w:val="20"/>
        </w:rPr>
        <w:t>[3] Google Gemini structured outputs</w:t>
        <w:br/>
      </w:r>
      <w:r>
        <w:rPr>
          <w:sz w:val="18"/>
        </w:rPr>
        <w:t>https://ai.google.dev/gemini-api/docs/structured-output</w:t>
      </w:r>
    </w:p>
    <w:p>
      <w:pPr>
        <w:spacing w:after="140"/>
      </w:pPr>
      <w:r>
        <w:rPr>
          <w:b/>
          <w:sz w:val="20"/>
        </w:rPr>
        <w:t>[4] pgvector official repository</w:t>
        <w:br/>
      </w:r>
      <w:r>
        <w:rPr>
          <w:sz w:val="18"/>
        </w:rPr>
        <w:t>https://github.com/pgvector/pgvector</w:t>
      </w:r>
    </w:p>
    <w:p>
      <w:pPr>
        <w:spacing w:after="140"/>
      </w:pPr>
      <w:r>
        <w:rPr>
          <w:b/>
          <w:sz w:val="20"/>
        </w:rPr>
        <w:t>[5] Shen and colleagues 2021 assembly training transfer study</w:t>
        <w:br/>
      </w:r>
      <w:r>
        <w:rPr>
          <w:sz w:val="18"/>
        </w:rPr>
        <w:t>https://doi.org/10.3389/frvir.2021.597487</w:t>
      </w:r>
    </w:p>
    <w:p>
      <w:pPr>
        <w:spacing w:after="140"/>
      </w:pPr>
      <w:r>
        <w:rPr>
          <w:b/>
          <w:sz w:val="20"/>
        </w:rPr>
        <w:t>[6] Carlson and colleagues 2015 Virtual Training Learning Transfer of Assembly Tasks</w:t>
        <w:br/>
      </w:r>
      <w:r>
        <w:rPr>
          <w:sz w:val="18"/>
        </w:rPr>
        <w:t>https://doi.org/10.1109/TVCG.2015.2393871</w:t>
      </w:r>
    </w:p>
    <w:p>
      <w:pPr>
        <w:spacing w:after="140"/>
      </w:pPr>
      <w:r>
        <w:rPr>
          <w:b/>
          <w:sz w:val="20"/>
        </w:rPr>
        <w:t>[7] FastAPI background tasks documentation</w:t>
        <w:br/>
      </w:r>
      <w:r>
        <w:rPr>
          <w:sz w:val="18"/>
        </w:rPr>
        <w:t>https://fastapi.tiangolo.com/tutorial/background-tasks/</w:t>
      </w:r>
    </w:p>
    <w:p>
      <w:pPr>
        <w:spacing w:after="140"/>
      </w:pPr>
      <w:r>
        <w:rPr>
          <w:b/>
          <w:sz w:val="20"/>
        </w:rPr>
        <w:t>[8] RQ jobs and retries documentation</w:t>
        <w:br/>
      </w:r>
      <w:r>
        <w:rPr>
          <w:sz w:val="18"/>
        </w:rPr>
        <w:t>https://python-rq.org/docs/exceptions/</w:t>
      </w:r>
    </w:p>
    <w:p>
      <w:pPr>
        <w:spacing w:after="140"/>
      </w:pPr>
      <w:r>
        <w:rPr>
          <w:b/>
          <w:sz w:val="20"/>
        </w:rPr>
        <w:t>[9] Unity XR Interaction Toolkit documentation</w:t>
        <w:br/>
      </w:r>
      <w:r>
        <w:rPr>
          <w:sz w:val="18"/>
        </w:rPr>
        <w:t>https://docs.unity.com/en-us/engine/6000.0/manual/packages-list/packages-all/pack-safe/com-unity-xr-interaction-toolkit</w:t>
      </w:r>
    </w:p>
    <w:p>
      <w:pPr>
        <w:spacing w:after="140"/>
      </w:pPr>
      <w:r>
        <w:rPr>
          <w:b/>
          <w:sz w:val="20"/>
        </w:rPr>
        <w:t>[10] Dozuki Forge AI official product description</w:t>
        <w:br/>
      </w:r>
      <w:r>
        <w:rPr>
          <w:sz w:val="18"/>
        </w:rPr>
        <w:t>https://www.dozuki.com/ai</w:t>
      </w:r>
    </w:p>
    <w:p>
      <w:pPr>
        <w:spacing w:after="140"/>
      </w:pPr>
      <w:r>
        <w:rPr>
          <w:b/>
          <w:sz w:val="20"/>
        </w:rPr>
        <w:t>[11] Militello and Hutton 1998 Applied Cognitive Task Analysis</w:t>
        <w:br/>
      </w:r>
      <w:r>
        <w:rPr>
          <w:sz w:val="18"/>
        </w:rPr>
        <w:t>https://doi.org/10.1080/001401398186108</w:t>
      </w:r>
    </w:p>
    <w:p>
      <w:r>
        <w:t>Research and documentation reviewed 24 October 2026. Check actual model availability, tested library compatibility, event rules, and domain review before implementation.</w:t>
      </w:r>
    </w:p>
    <w:sectPr w:rsidR="00FC693F" w:rsidRPr="0006063C" w:rsidSect="00034616">
      <w:footerReference w:type="default" r:id="rId9"/>
      <w:pgSz w:w="12240" w:h="15840"/>
      <w:pgMar w:top="979" w:right="1080" w:bottom="950"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 xml:space="preserve">Takumi implementation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00" w:hanging="300"/>
      </w:pPr>
    </w:lvl>
  </w:abstractNum>
  <w:num w:numId="10">
    <w:abstractNumId w:val="9"/>
  </w:num>
  <w:abstractNum w:abstractNumId="10">
    <w:lvl w:ilvl="0">
      <w:start w:val="1"/>
      <w:numFmt w:val="decimal"/>
      <w:lvlText w:val="%1."/>
      <w:lvlJc w:val="left"/>
      <w:pPr>
        <w:ind w:left="300" w:hanging="300"/>
      </w:pPr>
    </w:lvl>
  </w:abstractNum>
  <w:num w:numId="11">
    <w:abstractNumId w:val="10"/>
  </w:num>
  <w:abstractNum w:abstractNumId="11">
    <w:lvl w:ilvl="0">
      <w:start w:val="1"/>
      <w:numFmt w:val="decimal"/>
      <w:lvlText w:val="%1."/>
      <w:lvlJc w:val="left"/>
      <w:pPr>
        <w:ind w:left="300" w:hanging="30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Takumi technical implementation and three person delivery plan</dc:title>
  <dc:subject>JETRO PS 03 expert knowledge capture and interactive apprenticeship</dc:subject>
  <dc:creator>Takumi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