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TITLE: Office Lease Agreement</w:t>
      </w:r>
    </w:p>
    <w:p>
      <w:r>
        <w:t>CONTRACT ID: LEASE-2025-001</w:t>
      </w:r>
    </w:p>
    <w:p>
      <w:r>
        <w:t>CONTRACT TYPE: lease</w:t>
      </w:r>
    </w:p>
    <w:p>
      <w:r>
        <w:t>EFFECTIVE DATE: 2025-01-01</w:t>
      </w:r>
    </w:p>
    <w:p>
      <w:r>
        <w:t>PARTY A: Acme Analytics Pvt Ltd (the "Tenant")</w:t>
      </w:r>
    </w:p>
    <w:p>
      <w:r>
        <w:t>PARTY B: Skyline Realty LLP (the "Landlord")</w:t>
      </w:r>
    </w:p>
    <w:p>
      <w:r>
        <w:t>GOVERNING LAW: India</w:t>
      </w:r>
    </w:p>
    <w:p>
      <w:r>
        <w:t>VERSION: 1</w:t>
      </w:r>
    </w:p>
    <w:p/>
    <w:p>
      <w:r>
        <w:t>1. DEFINITIONS</w:t>
      </w:r>
    </w:p>
    <w:p>
      <w:r>
        <w:t>1.1 "Premises" means Unit 7B, Prestige Tech Park, Bengaluru, measuring 8,000 sq. ft.</w:t>
      </w:r>
    </w:p>
    <w:p>
      <w:r>
        <w:t>2. TERM AND RENEWAL</w:t>
      </w:r>
    </w:p>
    <w:p>
      <w:r>
        <w:t>2.1 The lease commences on the Effective Date and continues for a period of 24 months.</w:t>
      </w:r>
    </w:p>
    <w:p>
      <w:r>
        <w:t>2.2 The lease shall renew automatically for successive periods of 12 months unless the Tenant gives the Landlord written notice of non-renewal at least 60 days before the expiry of the then-current term.</w:t>
      </w:r>
    </w:p>
    <w:p>
      <w:r>
        <w:t>2.3 On each renewal the monthly rent shall increase by 10% over the rent payable immediately before renewal.</w:t>
      </w:r>
    </w:p>
    <w:p>
      <w:r>
        <w:t>3. RENT AND PAYMENT</w:t>
      </w:r>
    </w:p>
    <w:p>
      <w:r>
        <w:t>3.1 The Tenant shall pay a monthly rent of INR 4,50,000 in advance on or before the 5th day of each month, the first payment being due on 5 January 2025.</w:t>
      </w:r>
    </w:p>
    <w:p>
      <w:r>
        <w:t>3.2 Any rent not paid when due shall carry interest at 18% per annum from the due date until payment.</w:t>
      </w:r>
    </w:p>
    <w:p>
      <w:r>
        <w:t>3.3 The Tenant has paid a refundable security deposit of INR 27,00,000.</w:t>
      </w:r>
    </w:p>
    <w:p>
      <w:r>
        <w:t>4. MAINTENANCE</w:t>
      </w:r>
    </w:p>
    <w:p>
      <w:r>
        <w:t>4.1 The Landlord shall carry out structural repairs within a reasonable time after notice from the Tenant.</w:t>
      </w:r>
    </w:p>
    <w:p>
      <w:r>
        <w:t>4.2 The Tenant shall bear all costs of internal repairs, fit-outs and common-area maintenance charges as determined by the Landlord from time to time.</w:t>
      </w:r>
    </w:p>
    <w:p>
      <w:r>
        <w:t>5. TERMINATION</w:t>
      </w:r>
    </w:p>
    <w:p>
      <w:r>
        <w:t>5.1 The Landlord may terminate this lease by giving the Tenant 30 days written notice.</w:t>
      </w:r>
    </w:p>
    <w:p>
      <w:r>
        <w:t>5.2 The Tenant may terminate this lease only by giving the Landlord 6 months written notice and paying rent for the notice period in advance.</w:t>
      </w:r>
    </w:p>
    <w:p>
      <w:r>
        <w:t>5.3 If the Tenant terminates within the first 12 months of any term, the security deposit is forfeited.</w:t>
      </w:r>
    </w:p>
    <w:p>
      <w:r>
        <w:t>6. LIABILITY AND INDEMNITY</w:t>
      </w:r>
    </w:p>
    <w:p>
      <w:r>
        <w:t>6.1 The Tenant shall indemnify the Landlord against all losses, claims and expenses arising from the use of the Premises, without limit.</w:t>
      </w:r>
    </w:p>
    <w:p>
      <w:r>
        <w:t>7. GOVERNING LAW AND JURISDICTION</w:t>
      </w:r>
    </w:p>
    <w:p>
      <w:r>
        <w:t>7.1 This lease is governed by the laws of India and the courts at Mumbai shall have exclusive jurisdiction.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