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CONTRACT TITLE: Mutual Non-Disclosure Agreement</w:t>
      </w:r>
    </w:p>
    <w:p>
      <w:r>
        <w:t>CONTRACT ID: NDA-2026-003</w:t>
      </w:r>
    </w:p>
    <w:p>
      <w:r>
        <w:t>CONTRACT TYPE: nda</w:t>
      </w:r>
    </w:p>
    <w:p>
      <w:r>
        <w:t>EFFECTIVE DATE: 2026-03-15</w:t>
      </w:r>
    </w:p>
    <w:p>
      <w:r>
        <w:t>PARTY A: Acme Analytics Pvt Ltd (the "Company")</w:t>
      </w:r>
    </w:p>
    <w:p>
      <w:r>
        <w:t>PARTY B: BigRetail India Ltd (the "Counterparty")</w:t>
      </w:r>
    </w:p>
    <w:p>
      <w:r>
        <w:t>GOVERNING LAW: England and Wales</w:t>
      </w:r>
    </w:p>
    <w:p>
      <w:r>
        <w:t>VERSION: 1</w:t>
      </w:r>
    </w:p>
    <w:p/>
    <w:p>
      <w:r>
        <w:t>1. CONFIDENTIALITY</w:t>
      </w:r>
    </w:p>
    <w:p>
      <w:r>
        <w:t>1.1 Each party shall keep the other's Confidential Information secret for 5 years from disclosure.</w:t>
      </w:r>
    </w:p>
    <w:p>
      <w:r>
        <w:t>1.2 On request, the receiving party shall return or destroy Confidential Information within a reasonable time.</w:t>
      </w:r>
    </w:p>
    <w:p>
      <w:r>
        <w:t>2. REMEDIES</w:t>
      </w:r>
    </w:p>
    <w:p>
      <w:r>
        <w:t>2.1 A breach of this Agreement entitles the disclosing party to liquidated damages of INR 50,00,000 per breach.</w:t>
      </w:r>
    </w:p>
    <w:p>
      <w:r>
        <w:t>3. GOVERNING LAW</w:t>
      </w:r>
    </w:p>
    <w:p>
      <w:r>
        <w:t>3.1 This Agreement is governed by the laws of England and Wales and the English courts have exclusive jurisdiction.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