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B5E20"/>
          <w:sz w:val="36"/>
          <w:szCs w:val="36"/>
        </w:rPr>
        <w:t xml:space="preserve">Trader Performance vs. Bitcoin Market Sentiment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An analysis of Hyperliquid trader data against the Fear &amp; Greed Index</w:t>
      </w:r>
    </w:p>
    <w:p>
      <w:pPr>
        <w:pStyle w:val="Heading1"/>
      </w:pPr>
      <w:r>
        <w:t xml:space="preserve">1. Executive Summary</w:t>
      </w:r>
    </w:p>
    <w:p>
      <w:pPr>
        <w:spacing w:after="160"/>
      </w:pPr>
      <w:r>
        <w:t xml:space="preserve">This report examines 211,224 trades across 32 Hyperliquid accounts (Feb 2023 – May 2025), merged with the Bitcoin Fear &amp; Greed Index by date (99.997% match rate). The goal is to identify how trader profitability, risk behavior, and positioning shift across market sentiment regimes.</w:t>
      </w:r>
    </w:p>
    <w:p>
      <w:pPr>
        <w:spacing w:after="160"/>
      </w:pPr>
      <w:r>
        <w:t xml:space="preserve">Key takeaways: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Traders are most profitable in absolute terms during “Fear” and “Extreme Greed” days — total realized PnL of $3.36M and $2.72M respectively — but “Extreme Greed” delivers the highest average PnL per trade ($130) and the highest win rate (89.2%).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“Extreme Fear” is the weakest regime: lowest win rate (76.2%) and lowest profit factor (2.16), suggesting panic-driven trading is the least reliable.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Average position sizes are largest during Fear ($7,375) and smallest during Greed ($4,234) — traders appear to size up when the market is fearful, possibly viewing dips as opportunities or being forced into larger defensive trades.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Short positions are opened proportionally more often during Greed (21.4% of opens vs 16.9% during Fear), consistent with contrarian/short-the-rally behavior; long positions dominate during Fear (29.8% of opens).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Overall, Greed days produced the highest total PnL ($4.87M) and best profit factor (4.66), while Fear days were close behind ($4.10M total PnL, profit factor 4.33). Neutral days were the weakest broad regime (profit factor 4.32, total PnL $1.29M).</w:t>
      </w:r>
    </w:p>
    <w:p>
      <w:pPr>
        <w:pStyle w:val="Heading1"/>
      </w:pPr>
      <w:r>
        <w:t xml:space="preserve">2. Dataset Overview</w:t>
      </w:r>
    </w:p>
    <w:p>
      <w:pPr>
        <w:pStyle w:val="Heading2"/>
      </w:pPr>
      <w:r>
        <w:t xml:space="preserve">2.1 Data Sources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Hyperliquid Historical Trader Data: 211,224 trade/order records across 32 accounts and 246 traded assets, with execution price, size (tokens &amp; USD), side, direction, closed PnL, fees, and timestamps.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Bitcoin Fear &amp; Greed Index: daily classification (Extreme Fear, Fear, Neutral, Greed, Extreme Greed), covering Feb 2018 – May 2025.</w:t>
      </w:r>
    </w:p>
    <w:p>
      <w:pPr>
        <w:pStyle w:val="Heading2"/>
      </w:pPr>
      <w:r>
        <w:t xml:space="preserve">2.2 Methodology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Trade timestamps (IST) were converted to dates and joined to the daily Fear &amp; Greed classification.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“Closed trades” are rows where Closed PnL ≠ 0 (i.e., realized PnL events) — used for profitability, win-rate, and profit-factor metrics. All 211,224 rows are used for position-sizing and directional analysis.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Broad sentiment groups combine Extreme Fear + Fear → “Fear”, and Extreme Greed + Greed → “Greed”, with Neutral standing alone.</w:t>
      </w:r>
    </w:p>
    <w:p>
      <w:pPr>
        <w:pStyle w:val="Heading1"/>
      </w:pPr>
      <w:r>
        <w:t xml:space="preserve">3. Performance by Sentiment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0"/>
        <w:gridCol w:w="1340"/>
        <w:gridCol w:w="1500"/>
        <w:gridCol w:w="1300"/>
        <w:gridCol w:w="1300"/>
        <w:gridCol w:w="1480"/>
        <w:gridCol w:w="12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Trades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PnL ($)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PnL ($)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Median PnL ($)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Win Rate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Profit Factor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Extreme Fear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10,406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739,110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71.03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6.39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76.2%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2.16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29,808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3,357,155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112.63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6.35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87.3%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6.66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Neutral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18,159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1,292,921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71.20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4.58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82.4%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4.32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Greed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25,176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2,150,129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85.40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4.93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76.9%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3.03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Extreme Greed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20,853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2,715,171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130.21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8.53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89.2%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11.02</w:t>
            </w:r>
          </w:p>
        </w:tc>
      </w:tr>
    </w:tbl>
    <w:p>
      <w:pPr>
        <w:spacing w:before="200"/>
      </w:pPr>
    </w:p>
    <w:p>
      <w:pPr>
        <w:spacing w:after="200"/>
        <w:jc w:val="center"/>
      </w:pPr>
      <w:r>
        <w:drawing>
          <wp:inline distT="0" distB="0" distL="0" distR="0">
            <wp:extent cx="4953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Average PnL per trade is U-shaped-ish across the sentiment spectrum: it dips during ordinary Fear/Neutral/Greed but spikes sharply at “Extreme Greed” ($130.21) — likely reflecting strong trending markets where momentum trades pay off well. “Extreme Fear” trades are profitable on average but far less so ($71.03).</w:t>
      </w:r>
    </w:p>
    <w:p>
      <w:pPr>
        <w:spacing w:after="200"/>
        <w:jc w:val="center"/>
      </w:pPr>
      <w:r>
        <w:drawing>
          <wp:inline distT="0" distB="0" distL="0" distR="0">
            <wp:extent cx="4953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Win rates follow a similar pattern: Extreme Greed (89.2%) and Fear (87.3%) are the most favorable regimes for closing winning trades, while Extreme Fear (76.2%) and Greed (76.9%) are noticeably weaker.</w:t>
      </w:r>
    </w:p>
    <w:p>
      <w:pPr>
        <w:spacing w:after="200"/>
        <w:jc w:val="center"/>
      </w:pPr>
      <w:r>
        <w:drawing>
          <wp:inline distT="0" distB="0" distL="0" distR="0">
            <wp:extent cx="4953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In aggregate dollar terms, “Fear” days generated the largest pool of realized profit ($3.36M), followed by “Extreme Greed” ($2.72M) and “Greed” ($2.15M). “Extreme Fear” contributed the least ($739K), consistent with both lower trade volume and weaker per-trade economics in that regime.</w:t>
      </w:r>
    </w:p>
    <w:p>
      <w:pPr>
        <w:pStyle w:val="Heading1"/>
      </w:pPr>
      <w:r>
        <w:t xml:space="preserve">4. Position Sizing and Risk Behavior</w:t>
      </w:r>
    </w:p>
    <w:p>
      <w:pPr>
        <w:spacing w:after="200"/>
        <w:jc w:val="center"/>
      </w:pPr>
      <w:r>
        <w:drawing>
          <wp:inline distT="0" distB="0" distL="0" distR="0">
            <wp:extent cx="4953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Average trade size (USD) is highest during Fear ($7,375) and Extreme Fear ($5,350 — see classification-level data), and lowest during Greed ($4,234). This suggests traders commit larger notional positions when sentiment is fearful — either viewing fear-driven dips as buying opportunities, or because volatility-driven price swings inflate position values.</w:t>
      </w:r>
    </w:p>
    <w:p>
      <w:pPr>
        <w:pStyle w:val="Heading1"/>
      </w:pPr>
      <w:r>
        <w:t xml:space="preserve">5. Long/Short Positioning by Sentiment</w:t>
      </w:r>
    </w:p>
    <w:p>
      <w:pPr>
        <w:spacing w:after="200"/>
        <w:jc w:val="center"/>
      </w:pPr>
      <w:r>
        <w:drawing>
          <wp:inline distT="0" distB="0" distL="0" distR="0">
            <wp:extent cx="4953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During Fear, 63.9% of new directional positions opened are Longs vs 36.1% Shorts — a clear “buy the fear” tilt. During Greed, the split narrows to 43.4% Long / 56.6% Short, indicating traders increasingly position for reversals or fade rallies as greed intensifies. Neutral days sit closer to the Fear pattern (61.6% Long / 38.4% Short).</w:t>
      </w:r>
    </w:p>
    <w:p>
      <w:pPr>
        <w:pStyle w:val="Heading1"/>
      </w:pPr>
      <w:r>
        <w:t xml:space="preserve">6. Broad Sentiment Comparison (Fear vs Neutral vs Greed)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Sentiment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Trades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PnL ($)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PnL ($)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Profit Factor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83,237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4,096,266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49.21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4.33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Neutral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37,686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1,292,921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34.31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4.32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Greed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90,295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4,865,301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53.88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4.66</w:t>
            </w:r>
          </w:p>
        </w:tc>
      </w:tr>
    </w:tbl>
    <w:p>
      <w:pPr>
        <w:spacing w:before="200"/>
      </w:pPr>
    </w:p>
    <w:p>
      <w:pPr>
        <w:spacing w:after="160"/>
      </w:pPr>
      <w:r>
        <w:t xml:space="preserve">At the broad level, Greed days are marginally the most efficient (profit factor 4.66, avg PnL/trade $53.88), with Fear close behind (4.33 / $49.21). Neutral days are the laggard on both total and per-trade profitability — markets with no strong sentiment signal appear to offer the least edge.</w:t>
      </w:r>
    </w:p>
    <w:p>
      <w:pPr>
        <w:pStyle w:val="Heading1"/>
      </w:pPr>
      <w:r>
        <w:t xml:space="preserve">7. Recommendations for Trading Strategy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Favor momentum / trend-following setups during Extreme Greed: this regime shows the highest win rate (89.2%) and profit factor (11.02), suggesting strong directional follow-through is more reliable here than in any other regime.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Treat Extreme Fear with caution or use it for smaller, higher-conviction entries: it has the lowest win rate (76.2%) and profit factor (2.16) despite traders sizing up ($5,350 avg) — larger bets in the worst-performing regime is a risk-management red flag worth investigating per-account.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Consider contrarian short bias during Greed and long bias during Fear, consistent with observed trader behavior (56.6% shorts in Greed vs 63.9% longs in Fear), which appears to align with the better-than-average profit factors in both regimes.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Investigate position sizing discipline: the gap between average size in Fear ($7,375) vs Greed ($4,234) is large. If this is driven by a few accounts, individual risk limits may need review to avoid concentration risk during volatile, low-win-rate periods.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Neutral-sentiment days as a baseline / lower-conviction trading window — both total and per-trade PnL are weakest here, implying fewer high-quality setups when sentiment lacks a clear extreme.</w:t>
      </w:r>
    </w:p>
    <w:p>
      <w:pPr>
        <w:pStyle w:val="Heading1"/>
      </w:pPr>
      <w:r>
        <w:t xml:space="preserve">8. Appendix: Data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211,218 of 211,224 trades (99.997%) matched a Fear &amp; Greed Index date; 6 unmatched records were excluded from sentiment-based analysis.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“Closed PnL = 0” rows (order placements without a realization event) were excluded from PnL, win-rate, and profit-factor calculations but included in position-sizing and directional analysis.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Profit Factor = Gross Profit ÷ Gross Loss across closed trades.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summary tables are provided in the accompanying Excel workbook (trader_sentiment_analysis.xlsx).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496717e1e8a720895e437123f7177cebc722a91.png"/><Relationship Id="rId8" Type="http://schemas.openxmlformats.org/officeDocument/2006/relationships/image" Target="media/b8d850e98fd0a53b9c71eb90a254b31c76d45823.png"/><Relationship Id="rId9" Type="http://schemas.openxmlformats.org/officeDocument/2006/relationships/image" Target="media/0dc09d5c34cc0a0283cb6e2fe6ba15c1be24a7e3.png"/><Relationship Id="rId10" Type="http://schemas.openxmlformats.org/officeDocument/2006/relationships/image" Target="media/ced06a026db0494669d8e3d2e1dd97c78afd3c55.png"/><Relationship Id="rId11" Type="http://schemas.openxmlformats.org/officeDocument/2006/relationships/image" Target="media/433a91042825aa59de93cdf200a83d20a098227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2026-06-12T07:39:29.218Z</dcterms:created>
  <dcterms:modified xsi:type="dcterms:W3CDTF">2026-06-12T07:39:29.218Z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