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E8E8E"/>
          <w:spacing w:val="20"/>
          <w:sz w:val="20"/>
          <w:szCs w:val="20"/>
        </w:rPr>
        <w:t xml:space="preserve">EXECUTIVE SUMMARY</w:t>
      </w:r>
    </w:p>
    <w:p>
      <w:pPr>
        <w:spacing w:after="80"/>
      </w:pPr>
      <w:r>
        <w:rPr>
          <w:b/>
          <w:bCs/>
          <w:color w:val="1B2A4A"/>
          <w:sz w:val="44"/>
          <w:szCs w:val="44"/>
        </w:rPr>
        <w:t xml:space="preserve">Marketing Campaign Performance</w:t>
      </w:r>
    </w:p>
    <w:p>
      <w:pPr>
        <w:spacing w:after="260"/>
      </w:pPr>
      <w:r>
        <w:rPr>
          <w:i/>
          <w:iCs/>
          <w:color w:val="5B6472"/>
          <w:sz w:val="20"/>
          <w:szCs w:val="20"/>
        </w:rPr>
        <w:t xml:space="preserve">FY2025 · 10,000 campaigns · 5 channels · Prepared for Marketing Leadership</w:t>
      </w:r>
    </w:p>
    <w:p>
      <w:pPr>
        <w:pBdr>
          <w:bottom w:val="single" w:color="1B2A4A" w:sz="8" w:space="1"/>
        </w:pBdr>
        <w:spacing w:after="26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B2A4A"/>
        </w:rPr>
        <w:t xml:space="preserve">1. Headline Result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The 2025 marketing program generated $51.03M in revenue against $25.52M in spend across 10,000 campaigns, a blended return on investment of +100.2%. In plain terms, every dollar invested returned roughly two dollars in tracked revenue. Performance is remarkably consistent across all five channels — no channel is materially underwater, and the gap between the best and worst performer is just 3.6 percentage points of ROI.</w:t>
      </w:r>
    </w:p>
    <w:p>
      <w:pPr>
        <w:pStyle w:val="Heading1"/>
        <w:spacing w:after="140" w:before="320"/>
      </w:pPr>
      <w:r>
        <w:rPr>
          <w:b/>
          <w:bCs/>
          <w:color w:val="1B2A4A"/>
        </w:rPr>
        <w:t xml:space="preserve">2. The Funnel: Where Volume Is Lost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Of 1.52 billion impressions served, 83.4 million became clicks (5.48% CTR), 25.1 million of those clicks became leads (30.1% click-to-lead rate), and 10.1 million leads converted (40.2% lead-to-conversion rate). The overwhelming majority of volume is lost at the very top of the funnel: 94.5% of impressions never earn a click. Because this stage carries the largest base, even a fractional improvement here compounds into the largest absolute gain in downstream conversions and revenue.</w:t>
      </w:r>
    </w:p>
    <w:p>
      <w:pPr>
        <w:pStyle w:val="Heading1"/>
        <w:spacing w:after="140" w:before="320"/>
      </w:pPr>
      <w:r>
        <w:rPr>
          <w:b/>
          <w:bCs/>
          <w:color w:val="1B2A4A"/>
        </w:rPr>
        <w:t xml:space="preserve">3. Channel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Channel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Impressions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Clicks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CTR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Conversions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Conv. Rate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Cost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Revenue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1B2A4A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ROI</w:t>
            </w:r>
          </w:p>
        </w:tc>
      </w:tr>
      <w:tr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Search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288.6M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15.9M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5.52%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1.95M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12.25%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$4.92M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$9.90M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+101.3%</w:t>
            </w:r>
          </w:p>
        </w:tc>
      </w:tr>
      <w:tr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Display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309.4M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16.9M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5.45%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2.06M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12.20%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$5.34M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$10.72M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+100.5%</w:t>
            </w:r>
          </w:p>
        </w:tc>
      </w:tr>
      <w:tr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Email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309.2M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17.1M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5.54%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2.08M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12.13%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$5.07M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$10.13M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+100.0%</w:t>
            </w:r>
          </w:p>
        </w:tc>
      </w:tr>
      <w:tr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Influencer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322.5M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17.5M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5.43%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2.10M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12.00%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$5.28M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$10.56M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+100.0%</w:t>
            </w:r>
          </w:p>
        </w:tc>
      </w:tr>
      <w:tr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Social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293.0M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16.0M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5.45%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1.92M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12.03%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$4.92M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$9.73M</w:t>
            </w:r>
          </w:p>
        </w:tc>
        <w:tc>
          <w:tcPr>
            <w:tcW w:type="pct" w:w="11.11111111111111%"/>
            <w:tcBorders>
              <w:top w:val="single" w:color="D9DEE4" w:sz="4"/>
              <w:left w:val="none" w:color="FFFFFF" w:sz="0"/>
              <w:bottom w:val="single" w:color="D9DEE4" w:sz="4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+97.7%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40" w:before="320"/>
      </w:pPr>
      <w:r>
        <w:rPr>
          <w:b/>
          <w:bCs/>
          <w:color w:val="1B2A4A"/>
        </w:rPr>
        <w:t xml:space="preserve">4. Key Findings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1A1A1A"/>
          <w:sz w:val="22"/>
          <w:szCs w:val="22"/>
        </w:rPr>
        <w:t xml:space="preserve">Search leads on efficiency: highest ROI (+101.3%) and the joint-lowest cost per acquisition ($2.52), driven by the strongest conversion rate (12.25%) of any channel.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1A1A1A"/>
          <w:sz w:val="22"/>
          <w:szCs w:val="22"/>
        </w:rPr>
        <w:t xml:space="preserve">Social lags, but modestly: ROI of +97.7% is the only channel below breakeven-plus, largely due to the lowest conversion rate (12.03%) and click-through rate (5.45%) in the mix — a soft-targeting signal rather than a structural failure.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1A1A1A"/>
          <w:sz w:val="22"/>
          <w:szCs w:val="22"/>
        </w:rPr>
        <w:t xml:space="preserve">Email is the volume-efficient channel: lowest CPA ($2.44) despite mid-pack spend, suggesting strong list quality and low-cost delivery.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1A1A1A"/>
          <w:sz w:val="22"/>
          <w:szCs w:val="22"/>
        </w:rPr>
        <w:t xml:space="preserve">Influencer carries the most volume (322.5M impressions, largest of any channel) but converts at an average rate — a scale play rather than an efficiency play.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1A1A1A"/>
          <w:sz w:val="22"/>
          <w:szCs w:val="22"/>
        </w:rPr>
        <w:t xml:space="preserve">Channel performance is unusually flat: with all five channels clustered within 4 points of ROI, the portfolio is well-diversified and not overexposed to any single channel's volatility.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1A1A1A"/>
          <w:sz w:val="22"/>
          <w:szCs w:val="22"/>
        </w:rPr>
        <w:t xml:space="preserve">Monthly cost and revenue move in lockstep throughout the year with no major seasonal spike or collapse — spend discipline has been consistent, though this also means no channel or month is currently over-delivering enough to justify a large budget shift.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B2A4A"/>
        </w:rPr>
        <w:t xml:space="preserve">5. Actionable Recommendations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1A1A1A"/>
          <w:sz w:val="22"/>
          <w:szCs w:val="22"/>
        </w:rPr>
        <w:t xml:space="preserve">Prioritize top-of-funnel creative testing. Since 94.5% of impressions are lost before a click, run structured A/B tests on ad creative, headlines, and audience targeting for the two highest-volume channels (Influencer, Display) — a 0.5-point CTR lift there would add roughly 3M incremental clicks annually.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1A1A1A"/>
          <w:sz w:val="22"/>
          <w:szCs w:val="22"/>
        </w:rPr>
        <w:t xml:space="preserve">Shift 5–10% of incremental budget toward Search. It is the only channel with statistically distinct outperformance on both ROI and conversion rate; treat it as the safest channel for marginal spend increases.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1A1A1A"/>
          <w:sz w:val="22"/>
          <w:szCs w:val="22"/>
        </w:rPr>
        <w:t xml:space="preserve">Audit Social targeting and creative before cutting spend. Social's shortfall is small and concentrated in click-through and conversion rate — a targeting refresh is a lower-risk fix than a budget cut, which would just reallocate volume elsewhere without diagnosing the cause.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1A1A1A"/>
          <w:sz w:val="22"/>
          <w:szCs w:val="22"/>
        </w:rPr>
        <w:t xml:space="preserve">Invest in lead-to-conversion enablement (30% of leads convert at a 40% rate, meaning 60% are lost post-lead). Sales/nurture process improvements here would compound across all channels simultaneously, unlike channel-specific fixes.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1A1A1A"/>
          <w:sz w:val="22"/>
          <w:szCs w:val="22"/>
        </w:rPr>
        <w:t xml:space="preserve">Replicate Email's low-CPA delivery mechanics (list segmentation, send cadence) as a playbook for the Influencer channel, where similar cost efficiencies have not yet been achieved despite comparable scale.</w:t>
      </w:r>
    </w:p>
    <w:p>
      <w:pPr>
        <w:pStyle w:val="ListParagraph"/>
        <w:numPr>
          <w:ilvl w:val="0"/>
          <w:numId w:val="1"/>
        </w:numPr>
        <w:spacing w:after="90" w:line="280"/>
      </w:pPr>
      <w:r>
        <w:rPr>
          <w:color w:val="1A1A1A"/>
          <w:sz w:val="22"/>
          <w:szCs w:val="22"/>
        </w:rPr>
        <w:t xml:space="preserve">Maintain the current channel mix. With performance this evenly distributed, the greater opportunity lies in funnel-stage optimization (above) rather than reallocating budget between channels.</w:t>
      </w:r>
    </w:p>
    <w:p>
      <w:pPr>
        <w:pStyle w:val="Heading1"/>
        <w:spacing w:after="140" w:before="320"/>
      </w:pPr>
      <w:r>
        <w:rPr>
          <w:b/>
          <w:bCs/>
          <w:color w:val="1B2A4A"/>
        </w:rPr>
        <w:t xml:space="preserve">6. Supporting Dashboard</w:t>
      </w:r>
    </w:p>
    <w:p>
      <w:pPr>
        <w:spacing w:after="160" w:line="300"/>
      </w:pPr>
      <w:r>
        <w:rPr>
          <w:color w:val="1A1A1A"/>
          <w:sz w:val="22"/>
          <w:szCs w:val="22"/>
        </w:rPr>
        <w:t xml:space="preserve">A full interactive BI dashboard accompanies this report, including a conversion funnel, an ROI-vs-spend scatter plot at the individual campaign level, a channel comparison view, and monthly trend lines. A pivot-ready Excel workbook with live formulas is provided alongside it for further self-service analysis or import into Power BI / Tableau.</w:t>
      </w:r>
    </w:p>
    <w:p>
      <w:pPr>
        <w:pBdr>
          <w:top w:val="single" w:color="D9DEE4" w:sz="4" w:space="4"/>
        </w:pBdr>
        <w:spacing w:before="300"/>
      </w:pPr>
      <w:r>
        <w:rPr>
          <w:i/>
          <w:iCs/>
          <w:color w:val="5B6472"/>
          <w:sz w:val="18"/>
          <w:szCs w:val="18"/>
        </w:rPr>
        <w:t xml:space="preserve">Prepared as part of the Week 4 BI Dashboarding &amp; Executive Reporting deliverable.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2026-07-01T06:17:35.838Z</dcterms:created>
  <dcterms:modified xsi:type="dcterms:W3CDTF">2026-07-01T06:17:35.838Z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