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Marketing campaign performance</w:t>
      </w:r>
    </w:p>
    <w:p>
      <w:pPr>
        <w:spacing w:after="300"/>
      </w:pPr>
      <w:r>
        <w:t xml:space="preserve">Executive summary — Q1–Q4 2025, 10,000 campaigns across five channels</w:t>
      </w:r>
    </w:p>
    <w:p>
      <w:pPr>
        <w:pStyle w:val="Heading1"/>
      </w:pPr>
      <w:r>
        <w:t xml:space="preserve">Headline</w:t>
      </w:r>
    </w:p>
    <w:p>
      <w:pPr>
        <w:spacing w:after="200"/>
      </w:pPr>
      <w:r>
        <w:rPr>
          <w:sz w:val="22"/>
          <w:szCs w:val="22"/>
        </w:rPr>
        <w:t xml:space="preserve">The program is essentially breaking even. Aggregate spend of $25.5M generated $51.0M in revenue — a blended ROI of 0.999x. Channel performance is remarkably homogeneous; the spread between the strongest and weakest performer is under four percentage points of ROI, which suggests the program's ceiling is being capped by a structural bottleneck rather than a channel-mix problem.</w:t>
      </w:r>
    </w:p>
    <w:p>
      <w:pPr>
        <w:pStyle w:val="Heading1"/>
      </w:pPr>
      <w:r>
        <w:t xml:space="preserve">Funnel diagnosis</w:t>
      </w:r>
    </w:p>
    <w:p>
      <w:pPr>
        <w:spacing w:after="200"/>
      </w:pPr>
      <w:r>
        <w:rPr>
          <w:sz w:val="22"/>
          <w:szCs w:val="22"/>
        </w:rPr>
        <w:t xml:space="preserve">Of 1.52 billion impressions, the funnel narrows to 83.4 million clicks (5.48% CTR), 25.1 million leads (30.1% click-to-lead), and 10.1 million conversions (40.2% lead-to-conversion). The steepest attrition sits at the very top — impression to click — making creative and targeting refinement the highest-leverage intervention, well above further budget reallocation.</w:t>
      </w:r>
    </w:p>
    <w:p>
      <w:pPr>
        <w:pStyle w:val="Heading1"/>
      </w:pPr>
      <w:r>
        <w:t xml:space="preserve">Channel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50"/>
        <w:gridCol w:w="2010"/>
      </w:tblGrid>
      <w:tr>
        <w:tc>
          <w:tcPr>
            <w:tcW w:type="dxa" w:w="2200"/>
            <w:shd w:fill="2C2C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700"/>
            <w:shd w:fill="2C2C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700"/>
            <w:shd w:fill="2C2C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750"/>
            <w:shd w:fill="2C2C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Conv. rate</w:t>
            </w:r>
          </w:p>
        </w:tc>
        <w:tc>
          <w:tcPr>
            <w:tcW w:type="dxa" w:w="2010"/>
            <w:shd w:fill="2C2C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1.013x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$2.52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0.68%</w:t>
            </w:r>
          </w:p>
        </w:tc>
        <w:tc>
          <w:tcPr>
            <w:tcW w:type="dxa" w:w="20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ROI, lowest CPA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1.005x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$2.60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0.67%</w:t>
            </w:r>
          </w:p>
        </w:tc>
        <w:tc>
          <w:tcPr>
            <w:tcW w:type="dxa" w:w="20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Solid, unremarkable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$2.44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0.67%</w:t>
            </w:r>
          </w:p>
        </w:tc>
        <w:tc>
          <w:tcPr>
            <w:tcW w:type="dxa" w:w="20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Breakeven, cheap CPA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Influencer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$2.51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0.65%</w:t>
            </w:r>
          </w:p>
        </w:tc>
        <w:tc>
          <w:tcPr>
            <w:tcW w:type="dxa" w:w="20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Breakeven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Social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0.977x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$2.56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0.66%</w:t>
            </w:r>
          </w:p>
        </w:tc>
        <w:tc>
          <w:tcPr>
            <w:tcW w:type="dxa" w:w="20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channel underwater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Actionable advice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Reallocate incrementally, not drastically. </w:t>
      </w:r>
      <w:r>
        <w:rPr>
          <w:sz w:val="22"/>
          <w:szCs w:val="22"/>
        </w:rPr>
        <w:t xml:space="preserve">Shift a modest slice of budget from Social toward Search. The gap is real but marginal — a wholesale pivot would be a disproportionate response to a small edge.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Fix the funnel's apex, not the channel mix. </w:t>
      </w:r>
      <w:r>
        <w:rPr>
          <w:sz w:val="22"/>
          <w:szCs w:val="22"/>
        </w:rPr>
        <w:t xml:space="preserve">Since ROI is largely undifferentiated across channels, the more consequential lever is improving click-through rate via creative and audience refinement — a rising tide that lifts every channel at once.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3. Audit Social before cutting it. </w:t>
      </w:r>
      <w:r>
        <w:rPr>
          <w:sz w:val="22"/>
          <w:szCs w:val="22"/>
        </w:rPr>
        <w:t xml:space="preserve">Its sub-1x ROI is an outlier worth a discrete diagnostic — creative fatigue, audience mismatch, or seasonality — rather than grounds for a peremptory budget cut.</w:t>
      </w:r>
    </w:p>
    <w:p>
      <w:pPr>
        <w:pStyle w:val="Heading1"/>
      </w:pPr>
      <w:r>
        <w:t xml:space="preserve">Closing note</w:t>
      </w:r>
    </w:p>
    <w:p>
      <w:r>
        <w:rPr>
          <w:i/>
          <w:iCs/>
          <w:sz w:val="22"/>
          <w:szCs w:val="22"/>
        </w:rPr>
        <w:t xml:space="preserve">A blended ROI hovering at parity is not a failing program, but it is a static one. The data argues for surgical, not sweeping, changes: sharpen the top of the funnel, nudge spend toward Search, and treat Social as a candidate for scrutiny rather than an automatic casualty.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2026-07-04T16:38:37.655Z</dcterms:created>
  <dcterms:modified xsi:type="dcterms:W3CDTF">2026-07-04T16:38:37.656Z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