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</w:p>
    <w:tbl>
      <w:tblPr>
        <w:tblStyle w:val="style410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31 May</w:t>
            </w:r>
            <w:r>
              <w:t xml:space="preserve"> 2025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lang w:val="en-US"/>
              </w:rPr>
              <w:t>LTVIP2025TMID60682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t>Sustainable Smart City Assistant Using IBM Granite LLM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4 Marks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style0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>The first step in any effective brainstorming session is assembling a diverse and motivated team. Collaboration plays a critical role at this stage, as varied perspectives help in understanding the problem from multiple angles. Open communication is encouraged to ensure that all voices are heard.</w:t>
      </w:r>
    </w:p>
    <w:p>
      <w:pPr>
        <w:pStyle w:val="style0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>Selecting a precise and meaningful problem statement anchors the brainstorming process. It defines the scope, aligns the team’s direction, and focuses the ideation effort toward a common goal. This statement should be specific enough to inspire actionable ideas while leaving room for creative exploration.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3359150"/>
            <wp:effectExtent l="1905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359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Step-2: Brainstorm, Idea Listing and Grouping</w:t>
      </w:r>
    </w:p>
    <w:p>
      <w:pPr>
        <w:pStyle w:val="style0"/>
        <w:rPr>
          <w:b/>
        </w:rPr>
      </w:pPr>
      <w:r>
        <w:rPr>
          <w:rFonts w:ascii="Times New Roman" w:cs="Times New Roman" w:hAnsi="Times New Roman"/>
        </w:rPr>
        <w:t>Once the problem is defined, the team moves into ideation. This is a divergent thinking phase where quantity is valued over quality — the aim is to generate as many ideas as possible, regardless of feasibility at this stage. Creativity, spontaneity, and free association are encouraged.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Ideas are typically documented using visual tools like sticky notes or digital whiteboards. After sufficient idea generation, the team begins to organize them into thematic clusters. Grouping helps in </w:t>
      </w:r>
      <w:r>
        <w:rPr>
          <w:rFonts w:ascii="Times New Roman" w:cs="Times New Roman" w:hAnsi="Times New Roman"/>
        </w:rPr>
        <w:t>identifying patterns, redundancies, and categories that can inform later prioritization. This step ensures that related ideas are evaluated together, and it highlights emergent concepts.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3225800"/>
            <wp:effectExtent l="1905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5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Step-3: Idea Prioritization</w:t>
      </w:r>
    </w:p>
    <w:p>
      <w:pPr>
        <w:pStyle w:val="style0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>After grouping, the team transitions into convergent thinking. This involves evaluating the ideas based on factors such as impact, feasibility, resource requirements, and alignment with project goals. A common tool used here is the Impact vs. Effort matrix, which helps categorize ideas into:</w:t>
      </w:r>
    </w:p>
    <w:p>
      <w:pPr>
        <w:pStyle w:val="style0"/>
        <w:numPr>
          <w:ilvl w:val="0"/>
          <w:numId w:val="1"/>
        </w:numPr>
        <w:rPr>
          <w:rFonts w:ascii="Calibri" w:cs="Calibri" w:hAnsi="Calibri"/>
          <w:b/>
        </w:rPr>
      </w:pPr>
      <w:r>
        <w:rPr>
          <w:rFonts w:ascii="Calibri" w:cs="Calibri" w:hAnsi="Calibri"/>
          <w:b/>
          <w:bCs/>
        </w:rPr>
        <w:t>Quick Wins</w:t>
      </w:r>
      <w:r>
        <w:rPr>
          <w:rFonts w:ascii="Calibri" w:cs="Calibri" w:hAnsi="Calibri"/>
          <w:b/>
        </w:rPr>
        <w:t xml:space="preserve"> (High impact, Low effort)</w:t>
      </w:r>
    </w:p>
    <w:p>
      <w:pPr>
        <w:pStyle w:val="style0"/>
        <w:numPr>
          <w:ilvl w:val="0"/>
          <w:numId w:val="1"/>
        </w:numPr>
        <w:rPr>
          <w:rFonts w:ascii="Calibri" w:cs="Calibri" w:hAnsi="Calibri"/>
          <w:b/>
        </w:rPr>
      </w:pPr>
      <w:r>
        <w:rPr>
          <w:rFonts w:ascii="Calibri" w:cs="Calibri" w:hAnsi="Calibri"/>
          <w:b/>
          <w:bCs/>
        </w:rPr>
        <w:t>Major Projects</w:t>
      </w:r>
      <w:r>
        <w:rPr>
          <w:rFonts w:ascii="Calibri" w:cs="Calibri" w:hAnsi="Calibri"/>
          <w:b/>
        </w:rPr>
        <w:t xml:space="preserve"> (High impact, High effort)</w:t>
      </w:r>
    </w:p>
    <w:p>
      <w:pPr>
        <w:pStyle w:val="style0"/>
        <w:numPr>
          <w:ilvl w:val="0"/>
          <w:numId w:val="1"/>
        </w:numPr>
        <w:rPr>
          <w:rFonts w:ascii="Calibri" w:cs="Calibri" w:hAnsi="Calibri"/>
          <w:b/>
        </w:rPr>
      </w:pPr>
      <w:r>
        <w:rPr>
          <w:rFonts w:ascii="Calibri" w:cs="Calibri" w:hAnsi="Calibri"/>
          <w:b/>
          <w:bCs/>
        </w:rPr>
        <w:t>Fill-ins</w:t>
      </w:r>
      <w:r>
        <w:rPr>
          <w:rFonts w:ascii="Calibri" w:cs="Calibri" w:hAnsi="Calibri"/>
          <w:b/>
        </w:rPr>
        <w:t xml:space="preserve"> (Low impact, Low effort)</w:t>
      </w:r>
    </w:p>
    <w:p>
      <w:pPr>
        <w:pStyle w:val="style0"/>
        <w:numPr>
          <w:ilvl w:val="0"/>
          <w:numId w:val="1"/>
        </w:numPr>
        <w:rPr>
          <w:rFonts w:ascii="Calibri" w:cs="Calibri" w:hAnsi="Calibri"/>
          <w:b/>
        </w:rPr>
      </w:pPr>
      <w:r>
        <w:rPr>
          <w:rFonts w:ascii="Calibri" w:cs="Calibri" w:hAnsi="Calibri"/>
          <w:b/>
          <w:bCs/>
        </w:rPr>
        <w:t>Time Wasters</w:t>
      </w:r>
      <w:r>
        <w:rPr>
          <w:rFonts w:ascii="Calibri" w:cs="Calibri" w:hAnsi="Calibri"/>
          <w:b/>
        </w:rPr>
        <w:t xml:space="preserve"> (Low impact, High effort)</w:t>
      </w:r>
    </w:p>
    <w:p>
      <w:pPr>
        <w:pStyle w:val="style0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>This prioritization enables strategic decision-making, helping the team focus on ideas that deliver maximum value within available constraints. The final outcome is a clear, actionable set of prioritized ideas ready for implementation or further exploration.</w:t>
      </w:r>
    </w:p>
    <w:p>
      <w:pPr>
        <w:pStyle w:val="style0"/>
        <w:rPr>
          <w:b/>
        </w:rPr>
      </w:pPr>
    </w:p>
    <w:p>
      <w:pPr>
        <w:pStyle w:val="style0"/>
        <w:rPr>
          <w:sz w:val="24"/>
          <w:szCs w:val="24"/>
        </w:rPr>
      </w:pPr>
      <w:r>
        <w:rPr>
          <w:b/>
          <w:noProof/>
          <w:lang w:val="en-US"/>
        </w:rPr>
        <w:drawing>
          <wp:inline distL="0" distT="0" distB="0" distR="0">
            <wp:extent cx="4867954" cy="5553850"/>
            <wp:effectExtent l="0" t="0" r="8890" b="889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67954" cy="555385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851" w:right="1440" w:bottom="126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IBM Plex Sans">
    <w:altName w:val="IBM Plex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DEA1E6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4097"/>
    <w:next w:val="style409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"/>
    <w:next w:val="style4097"/>
    <w:pPr/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8">
    <w:name w:val="Unresolved Mention"/>
    <w:basedOn w:val="style65"/>
    <w:next w:val="style4098"/>
    <w:uiPriority w:val="99"/>
    <w:rPr>
      <w:color w:val="605e5c"/>
      <w:shd w:val="clear" w:color="auto" w:fill="e1dfdd"/>
    </w:rPr>
  </w:style>
  <w:style w:type="paragraph" w:customStyle="1" w:styleId="style4099">
    <w:name w:val="Default"/>
    <w:next w:val="style4099"/>
    <w:pPr>
      <w:autoSpaceDE w:val="false"/>
      <w:autoSpaceDN w:val="false"/>
      <w:adjustRightInd w:val="false"/>
      <w:spacing w:after="0" w:lineRule="auto" w:line="240"/>
    </w:pPr>
    <w:rPr>
      <w:rFonts w:ascii="IBM Plex Sans" w:cs="IBM Plex Sans" w:hAnsi="IBM Plex Sans"/>
      <w:color w:val="000000"/>
      <w:sz w:val="24"/>
      <w:szCs w:val="24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101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1">
    <w:name w:val="Balloon Text Char"/>
    <w:basedOn w:val="style65"/>
    <w:next w:val="style4101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339</Words>
  <Pages>3</Pages>
  <Characters>2023</Characters>
  <Application>WPS Office</Application>
  <DocSecurity>0</DocSecurity>
  <Paragraphs>36</Paragraphs>
  <ScaleCrop>false</ScaleCrop>
  <LinksUpToDate>false</LinksUpToDate>
  <CharactersWithSpaces>2339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SM-A156E</lastModifiedBy>
  <dcterms:modified xsi:type="dcterms:W3CDTF">2025-06-30T08:01:37Z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29689c9097924f998b94861fbf7e9134</vt:lpwstr>
  </property>
</Properties>
</file>