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14 June</w:t>
            </w:r>
            <w:r>
              <w:t xml:space="preserve"> 2025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LTVIP2025TMID60682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Sustainable Smart City Assistant Using IBM Granite LLM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tbl>
      <w:tblPr>
        <w:tblStyle w:val="style154"/>
        <w:tblW w:w="9240" w:type="dxa"/>
        <w:tblLook w:val="04A0" w:firstRow="1" w:lastRow="0" w:firstColumn="1" w:lastColumn="0" w:noHBand="0" w:noVBand="1"/>
      </w:tblPr>
      <w:tblGrid>
        <w:gridCol w:w="802"/>
        <w:gridCol w:w="2756"/>
        <w:gridCol w:w="5683"/>
      </w:tblGrid>
      <w:tr>
        <w:trPr/>
        <w:tc>
          <w:tcPr>
            <w:tcW w:w="763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S.No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2765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Parameter</w:t>
            </w:r>
          </w:p>
        </w:tc>
        <w:tc>
          <w:tcPr>
            <w:tcW w:w="5712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Description</w:t>
            </w:r>
          </w:p>
        </w:tc>
      </w:tr>
      <w:tr>
        <w:tblPrEx/>
        <w:trPr/>
        <w:tc>
          <w:tcPr>
            <w:tcW w:w="7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1.</w:t>
            </w:r>
          </w:p>
        </w:tc>
        <w:tc>
          <w:tcPr>
            <w:tcW w:w="276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Problem Statement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 xml:space="preserve"> (Problem to be solved)</w:t>
            </w:r>
          </w:p>
        </w:tc>
        <w:tc>
          <w:tcPr>
            <w:tcW w:w="571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Urban citizens and planners struggle to access easy, real-time information to make eco-friendly and smart living decisions.</w:t>
            </w:r>
          </w:p>
        </w:tc>
      </w:tr>
      <w:tr>
        <w:tblPrEx/>
        <w:trPr/>
        <w:tc>
          <w:tcPr>
            <w:tcW w:w="7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2.</w:t>
            </w:r>
          </w:p>
        </w:tc>
        <w:tc>
          <w:tcPr>
            <w:tcW w:w="276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Idea / Solution Description</w:t>
            </w:r>
          </w:p>
        </w:tc>
        <w:tc>
          <w:tcPr>
            <w:tcW w:w="571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A smart city assistant powered by IBM Granite LLM that provides personalized tips, sustainability info, and city data to help users live and manage more sustainably.</w:t>
            </w:r>
          </w:p>
        </w:tc>
      </w:tr>
      <w:tr>
        <w:tblPrEx/>
        <w:trPr/>
        <w:tc>
          <w:tcPr>
            <w:tcW w:w="7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3.</w:t>
            </w:r>
          </w:p>
        </w:tc>
        <w:tc>
          <w:tcPr>
            <w:tcW w:w="276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Novelty / Uniqueness</w:t>
            </w:r>
          </w:p>
        </w:tc>
        <w:tc>
          <w:tcPr>
            <w:tcW w:w="571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Uses an advanced language model to deliver AI-driven, human-like suggestions for sustainability. Combines real-time urban data with AI insights for smarter decision-making.</w:t>
            </w:r>
          </w:p>
        </w:tc>
      </w:tr>
      <w:tr>
        <w:tblPrEx/>
        <w:trPr/>
        <w:tc>
          <w:tcPr>
            <w:tcW w:w="7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4.</w:t>
            </w:r>
          </w:p>
        </w:tc>
        <w:tc>
          <w:tcPr>
            <w:tcW w:w="276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Social Impact / Customer Satisfaction</w:t>
            </w:r>
          </w:p>
        </w:tc>
        <w:tc>
          <w:tcPr>
            <w:tcW w:w="571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Encourages green habits, reduces waste and pollution, increases awareness, and makes urban living more efficient and eco-conscious.</w:t>
            </w:r>
          </w:p>
        </w:tc>
      </w:tr>
      <w:tr>
        <w:tblPrEx/>
        <w:trPr/>
        <w:tc>
          <w:tcPr>
            <w:tcW w:w="7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5.</w:t>
            </w:r>
          </w:p>
        </w:tc>
        <w:tc>
          <w:tcPr>
            <w:tcW w:w="276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Business Model (Revenue Model)</w:t>
            </w:r>
          </w:p>
        </w:tc>
        <w:tc>
          <w:tcPr>
            <w:tcW w:w="571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Freemium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 xml:space="preserve"> model with basic free access; premium features for city planners and businesses; partnerships with local governments or green startups.</w:t>
            </w:r>
          </w:p>
        </w:tc>
      </w:tr>
      <w:tr>
        <w:tblPrEx/>
        <w:trPr/>
        <w:tc>
          <w:tcPr>
            <w:tcW w:w="763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6.</w:t>
            </w:r>
          </w:p>
        </w:tc>
        <w:tc>
          <w:tcPr>
            <w:tcW w:w="276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 w:eastAsia="en-US"/>
              </w:rPr>
              <w:t>Scalability of the Solution</w:t>
            </w:r>
          </w:p>
        </w:tc>
        <w:tc>
          <w:tcPr>
            <w:tcW w:w="571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 w:eastAsia="en-US"/>
              </w:rPr>
              <w:t>Easily expandable to more cities, regions, or languages. Can integrate with other smart systems (e.g., transport, waste management, water usage) in the future.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190</Words>
  <Pages>1</Pages>
  <Characters>1154</Characters>
  <Application>WPS Office</Application>
  <DocSecurity>0</DocSecurity>
  <Paragraphs>47</Paragraphs>
  <ScaleCrop>false</ScaleCrop>
  <LinksUpToDate>false</LinksUpToDate>
  <CharactersWithSpaces>1312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SM-A156E</lastModifiedBy>
  <dcterms:modified xsi:type="dcterms:W3CDTF">2025-06-30T08:08:46Z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36913f02974b43e899ebeb301ee9c1a6</vt:lpwstr>
  </property>
</Properties>
</file>