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  <w:t>C Program to check Armstrong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num,copy_of_num,sum=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//Store input number in variable num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"\nEnter a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Value of variable num would change in the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below while loop so we are storing it in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another variable to compare the results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at the end of program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copy_of_num = 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We are adding cubes of every digit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and storing the sum in variable sum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(num !=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rem = num %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sum = sum + (rem*rem*rem);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 = num /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If sum of cubes of every digit is equal to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itself then the number is Armstrong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(copy_of_num == sum)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not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number: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Armstrong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You can verify the result like this: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343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9a116d8-1758-4dd3-a789-283e123d6c5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fe9999a-69a5-4d42-a46c-43808ed96816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31515a2a-28ac-47f5-b131-5a448d02ae21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4efd2c53-2832-475a-b5d7-56ccb87c2a9a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bb95355c-60ce-465e-a958-96f0323126a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3D4D9-BFCD-CB49-883B-0A9857A62C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Pages>5</Pages>
  <Characters>1324</Characters>
  <Application>WPS Office</Application>
  <DocSecurity>0</DocSecurity>
  <Paragraphs>136</Paragraphs>
  <ScaleCrop>false</ScaleCrop>
  <Company>HP</Company>
  <LinksUpToDate>false</LinksUpToDate>
  <CharactersWithSpaces>1649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2020-07-16T07:27:53Z</dcterms:created>
  <dc:creator>EMS</dc:creator>
  <lastModifiedBy>Redmi Note 6 Pro</lastModifiedBy>
  <dcterms:modified xsi:type="dcterms:W3CDTF">2020-07-16T07:27:53Z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