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3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80"/>
              <w:left w:type="dxa" w:w="680"/>
              <w:bottom w:type="dxa" w:w="680"/>
              <w:right w:type="dxa" w:w="680"/>
            </w:tcMar>
          </w:tcPr>
          <w:p>
            <w:pPr>
              <w:spacing w:after="80"/>
              <w:jc w:val="center"/>
            </w:pPr>
            <w:r>
              <w:rPr>
                <w:rFonts w:ascii="Arial" w:cs="Arial" w:eastAsia="Arial" w:hAnsi="Arial"/>
                <w:b/>
                <w:bCs/>
                <w:caps/>
                <w:color w:val="BDD7EE"/>
                <w:sz w:val="18"/>
                <w:szCs w:val="18"/>
              </w:rPr>
              <w:t xml:space="preserve">TPVRM  ·  THIRD-PARTY VENDOR RISK MANAGEMENT PLATFORM</w:t>
            </w:r>
          </w:p>
          <w:p>
            <w:pPr>
              <w:spacing w:after="40"/>
              <w:jc w:val="center"/>
            </w:pPr>
            <w:r>
              <w:rPr>
                <w:rFonts w:ascii="Arial" w:cs="Arial" w:eastAsia="Arial" w:hAnsi="Arial"/>
                <w:sz w:val="10"/>
                <w:szCs w:val="10"/>
              </w:rPr>
              <w:t xml:space="preserve"/>
            </w:r>
          </w:p>
          <w:p>
            <w:pPr>
              <w:pBdr>
                <w:bottom w:val="single" w:color="2E75B6" w:sz="4" w:space="4"/>
              </w:pBdr>
              <w:spacing w:after="60"/>
              <w:jc w:val="center"/>
            </w:pPr>
            <w:r>
              <w:rPr>
                <w:rFonts w:ascii="Arial" w:cs="Arial" w:eastAsia="Arial" w:hAnsi="Arial"/>
                <w:sz w:val="6"/>
                <w:szCs w:val="6"/>
              </w:rPr>
              <w:t xml:space="preserve"/>
            </w:r>
          </w:p>
          <w:p>
            <w:pPr>
              <w:spacing w:before="80" w:after="80"/>
              <w:jc w:val="center"/>
            </w:pPr>
            <w:r>
              <w:rPr>
                <w:rFonts w:ascii="Arial" w:cs="Arial" w:eastAsia="Arial" w:hAnsi="Arial"/>
                <w:b/>
                <w:bCs/>
                <w:color w:val="FFFFFF"/>
                <w:sz w:val="48"/>
                <w:szCs w:val="48"/>
              </w:rPr>
              <w:t xml:space="preserve">Predictive Risk Trend Analysis Engine</w:t>
            </w:r>
          </w:p>
          <w:p>
            <w:pPr>
              <w:spacing w:after="60"/>
              <w:jc w:val="center"/>
            </w:pPr>
            <w:r>
              <w:rPr>
                <w:rFonts w:ascii="Arial" w:cs="Arial" w:eastAsia="Arial" w:hAnsi="Arial"/>
                <w:i/>
                <w:iCs/>
                <w:color w:val="D5E8F0"/>
                <w:sz w:val="26"/>
                <w:szCs w:val="26"/>
              </w:rPr>
              <w:t xml:space="preserve">A Comprehensive Technical &amp; Business Report</w:t>
            </w:r>
          </w:p>
          <w:p>
            <w:pPr>
              <w:pBdr>
                <w:bottom w:val="single" w:color="2E75B6" w:sz="4" w:space="4"/>
              </w:pBdr>
              <w:spacing w:before="80" w:after="80"/>
              <w:jc w:val="center"/>
            </w:pPr>
            <w:r>
              <w:rPr>
                <w:rFonts w:ascii="Arial" w:cs="Arial" w:eastAsia="Arial" w:hAnsi="Arial"/>
                <w:sz w:val="6"/>
                <w:szCs w:val="6"/>
              </w:rPr>
              <w:t xml:space="preserve"/>
            </w:r>
          </w:p>
          <w:p>
            <w:pPr>
              <w:spacing w:before="0" w:after="100"/>
            </w:pPr>
            <w:r>
              <w:rPr>
                <w:rFonts w:ascii="Arial" w:cs="Arial" w:eastAsia="Arial" w:hAnsi="Arial"/>
              </w:rPr>
              <w:t xml:space="preserve"/>
            </w:r>
          </w:p>
          <w:p>
            <w:pPr>
              <w:spacing w:after="50"/>
              <w:jc w:val="center"/>
            </w:pPr>
            <w:r>
              <w:rPr>
                <w:rFonts w:ascii="Arial" w:cs="Arial" w:eastAsia="Arial" w:hAnsi="Arial"/>
                <w:color w:val="BDD7EE"/>
                <w:sz w:val="22"/>
                <w:szCs w:val="22"/>
              </w:rPr>
              <w:t xml:space="preserve">Auditor Service  ·  Port 8009  ·  Django REST Framework</w:t>
            </w:r>
          </w:p>
          <w:p>
            <w:pPr>
              <w:spacing w:after="0"/>
              <w:jc w:val="center"/>
            </w:pPr>
            <w:r>
              <w:rPr>
                <w:rFonts w:ascii="Arial" w:cs="Arial" w:eastAsia="Arial" w:hAnsi="Arial"/>
                <w:i/>
                <w:iCs/>
                <w:color w:val="CCCCCC"/>
                <w:sz w:val="20"/>
                <w:szCs w:val="20"/>
              </w:rPr>
              <w:t xml:space="preserve">Version 1.0  ·  March 2026  ·  Internal Technical Document</w:t>
            </w:r>
          </w:p>
        </w:tc>
      </w:tr>
    </w:tbl>
    <w:p>
      <w:pPr>
        <w:spacing w:before="0"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Document Title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Predictive Risk Trend Analysis Engine — Technical &amp; Business Report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Service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Auditor Service (Port 8009) — New 9th Microservice</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Platform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TPVRM — Third-Party Vendor Risk Management</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Scope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Predictive analytics, early warning, portfolio forecasting, intervention simulation</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Classification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Confidential — Internal Use Only</w:t>
            </w:r>
          </w:p>
        </w:tc>
      </w:tr>
      <w:tr>
        <w:tc>
          <w:tcPr>
            <w:tcW w:type="dxa" w:w="2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bCs/>
                <w:color w:val="2C2C2C"/>
                <w:sz w:val="20"/>
                <w:szCs w:val="20"/>
              </w:rPr>
              <w:t xml:space="preserve">Date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March 2026</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Table of Contents</w:t>
      </w:r>
    </w:p>
    <w:p>
      <w:pPr>
        <w:spacing w:before="0" w:after="100"/>
      </w:pPr>
      <w:r>
        <w:rPr>
          <w:rFonts w:ascii="Arial" w:cs="Arial" w:eastAsia="Arial" w:hAnsi="Arial"/>
        </w:rPr>
        <w:t xml:space="preserve"/>
      </w:r>
    </w:p>
    <w:p>
      <w:pPr>
        <w:tabs>
          <w:tab w:val="right" w:pos="9360"/>
        </w:tabs>
        <w:spacing w:before="50" w:after="50"/>
      </w:pPr>
      <w:r>
        <w:rPr>
          <w:rFonts w:ascii="Arial" w:cs="Arial" w:eastAsia="Arial" w:hAnsi="Arial"/>
          <w:b/>
          <w:bCs/>
          <w:color w:val="1B3A6B"/>
          <w:sz w:val="22"/>
          <w:szCs w:val="22"/>
        </w:rPr>
        <w:t xml:space="preserve">1.  </w:t>
      </w:r>
      <w:r>
        <w:rPr>
          <w:rFonts w:ascii="Arial" w:cs="Arial" w:eastAsia="Arial" w:hAnsi="Arial"/>
          <w:color w:val="2C2C2C"/>
          <w:sz w:val="22"/>
          <w:szCs w:val="22"/>
        </w:rPr>
        <w:t xml:space="preserve">Executive Overview</w:t>
      </w:r>
      <w:r>
        <w:rPr>
          <w:rFonts w:ascii="Arial" w:cs="Arial" w:eastAsia="Arial" w:hAnsi="Arial"/>
          <w:color w:val="595959"/>
          <w:sz w:val="22"/>
          <w:szCs w:val="22"/>
        </w:rPr>
        <w:t xml:space="preserve">	3</w:t>
      </w:r>
    </w:p>
    <w:p>
      <w:pPr>
        <w:tabs>
          <w:tab w:val="right" w:pos="9360"/>
        </w:tabs>
        <w:spacing w:before="50" w:after="50"/>
      </w:pPr>
      <w:r>
        <w:rPr>
          <w:rFonts w:ascii="Arial" w:cs="Arial" w:eastAsia="Arial" w:hAnsi="Arial"/>
          <w:b/>
          <w:bCs/>
          <w:color w:val="1B3A6B"/>
          <w:sz w:val="22"/>
          <w:szCs w:val="22"/>
        </w:rPr>
        <w:t xml:space="preserve">2.  </w:t>
      </w:r>
      <w:r>
        <w:rPr>
          <w:rFonts w:ascii="Arial" w:cs="Arial" w:eastAsia="Arial" w:hAnsi="Arial"/>
          <w:color w:val="2C2C2C"/>
          <w:sz w:val="22"/>
          <w:szCs w:val="22"/>
        </w:rPr>
        <w:t xml:space="preserve">Problem Statement</w:t>
      </w:r>
      <w:r>
        <w:rPr>
          <w:rFonts w:ascii="Arial" w:cs="Arial" w:eastAsia="Arial" w:hAnsi="Arial"/>
          <w:color w:val="595959"/>
          <w:sz w:val="22"/>
          <w:szCs w:val="22"/>
        </w:rPr>
        <w:t xml:space="preserve">	3</w:t>
      </w:r>
    </w:p>
    <w:p>
      <w:pPr>
        <w:tabs>
          <w:tab w:val="right" w:pos="9360"/>
        </w:tabs>
        <w:spacing w:before="50" w:after="50"/>
      </w:pPr>
      <w:r>
        <w:rPr>
          <w:rFonts w:ascii="Arial" w:cs="Arial" w:eastAsia="Arial" w:hAnsi="Arial"/>
          <w:b/>
          <w:bCs/>
          <w:color w:val="1B3A6B"/>
          <w:sz w:val="22"/>
          <w:szCs w:val="22"/>
        </w:rPr>
        <w:t xml:space="preserve">3.  </w:t>
      </w:r>
      <w:r>
        <w:rPr>
          <w:rFonts w:ascii="Arial" w:cs="Arial" w:eastAsia="Arial" w:hAnsi="Arial"/>
          <w:color w:val="2C2C2C"/>
          <w:sz w:val="22"/>
          <w:szCs w:val="22"/>
        </w:rPr>
        <w:t xml:space="preserve">Current Situation Analysis</w:t>
      </w:r>
      <w:r>
        <w:rPr>
          <w:rFonts w:ascii="Arial" w:cs="Arial" w:eastAsia="Arial" w:hAnsi="Arial"/>
          <w:color w:val="595959"/>
          <w:sz w:val="22"/>
          <w:szCs w:val="22"/>
        </w:rPr>
        <w:t xml:space="preserve">	4</w:t>
      </w:r>
    </w:p>
    <w:p>
      <w:pPr>
        <w:tabs>
          <w:tab w:val="right" w:pos="9360"/>
        </w:tabs>
        <w:spacing w:before="50" w:after="50"/>
      </w:pPr>
      <w:r>
        <w:rPr>
          <w:rFonts w:ascii="Arial" w:cs="Arial" w:eastAsia="Arial" w:hAnsi="Arial"/>
          <w:b/>
          <w:bCs/>
          <w:color w:val="1B3A6B"/>
          <w:sz w:val="22"/>
          <w:szCs w:val="22"/>
        </w:rPr>
        <w:t xml:space="preserve">4.  </w:t>
      </w:r>
      <w:r>
        <w:rPr>
          <w:rFonts w:ascii="Arial" w:cs="Arial" w:eastAsia="Arial" w:hAnsi="Arial"/>
          <w:color w:val="2C2C2C"/>
          <w:sz w:val="22"/>
          <w:szCs w:val="22"/>
        </w:rPr>
        <w:t xml:space="preserve">Objectives</w:t>
      </w:r>
      <w:r>
        <w:rPr>
          <w:rFonts w:ascii="Arial" w:cs="Arial" w:eastAsia="Arial" w:hAnsi="Arial"/>
          <w:color w:val="595959"/>
          <w:sz w:val="22"/>
          <w:szCs w:val="22"/>
        </w:rPr>
        <w:t xml:space="preserve">	5</w:t>
      </w:r>
    </w:p>
    <w:p>
      <w:pPr>
        <w:tabs>
          <w:tab w:val="right" w:pos="9360"/>
        </w:tabs>
        <w:spacing w:before="50" w:after="50"/>
      </w:pPr>
      <w:r>
        <w:rPr>
          <w:rFonts w:ascii="Arial" w:cs="Arial" w:eastAsia="Arial" w:hAnsi="Arial"/>
          <w:b/>
          <w:bCs/>
          <w:color w:val="1B3A6B"/>
          <w:sz w:val="22"/>
          <w:szCs w:val="22"/>
        </w:rPr>
        <w:t xml:space="preserve">5.  </w:t>
      </w:r>
      <w:r>
        <w:rPr>
          <w:rFonts w:ascii="Arial" w:cs="Arial" w:eastAsia="Arial" w:hAnsi="Arial"/>
          <w:color w:val="2C2C2C"/>
          <w:sz w:val="22"/>
          <w:szCs w:val="22"/>
        </w:rPr>
        <w:t xml:space="preserve">Solution Approach</w:t>
      </w:r>
      <w:r>
        <w:rPr>
          <w:rFonts w:ascii="Arial" w:cs="Arial" w:eastAsia="Arial" w:hAnsi="Arial"/>
          <w:color w:val="595959"/>
          <w:sz w:val="22"/>
          <w:szCs w:val="22"/>
        </w:rPr>
        <w:t xml:space="preserve">	6</w:t>
      </w:r>
    </w:p>
    <w:p>
      <w:pPr>
        <w:tabs>
          <w:tab w:val="right" w:pos="9360"/>
        </w:tabs>
        <w:spacing w:before="50" w:after="50"/>
      </w:pPr>
      <w:r>
        <w:rPr>
          <w:rFonts w:ascii="Arial" w:cs="Arial" w:eastAsia="Arial" w:hAnsi="Arial"/>
          <w:b/>
          <w:bCs/>
          <w:color w:val="1B3A6B"/>
          <w:sz w:val="22"/>
          <w:szCs w:val="22"/>
        </w:rPr>
        <w:t xml:space="preserve">6.  </w:t>
      </w:r>
      <w:r>
        <w:rPr>
          <w:rFonts w:ascii="Arial" w:cs="Arial" w:eastAsia="Arial" w:hAnsi="Arial"/>
          <w:color w:val="2C2C2C"/>
          <w:sz w:val="22"/>
          <w:szCs w:val="22"/>
        </w:rPr>
        <w:t xml:space="preserve">System Architecture</w:t>
      </w:r>
      <w:r>
        <w:rPr>
          <w:rFonts w:ascii="Arial" w:cs="Arial" w:eastAsia="Arial" w:hAnsi="Arial"/>
          <w:color w:val="595959"/>
          <w:sz w:val="22"/>
          <w:szCs w:val="22"/>
        </w:rPr>
        <w:t xml:space="preserve">	8</w:t>
      </w:r>
    </w:p>
    <w:p>
      <w:pPr>
        <w:tabs>
          <w:tab w:val="right" w:pos="9360"/>
        </w:tabs>
        <w:spacing w:before="50" w:after="50"/>
      </w:pPr>
      <w:r>
        <w:rPr>
          <w:rFonts w:ascii="Arial" w:cs="Arial" w:eastAsia="Arial" w:hAnsi="Arial"/>
          <w:b/>
          <w:bCs/>
          <w:color w:val="1B3A6B"/>
          <w:sz w:val="22"/>
          <w:szCs w:val="22"/>
        </w:rPr>
        <w:t xml:space="preserve">7.  </w:t>
      </w:r>
      <w:r>
        <w:rPr>
          <w:rFonts w:ascii="Arial" w:cs="Arial" w:eastAsia="Arial" w:hAnsi="Arial"/>
          <w:color w:val="2C2C2C"/>
          <w:sz w:val="22"/>
          <w:szCs w:val="22"/>
        </w:rPr>
        <w:t xml:space="preserve">Implementation Plan</w:t>
      </w:r>
      <w:r>
        <w:rPr>
          <w:rFonts w:ascii="Arial" w:cs="Arial" w:eastAsia="Arial" w:hAnsi="Arial"/>
          <w:color w:val="595959"/>
          <w:sz w:val="22"/>
          <w:szCs w:val="22"/>
        </w:rPr>
        <w:t xml:space="preserve">	10</w:t>
      </w:r>
    </w:p>
    <w:p>
      <w:pPr>
        <w:tabs>
          <w:tab w:val="right" w:pos="9360"/>
        </w:tabs>
        <w:spacing w:before="50" w:after="50"/>
      </w:pPr>
      <w:r>
        <w:rPr>
          <w:rFonts w:ascii="Arial" w:cs="Arial" w:eastAsia="Arial" w:hAnsi="Arial"/>
          <w:b/>
          <w:bCs/>
          <w:color w:val="1B3A6B"/>
          <w:sz w:val="22"/>
          <w:szCs w:val="22"/>
        </w:rPr>
        <w:t xml:space="preserve">8.  </w:t>
      </w:r>
      <w:r>
        <w:rPr>
          <w:rFonts w:ascii="Arial" w:cs="Arial" w:eastAsia="Arial" w:hAnsi="Arial"/>
          <w:color w:val="2C2C2C"/>
          <w:sz w:val="22"/>
          <w:szCs w:val="22"/>
        </w:rPr>
        <w:t xml:space="preserve">Model Options &amp; AI Strategy</w:t>
      </w:r>
      <w:r>
        <w:rPr>
          <w:rFonts w:ascii="Arial" w:cs="Arial" w:eastAsia="Arial" w:hAnsi="Arial"/>
          <w:color w:val="595959"/>
          <w:sz w:val="22"/>
          <w:szCs w:val="22"/>
        </w:rPr>
        <w:t xml:space="preserve">	12</w:t>
      </w:r>
    </w:p>
    <w:p>
      <w:pPr>
        <w:tabs>
          <w:tab w:val="right" w:pos="9360"/>
        </w:tabs>
        <w:spacing w:before="50" w:after="50"/>
      </w:pPr>
      <w:r>
        <w:rPr>
          <w:rFonts w:ascii="Arial" w:cs="Arial" w:eastAsia="Arial" w:hAnsi="Arial"/>
          <w:b/>
          <w:bCs/>
          <w:color w:val="1B3A6B"/>
          <w:sz w:val="22"/>
          <w:szCs w:val="22"/>
        </w:rPr>
        <w:t xml:space="preserve">9.  </w:t>
      </w:r>
      <w:r>
        <w:rPr>
          <w:rFonts w:ascii="Arial" w:cs="Arial" w:eastAsia="Arial" w:hAnsi="Arial"/>
          <w:color w:val="2C2C2C"/>
          <w:sz w:val="22"/>
          <w:szCs w:val="22"/>
        </w:rPr>
        <w:t xml:space="preserve">Data Requirements &amp; Synthetic Data Strategy</w:t>
      </w:r>
      <w:r>
        <w:rPr>
          <w:rFonts w:ascii="Arial" w:cs="Arial" w:eastAsia="Arial" w:hAnsi="Arial"/>
          <w:color w:val="595959"/>
          <w:sz w:val="22"/>
          <w:szCs w:val="22"/>
        </w:rPr>
        <w:t xml:space="preserve">	14</w:t>
      </w:r>
    </w:p>
    <w:p>
      <w:pPr>
        <w:tabs>
          <w:tab w:val="right" w:pos="9360"/>
        </w:tabs>
        <w:spacing w:before="50" w:after="50"/>
      </w:pPr>
      <w:r>
        <w:rPr>
          <w:rFonts w:ascii="Arial" w:cs="Arial" w:eastAsia="Arial" w:hAnsi="Arial"/>
          <w:b/>
          <w:bCs/>
          <w:color w:val="1B3A6B"/>
          <w:sz w:val="22"/>
          <w:szCs w:val="22"/>
        </w:rPr>
        <w:t xml:space="preserve">10.  </w:t>
      </w:r>
      <w:r>
        <w:rPr>
          <w:rFonts w:ascii="Arial" w:cs="Arial" w:eastAsia="Arial" w:hAnsi="Arial"/>
          <w:color w:val="2C2C2C"/>
          <w:sz w:val="22"/>
          <w:szCs w:val="22"/>
        </w:rPr>
        <w:t xml:space="preserve">Result Storage — Writing Back to MySQL</w:t>
      </w:r>
      <w:r>
        <w:rPr>
          <w:rFonts w:ascii="Arial" w:cs="Arial" w:eastAsia="Arial" w:hAnsi="Arial"/>
          <w:color w:val="595959"/>
          <w:sz w:val="22"/>
          <w:szCs w:val="22"/>
        </w:rPr>
        <w:t xml:space="preserve">	17</w:t>
      </w:r>
    </w:p>
    <w:p>
      <w:pPr>
        <w:tabs>
          <w:tab w:val="right" w:pos="9360"/>
        </w:tabs>
        <w:spacing w:before="50" w:after="50"/>
      </w:pPr>
      <w:r>
        <w:rPr>
          <w:rFonts w:ascii="Arial" w:cs="Arial" w:eastAsia="Arial" w:hAnsi="Arial"/>
          <w:b/>
          <w:bCs/>
          <w:color w:val="1B3A6B"/>
          <w:sz w:val="22"/>
          <w:szCs w:val="22"/>
        </w:rPr>
        <w:t xml:space="preserve">11.  </w:t>
      </w:r>
      <w:r>
        <w:rPr>
          <w:rFonts w:ascii="Arial" w:cs="Arial" w:eastAsia="Arial" w:hAnsi="Arial"/>
          <w:color w:val="2C2C2C"/>
          <w:sz w:val="22"/>
          <w:szCs w:val="22"/>
        </w:rPr>
        <w:t xml:space="preserve">Business Impact</w:t>
      </w:r>
      <w:r>
        <w:rPr>
          <w:rFonts w:ascii="Arial" w:cs="Arial" w:eastAsia="Arial" w:hAnsi="Arial"/>
          <w:color w:val="595959"/>
          <w:sz w:val="22"/>
          <w:szCs w:val="22"/>
        </w:rPr>
        <w:t xml:space="preserve">	19</w:t>
      </w:r>
    </w:p>
    <w:p>
      <w:pPr>
        <w:tabs>
          <w:tab w:val="right" w:pos="9360"/>
        </w:tabs>
        <w:spacing w:before="50" w:after="50"/>
      </w:pPr>
      <w:r>
        <w:rPr>
          <w:rFonts w:ascii="Arial" w:cs="Arial" w:eastAsia="Arial" w:hAnsi="Arial"/>
          <w:b/>
          <w:bCs/>
          <w:color w:val="1B3A6B"/>
          <w:sz w:val="22"/>
          <w:szCs w:val="22"/>
        </w:rPr>
        <w:t xml:space="preserve">12.  </w:t>
      </w:r>
      <w:r>
        <w:rPr>
          <w:rFonts w:ascii="Arial" w:cs="Arial" w:eastAsia="Arial" w:hAnsi="Arial"/>
          <w:color w:val="2C2C2C"/>
          <w:sz w:val="22"/>
          <w:szCs w:val="22"/>
        </w:rPr>
        <w:t xml:space="preserve">Risks &amp; Mitigations</w:t>
      </w:r>
      <w:r>
        <w:rPr>
          <w:rFonts w:ascii="Arial" w:cs="Arial" w:eastAsia="Arial" w:hAnsi="Arial"/>
          <w:color w:val="595959"/>
          <w:sz w:val="22"/>
          <w:szCs w:val="22"/>
        </w:rPr>
        <w:t xml:space="preserve">	20</w:t>
      </w:r>
    </w:p>
    <w:p>
      <w:pPr>
        <w:tabs>
          <w:tab w:val="right" w:pos="9360"/>
        </w:tabs>
        <w:spacing w:before="50" w:after="50"/>
      </w:pPr>
      <w:r>
        <w:rPr>
          <w:rFonts w:ascii="Arial" w:cs="Arial" w:eastAsia="Arial" w:hAnsi="Arial"/>
          <w:b/>
          <w:bCs/>
          <w:color w:val="1B3A6B"/>
          <w:sz w:val="22"/>
          <w:szCs w:val="22"/>
        </w:rPr>
        <w:t xml:space="preserve">13.  </w:t>
      </w:r>
      <w:r>
        <w:rPr>
          <w:rFonts w:ascii="Arial" w:cs="Arial" w:eastAsia="Arial" w:hAnsi="Arial"/>
          <w:color w:val="2C2C2C"/>
          <w:sz w:val="22"/>
          <w:szCs w:val="22"/>
        </w:rPr>
        <w:t xml:space="preserve">Conclusion</w:t>
      </w:r>
      <w:r>
        <w:rPr>
          <w:rFonts w:ascii="Arial" w:cs="Arial" w:eastAsia="Arial" w:hAnsi="Arial"/>
          <w:color w:val="595959"/>
          <w:sz w:val="22"/>
          <w:szCs w:val="22"/>
        </w:rPr>
        <w:t xml:space="preserve">	21</w:t>
      </w:r>
    </w:p>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1. Executive Overview</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TPVRM platform gives banks an accurate snapshot of where a vendor's risk stands today. What it cannot do is tell a bank where that risk is heading — or flag a problem before it becomes one. Every assessment cycle produces a score, but no mechanism exists to connect those scores across time and ask: is this vendor getting better or worse, and how fast?</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This document proposes the Predictive Risk Trend Analysis Engine — a new Auditor Service (Port 8009) that reads existing assessment data, applies statistical forecasting, and predicts where each vendor's risk will be over the next 12 months. It also generates plain-English alerts, automates portfolio reporting, and helps banks prioritise remediation budgets for maximum impact.</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8F1F8" w:val="clear"/>
            <w:tcMar>
              <w:top w:type="dxa" w:w="120"/>
              <w:left w:type="dxa" w:w="260"/>
              <w:bottom w:type="dxa" w:w="120"/>
              <w:right w:type="dxa" w:w="200"/>
            </w:tcMar>
          </w:tcPr>
          <w:p>
            <w:pPr>
              <w:spacing w:after="50"/>
            </w:pPr>
            <w:r>
              <w:rPr>
                <w:rFonts w:ascii="Arial" w:cs="Arial" w:eastAsia="Arial" w:hAnsi="Arial"/>
                <w:b/>
                <w:bCs/>
                <w:color w:val="2E75B6"/>
                <w:sz w:val="21"/>
                <w:szCs w:val="21"/>
              </w:rPr>
              <w:t xml:space="preserve">In plain terms</w:t>
            </w:r>
          </w:p>
          <w:p>
            <w:pPr>
              <w:spacing w:after="40"/>
            </w:pPr>
            <w:r>
              <w:rPr>
                <w:rFonts w:ascii="Arial" w:cs="Arial" w:eastAsia="Arial" w:hAnsi="Arial"/>
                <w:color w:val="2C2C2C"/>
                <w:sz w:val="20"/>
                <w:szCs w:val="20"/>
              </w:rPr>
              <w:t xml:space="preserve">If a vendor's risk score has climbed steadily from 2.1 to 3.3 over four quarters, the current platform takes no action until a threshold is crossed. This engine detects that trend, projects it forward, alerts the bank three to four quarters early, and recommends action — all automatically, with no manual analysis required.</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2. Problem Statement</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2.1  The Reactive Risk Management Gap</w:t>
      </w:r>
    </w:p>
    <w:p>
      <w:pPr>
        <w:spacing w:before="60" w:after="100"/>
      </w:pPr>
      <w:r>
        <w:rPr>
          <w:rFonts w:ascii="Arial" w:cs="Arial" w:eastAsia="Arial" w:hAnsi="Arial"/>
          <w:color w:val="2C2C2C"/>
          <w:sz w:val="22"/>
          <w:szCs w:val="22"/>
        </w:rPr>
        <w:t xml:space="preserve">Every risk assessment on the TPVRM platform produces a score — a number between 1.0 and 5.0 — that tells a bank how a vendor looks today. But that score exists in isolation. The platform cannot tell whether a score of 3.1 is the result of steady improvement or the latest step in a deteriorating trend. Both look identical in the current system; they require very different responses.</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This creates three clear gaps in how banks manage vendor risk:</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bCs/>
          <w:color w:val="2C2C2C"/>
          <w:sz w:val="22"/>
          <w:szCs w:val="22"/>
        </w:rPr>
        <w:t xml:space="preserve">No trend awareness. Scores are snapshots, not stories. A vendor who scored 4.2 last quarter and now scores 3.1 is improving rapidly. A vendor who scored 2.1 last quarter and now scores 3.1 is deteriorating rapidly. The platform treats them identically.</w:t>
      </w:r>
    </w:p>
    <w:p>
      <w:pPr>
        <w:pStyle w:val="ListParagraph"/>
        <w:numPr>
          <w:ilvl w:val="0"/>
          <w:numId w:val="2"/>
        </w:numPr>
        <w:spacing w:before="40" w:after="50"/>
      </w:pPr>
      <w:r>
        <w:rPr>
          <w:rFonts w:ascii="Arial" w:cs="Arial" w:eastAsia="Arial" w:hAnsi="Arial"/>
          <w:b/>
          <w:bCs/>
          <w:color w:val="2C2C2C"/>
          <w:sz w:val="22"/>
          <w:szCs w:val="22"/>
        </w:rPr>
        <w:t xml:space="preserve">No early warning. Alerts fire only when a threshold is already crossed. By that point, the trend has typically been running for multiple quarters — the bank is always arriving late to a problem that was visible in the data much earlier.</w:t>
      </w:r>
    </w:p>
    <w:p>
      <w:pPr>
        <w:pStyle w:val="ListParagraph"/>
        <w:numPr>
          <w:ilvl w:val="0"/>
          <w:numId w:val="2"/>
        </w:numPr>
        <w:spacing w:before="40" w:after="50"/>
      </w:pPr>
      <w:r>
        <w:rPr>
          <w:rFonts w:ascii="Arial" w:cs="Arial" w:eastAsia="Arial" w:hAnsi="Arial"/>
          <w:b/>
          <w:bCs/>
          <w:color w:val="2C2C2C"/>
          <w:sz w:val="22"/>
          <w:szCs w:val="22"/>
        </w:rPr>
        <w:t xml:space="preserve">No portfolio foresight. Preparing a board-level view of risk across 500+ vendors requires 3 to 4 analysts working for three weeks — manually compiling, comparing, and narrativising individual assessment records with no automated support.</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2.2  The Concrete Cost of Inaction</w:t>
      </w:r>
    </w:p>
    <w:p>
      <w:pPr>
        <w:spacing w:before="60" w:after="100"/>
      </w:pPr>
      <w:r>
        <w:rPr>
          <w:rFonts w:ascii="Arial" w:cs="Arial" w:eastAsia="Arial" w:hAnsi="Arial"/>
          <w:color w:val="2C2C2C"/>
          <w:sz w:val="22"/>
          <w:szCs w:val="22"/>
        </w:rPr>
        <w:t xml:space="preserve">The following example is drawn directly from the kind of data that already exists in the TPVRM risk_assessments table. A vendor's quarterly final_risk_rating values over eight consecutive cycles tell a clear story — but only to someone who looks at them together:</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900"/>
        <w:gridCol w:w="2660"/>
      </w:tblGrid>
      <w:tr>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Period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Tier</w:t>
            </w:r>
          </w:p>
        </w:tc>
        <w:tc>
          <w:tcPr>
            <w:tcW w:type="dxa" w:w="19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Trend Signal</w:t>
            </w:r>
          </w:p>
        </w:tc>
        <w:tc>
          <w:tcPr>
            <w:tcW w:type="dxa" w:w="26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Platform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2022 Q3</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1.8</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Baseline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Routine monitoring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2022 Q4</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2.1</w:t>
            </w:r>
          </w:p>
        </w:tc>
        <w:tc>
          <w:tcPr>
            <w:tcW w:type="dxa" w:w="16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Low</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+0.3 /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2023 Q1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+0.3 /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2023 Q2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+0.3 /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2023 Q3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Medium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+0.2 /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 action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2023 Q4</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3.3</w:t>
            </w:r>
          </w:p>
        </w:tc>
        <w:tc>
          <w:tcPr>
            <w:tcW w:type="dxa" w:w="160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F5200"/>
                <w:sz w:val="20"/>
                <w:szCs w:val="20"/>
              </w:rPr>
              <w:t xml:space="preserve">+0.4 / quarter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7F5200"/>
                <w:sz w:val="20"/>
                <w:szCs w:val="20"/>
              </w:rPr>
              <w:t xml:space="preserve">First alert fires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2024 Q1 (projected)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3.7</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High</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9C2A10"/>
                <w:sz w:val="20"/>
                <w:szCs w:val="20"/>
              </w:rPr>
              <w:t xml:space="preserve">Continued slope</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9C2A10"/>
                <w:sz w:val="20"/>
                <w:szCs w:val="20"/>
              </w:rPr>
              <w:t xml:space="preserve">Emergency review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2024 Q2 (projected)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4.1</w:t>
            </w:r>
          </w:p>
        </w:tc>
        <w:tc>
          <w:tcPr>
            <w:tcW w:type="dxa" w:w="160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Critical</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9C2A10"/>
                <w:sz w:val="20"/>
                <w:szCs w:val="20"/>
              </w:rPr>
              <w:t xml:space="preserve">Tier breach</w:t>
            </w:r>
          </w:p>
        </w:tc>
        <w:tc>
          <w:tcPr>
            <w:tcW w:type="dxa" w:w="2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9C2A10"/>
                <w:sz w:val="20"/>
                <w:szCs w:val="20"/>
              </w:rPr>
              <w:t xml:space="preserve">Relationship at risk</w:t>
            </w:r>
          </w:p>
        </w:tc>
      </w:tr>
    </w:tbl>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slope of +0.3 to +0.4 per quarter was mathematically detectable from 2022 Q4 onward — five quarters before the first alert was ever fired. An intervention at 2023 Q1 or Q2, when the vendor was still in the Medium tier, would have been far less costly and disruptive than an emergency response at Critical. This is the problem the Predictive Risk Trend Analysis Engine is designed to solve.</w:t>
      </w:r>
    </w:p>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3. Current Situation Analysis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3.1  Existing Platform Capabilities</w:t>
      </w:r>
    </w:p>
    <w:p>
      <w:pPr>
        <w:spacing w:before="60" w:after="100"/>
      </w:pPr>
      <w:r>
        <w:rPr>
          <w:rFonts w:ascii="Arial" w:cs="Arial" w:eastAsia="Arial" w:hAnsi="Arial"/>
          <w:color w:val="2C2C2C"/>
          <w:sz w:val="22"/>
          <w:szCs w:val="22"/>
        </w:rPr>
        <w:t xml:space="preserve">The TPVRM platform is a well-built, production-grade system. Eight microservices handle everything from vendor onboarding and questionnaire workflows to payment processing and PDF report generation. Under the hood, services communicate through a Redis message queue rather than connecting directly to the database — a design that keeps the system stable and scalable under load.</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risk assessment workflow is thorough: vendors complete structured questionnaires, banks review responses, request clarifications where needed, and assign a final risk score. This score — stored as final_risk_rating in the risk_assessments table — is the data point this engine will build on. Every completed assessment cycle adds one more data point to a vendor's history, quietly building the time-series dataset that makes prediction possible.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3.2  What the Existing Data Looks Like</w:t>
      </w:r>
    </w:p>
    <w:p>
      <w:pPr>
        <w:spacing w:before="60" w:after="100"/>
      </w:pPr>
      <w:r>
        <w:rPr>
          <w:rFonts w:ascii="Arial" w:cs="Arial" w:eastAsia="Arial" w:hAnsi="Arial"/>
          <w:color w:val="2C2C2C"/>
          <w:sz w:val="22"/>
          <w:szCs w:val="22"/>
        </w:rPr>
        <w:t xml:space="preserve">Every completed vendor assessment cycle produces one record in risk_assessments linked to one record in questionnaire_submissions. The key columns that matter for trend analysis are: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Table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4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Relevance to Trend Analysis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risk_assessments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final_risk_rating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The primary data point — the numerical score for each cycle. DECIMAL(3,1). Range 1.0 to 5.0.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risk_assessments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assessed_at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Timestamp of assessment completion — used to assign each score to a calendar quarter.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questionnaire_submissions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 bank_id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Links each risk score to a specific vendor-bank relationship, enabling per-vendor per-bank trend lines.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questionnaire_submissions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Only COMPLETED submissions are valid for trend analysis. DRAFT and UNDER_REVIEW records are excluded.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vendor_bank_subscriptions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 bank_id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Enumerates which vendors are subscribed to which banks — the universe of vendor-bank pairs for portfolio analysis.</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3.3  The Missing Layer</w:t>
      </w:r>
    </w:p>
    <w:p>
      <w:pPr>
        <w:spacing w:before="60" w:after="100"/>
      </w:pPr>
      <w:r>
        <w:rPr>
          <w:rFonts w:ascii="Arial" w:cs="Arial" w:eastAsia="Arial" w:hAnsi="Arial"/>
          <w:color w:val="2C2C2C"/>
          <w:sz w:val="22"/>
          <w:szCs w:val="22"/>
        </w:rPr>
        <w:t xml:space="preserve">What the current system cannot do, and what this engine adds: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Current Capability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Missing Capability (Added by This Engine)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Stores each quarter's risk score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Connects scores across quarters to form a trajectory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Alerts when a threshold is crossed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Predicts which vendors will cross a threshold and when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Shows current risk tier per vendor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Projects future tier with confidence intervals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Requires manual portfolio compilation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Automates portfolio-wide forecast in under 2 hours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 intervention guidance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Models remediation scenarios and calculates ROI per vendor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Numerical scores only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AI-generated plain-English narratives and recommendations</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4. Objectives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4.1  Primary Objectives</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Predictive Risk Trend Analysis Engine has the following primary objectives, each of which maps directly to a gap identified in the problem statement:</w:t>
      </w:r>
    </w:p>
    <w:p>
      <w:pPr>
        <w:spacing w:before="0" w:after="100"/>
      </w:pPr>
      <w:r>
        <w:rPr>
          <w:rFonts w:ascii="Arial" w:cs="Arial" w:eastAsia="Arial" w:hAnsi="Arial"/>
        </w:rPr>
        <w:t xml:space="preserve"/>
      </w:r>
    </w:p>
    <w:p>
      <w:pPr>
        <w:pStyle w:val="ListParagraph"/>
        <w:numPr>
          <w:ilvl w:val="0"/>
          <w:numId w:val="3"/>
        </w:numPr>
        <w:spacing w:before="40" w:after="50"/>
      </w:pPr>
      <w:r>
        <w:rPr>
          <w:rFonts w:ascii="Arial" w:cs="Arial" w:eastAsia="Arial" w:hAnsi="Arial"/>
          <w:color w:val="2C2C2C"/>
          <w:sz w:val="22"/>
          <w:szCs w:val="22"/>
        </w:rPr>
        <w:t xml:space="preserve">Enable proactive risk detection. Detect vendor risk deterioration at least three to four quarters before a tier boundary is crossed, giving bank risk officers a meaningful window to intervene, investigate, or negotiate remediation.</w:t>
      </w:r>
    </w:p>
    <w:p>
      <w:pPr>
        <w:pStyle w:val="ListParagraph"/>
        <w:numPr>
          <w:ilvl w:val="0"/>
          <w:numId w:val="3"/>
        </w:numPr>
        <w:spacing w:before="40" w:after="50"/>
      </w:pPr>
      <w:r>
        <w:rPr>
          <w:rFonts w:ascii="Arial" w:cs="Arial" w:eastAsia="Arial" w:hAnsi="Arial"/>
          <w:color w:val="2C2C2C"/>
          <w:sz w:val="22"/>
          <w:szCs w:val="22"/>
        </w:rPr>
        <w:t xml:space="preserve">Automate portfolio intelligence. Replace the manual three-week portfolio compilation process with an automated system that produces a complete bank-wide risk forecast, including board-ready narrative, in under two hours.</w:t>
      </w:r>
    </w:p>
    <w:p>
      <w:pPr>
        <w:pStyle w:val="ListParagraph"/>
        <w:numPr>
          <w:ilvl w:val="0"/>
          <w:numId w:val="3"/>
        </w:numPr>
        <w:spacing w:before="40" w:after="50"/>
      </w:pPr>
      <w:r>
        <w:rPr>
          <w:rFonts w:ascii="Arial" w:cs="Arial" w:eastAsia="Arial" w:hAnsi="Arial"/>
          <w:color w:val="2C2C2C"/>
          <w:sz w:val="22"/>
          <w:szCs w:val="22"/>
        </w:rPr>
        <w:t xml:space="preserve">Quantify intervention value. Give risk teams a data-driven basis for allocating vendor development budgets by modelling the expected risk reduction and financial return on investment for each potential intervention.</w:t>
      </w:r>
    </w:p>
    <w:p>
      <w:pPr>
        <w:pStyle w:val="ListParagraph"/>
        <w:numPr>
          <w:ilvl w:val="0"/>
          <w:numId w:val="3"/>
        </w:numPr>
        <w:spacing w:before="40" w:after="50"/>
      </w:pPr>
      <w:r>
        <w:rPr>
          <w:rFonts w:ascii="Arial" w:cs="Arial" w:eastAsia="Arial" w:hAnsi="Arial"/>
          <w:color w:val="2C2C2C"/>
          <w:sz w:val="22"/>
          <w:szCs w:val="22"/>
        </w:rPr>
        <w:t xml:space="preserve">Generate human-readable insight. Ensure that every statistical output is accompanied by a plain-English explanation that a non-technical bank officer or board member can understand and act on without reference to the underlying numbers.</w:t>
      </w:r>
    </w:p>
    <w:p>
      <w:pPr>
        <w:pStyle w:val="ListParagraph"/>
        <w:numPr>
          <w:ilvl w:val="0"/>
          <w:numId w:val="3"/>
        </w:numPr>
        <w:spacing w:before="40" w:after="50"/>
      </w:pPr>
      <w:r>
        <w:rPr>
          <w:rFonts w:ascii="Arial" w:cs="Arial" w:eastAsia="Arial" w:hAnsi="Arial"/>
          <w:color w:val="2C2C2C"/>
          <w:sz w:val="22"/>
          <w:szCs w:val="22"/>
        </w:rPr>
        <w:t xml:space="preserve">Integrate without disruption. Build the capability as a new, isolated microservice that reads from existing data and writes only to its own tables — requiring zero changes to any existing service, table, or workflow.</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4.2  Secondary Objectives</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Establish a reusable forecasting infrastructure that can be extended in future to cover other time-series metrics beyond risk scores — such as payment delays, clarification frequency, or questionnaire completion rates.</w:t>
      </w:r>
    </w:p>
    <w:p>
      <w:pPr>
        <w:pStyle w:val="ListParagraph"/>
        <w:numPr>
          <w:ilvl w:val="0"/>
          <w:numId w:val="2"/>
        </w:numPr>
        <w:spacing w:before="40" w:after="50"/>
      </w:pPr>
      <w:r>
        <w:rPr>
          <w:rFonts w:ascii="Arial" w:cs="Arial" w:eastAsia="Arial" w:hAnsi="Arial"/>
          <w:b w:val="false"/>
          <w:bCs w:val="false"/>
          <w:color w:val="2C2C2C"/>
          <w:sz w:val="22"/>
          <w:szCs w:val="22"/>
        </w:rPr>
        <w:t xml:space="preserve">Provide a foundation for regulatory reporting by maintaining a structured, auditable record of all predictions, alerts, and simulation results in dedicated database tables.</w:t>
      </w:r>
    </w:p>
    <w:p>
      <w:pPr>
        <w:pStyle w:val="ListParagraph"/>
        <w:numPr>
          <w:ilvl w:val="0"/>
          <w:numId w:val="2"/>
        </w:numPr>
        <w:spacing w:before="40" w:after="50"/>
      </w:pPr>
      <w:r>
        <w:rPr>
          <w:rFonts w:ascii="Arial" w:cs="Arial" w:eastAsia="Arial" w:hAnsi="Arial"/>
          <w:b w:val="false"/>
          <w:bCs w:val="false"/>
          <w:color w:val="2C2C2C"/>
          <w:sz w:val="22"/>
          <w:szCs w:val="22"/>
        </w:rPr>
        <w:t xml:space="preserve">Deliver fault-tolerant design where the statistical forecasting layer operates independently of the AI narrative layer, ensuring that a third-party API outage never prevents a risk officer from receiving their forecast.</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4.3  Success Criteria</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Objective</w:t>
            </w:r>
          </w:p>
        </w:tc>
        <w:tc>
          <w:tcPr>
            <w:tcW w:type="dxa" w:w="2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Measurement</w:t>
            </w:r>
          </w:p>
        </w:tc>
        <w:tc>
          <w:tcPr>
            <w:tcW w:type="dxa" w:w="2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Target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Early detection of deteriorating vendors</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Quarters of advance warning before breach</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Minimum 3 quarters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reporting time reduction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Hours to complete board-ready summary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Under 2 hours vs. 3 weeks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Analyst time saved per cycle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Hours freed from manual work</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500+ hours annually</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risk reduction with optimised budget</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risk delta under ROI-guided allocation</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23% vs. 8% baseline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System availability</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Statistical layer uptime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Unaffected by LLM outages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Single vendor forecast response time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End-to-end API response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Under 8 seconds</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5. Solution Approach</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5.1  Design Philosophy</w:t>
      </w:r>
    </w:p>
    <w:p>
      <w:pPr>
        <w:spacing w:before="60" w:after="100"/>
      </w:pPr>
      <w:r>
        <w:rPr>
          <w:rFonts w:ascii="Arial" w:cs="Arial" w:eastAsia="Arial" w:hAnsi="Arial"/>
          <w:color w:val="2C2C2C"/>
          <w:sz w:val="22"/>
          <w:szCs w:val="22"/>
        </w:rPr>
        <w:t xml:space="preserve">The solution is designed around two non-negotiable principles. First, predictions must be grounded in mathematics — not heuristics, not rules of thumb, and not AI hallucinations. Every forecast starts with a statistical calculation performed on real historical data. Second, those statistical outputs must be interpretable by non-technical users. A slope of +0.38 per quarter is meaningful to a data scientist but opaque to a Chief Risk Officer preparing a board presentation. The AI narrative layer bridges this gap.</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These two principles lead directly to the hybrid two-layer architecture at the heart of the Auditor Service.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5.2  The Hybrid Intelligence Engine</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Layer 1 — Statistical Forecasting Engine</w:t>
      </w:r>
    </w:p>
    <w:p>
      <w:pPr>
        <w:spacing w:before="60" w:after="100"/>
      </w:pPr>
      <w:r>
        <w:rPr>
          <w:rFonts w:ascii="Arial" w:cs="Arial" w:eastAsia="Arial" w:hAnsi="Arial"/>
          <w:color w:val="2C2C2C"/>
          <w:sz w:val="22"/>
          <w:szCs w:val="22"/>
        </w:rPr>
        <w:t xml:space="preserve">The statistical engine is implemented in trend_engine.py. It operates on a time-series of quarterly risk scores — one data point per completed assessment cycle — and performs the following computations:</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Slope calculation. Linear regression is applied across all available quarterly scores using scipy.stats.linregress. The slope coefficient (units: risk score change per quarter) is the primary output. A positive slope indicates deterioration; a negative slope indicates improvement.</w:t>
      </w:r>
    </w:p>
    <w:p>
      <w:pPr>
        <w:pStyle w:val="ListParagraph"/>
        <w:numPr>
          <w:ilvl w:val="0"/>
          <w:numId w:val="2"/>
        </w:numPr>
        <w:spacing w:before="40" w:after="50"/>
      </w:pPr>
      <w:r>
        <w:rPr>
          <w:rFonts w:ascii="Arial" w:cs="Arial" w:eastAsia="Arial" w:hAnsi="Arial"/>
          <w:b w:val="false"/>
          <w:bCs w:val="false"/>
          <w:color w:val="2C2C2C"/>
          <w:sz w:val="22"/>
          <w:szCs w:val="22"/>
        </w:rPr>
        <w:t xml:space="preserve">Trajectory classification. The slope is mapped to one of three classifications: IMPROVING (slope below −0.10), STABLE (slope between −0.10 and +0.10), or DETERIORATING (slope above +0.10). These thresholds are configurable.</w:t>
      </w:r>
    </w:p>
    <w:p>
      <w:pPr>
        <w:pStyle w:val="ListParagraph"/>
        <w:numPr>
          <w:ilvl w:val="0"/>
          <w:numId w:val="2"/>
        </w:numPr>
        <w:spacing w:before="40" w:after="50"/>
      </w:pPr>
      <w:r>
        <w:rPr>
          <w:rFonts w:ascii="Arial" w:cs="Arial" w:eastAsia="Arial" w:hAnsi="Arial"/>
          <w:b w:val="false"/>
          <w:bCs w:val="false"/>
          <w:color w:val="2C2C2C"/>
          <w:sz w:val="22"/>
          <w:szCs w:val="22"/>
        </w:rPr>
        <w:t xml:space="preserve">Four-quarter forward projection. The regression line is extended four quarters beyond the most recent data point, producing four projected score values (Q+1 through Q+4).</w:t>
      </w:r>
    </w:p>
    <w:p>
      <w:pPr>
        <w:pStyle w:val="ListParagraph"/>
        <w:numPr>
          <w:ilvl w:val="0"/>
          <w:numId w:val="2"/>
        </w:numPr>
        <w:spacing w:before="40" w:after="50"/>
      </w:pPr>
      <w:r>
        <w:rPr>
          <w:rFonts w:ascii="Arial" w:cs="Arial" w:eastAsia="Arial" w:hAnsi="Arial"/>
          <w:b w:val="false"/>
          <w:bCs w:val="false"/>
          <w:color w:val="2C2C2C"/>
          <w:sz w:val="22"/>
          <w:szCs w:val="22"/>
        </w:rPr>
        <w:t xml:space="preserve">Confidence intervals. Each projected score is accompanied by a confidence interval. The interval width increases with forecast distance: Q+1 uses a multiplier of 1.0x the residual standard error, Q+2 uses 1.4x, Q+3 uses 1.7x, and Q+4 uses 2.0x. This correctly represents that near-term forecasts are more reliable than long-term ones.</w:t>
      </w:r>
    </w:p>
    <w:p>
      <w:pPr>
        <w:pStyle w:val="ListParagraph"/>
        <w:numPr>
          <w:ilvl w:val="0"/>
          <w:numId w:val="2"/>
        </w:numPr>
        <w:spacing w:before="40" w:after="50"/>
      </w:pPr>
      <w:r>
        <w:rPr>
          <w:rFonts w:ascii="Arial" w:cs="Arial" w:eastAsia="Arial" w:hAnsi="Arial"/>
          <w:b w:val="false"/>
          <w:bCs w:val="false"/>
          <w:color w:val="2C2C2C"/>
          <w:sz w:val="22"/>
          <w:szCs w:val="22"/>
        </w:rPr>
        <w:t xml:space="preserve">Tier breach detection. Each projected score is mapped to a risk tier (Low / Medium / High / Critical). Whenever a projected quarter crosses a tier boundary relative to the vendor's current tier, a breach event is recorded and an alert is triggered.</w:t>
      </w:r>
    </w:p>
    <w:p>
      <w:pPr>
        <w:pStyle w:val="ListParagraph"/>
        <w:numPr>
          <w:ilvl w:val="0"/>
          <w:numId w:val="2"/>
        </w:numPr>
        <w:spacing w:before="40" w:after="50"/>
      </w:pPr>
      <w:r>
        <w:rPr>
          <w:rFonts w:ascii="Arial" w:cs="Arial" w:eastAsia="Arial" w:hAnsi="Arial"/>
          <w:b w:val="false"/>
          <w:bCs w:val="false"/>
          <w:color w:val="2C2C2C"/>
          <w:sz w:val="22"/>
          <w:szCs w:val="22"/>
        </w:rPr>
        <w:t xml:space="preserve">ROI calculation (simulation mode). When operating in intervention simulation mode, the engine models three scenarios — baseline, standard remediation, intensive support — by applying slope multipliers to the forward projections and calculating risk reduction per dollar of budget allocated.</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Layer 2 — LLM Narrative Engine</w:t>
      </w:r>
    </w:p>
    <w:p>
      <w:pPr>
        <w:spacing w:before="60" w:after="100"/>
      </w:pPr>
      <w:r>
        <w:rPr>
          <w:rFonts w:ascii="Arial" w:cs="Arial" w:eastAsia="Arial" w:hAnsi="Arial"/>
          <w:color w:val="2C2C2C"/>
          <w:sz w:val="22"/>
          <w:szCs w:val="22"/>
        </w:rPr>
        <w:t xml:space="preserve">The LLM engine is implemented in llm_service.py. It receives the complete statistical output as structured context and calls the Claude AI API to generate:</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Vendor alert narratives. For each vendor with a DETERIORATING trajectory or a projected tier breach, a concise, actionable alert message is generated that states the current trajectory, the projected outcome, the confidence level, and a specific recommended action.</w:t>
      </w:r>
    </w:p>
    <w:p>
      <w:pPr>
        <w:pStyle w:val="ListParagraph"/>
        <w:numPr>
          <w:ilvl w:val="0"/>
          <w:numId w:val="2"/>
        </w:numPr>
        <w:spacing w:before="40" w:after="50"/>
      </w:pPr>
      <w:r>
        <w:rPr>
          <w:rFonts w:ascii="Arial" w:cs="Arial" w:eastAsia="Arial" w:hAnsi="Arial"/>
          <w:b w:val="false"/>
          <w:bCs w:val="false"/>
          <w:color w:val="2C2C2C"/>
          <w:sz w:val="22"/>
          <w:szCs w:val="22"/>
        </w:rPr>
        <w:t xml:space="preserve">Portfolio summaries. For portfolio-level forecasts, a board-ready narrative is generated that describes the overall portfolio risk trajectory, highlights the top drivers of risk increase, and frames the findings in terms that are meaningful for governance and reporting.</w:t>
      </w:r>
    </w:p>
    <w:p>
      <w:pPr>
        <w:pStyle w:val="ListParagraph"/>
        <w:numPr>
          <w:ilvl w:val="0"/>
          <w:numId w:val="2"/>
        </w:numPr>
        <w:spacing w:before="40" w:after="50"/>
      </w:pPr>
      <w:r>
        <w:rPr>
          <w:rFonts w:ascii="Arial" w:cs="Arial" w:eastAsia="Arial" w:hAnsi="Arial"/>
          <w:b w:val="false"/>
          <w:bCs w:val="false"/>
          <w:color w:val="2C2C2C"/>
          <w:sz w:val="22"/>
          <w:szCs w:val="22"/>
        </w:rPr>
        <w:t xml:space="preserve">Intervention rationale. For simulation results, the LLM generates an explanation of why specific vendors are ranked highest for investment and what the expected outcomes of each scenario would be.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8F1F8" w:val="clear"/>
            <w:tcMar>
              <w:top w:type="dxa" w:w="120"/>
              <w:left w:type="dxa" w:w="260"/>
              <w:bottom w:type="dxa" w:w="120"/>
              <w:right w:type="dxa" w:w="200"/>
            </w:tcMar>
          </w:tcPr>
          <w:p>
            <w:pPr>
              <w:spacing w:after="50"/>
            </w:pPr>
            <w:r>
              <w:rPr>
                <w:rFonts w:ascii="Arial" w:cs="Arial" w:eastAsia="Arial" w:hAnsi="Arial"/>
                <w:b/>
                <w:bCs/>
                <w:color w:val="2E75B6"/>
                <w:sz w:val="21"/>
                <w:szCs w:val="21"/>
              </w:rPr>
              <w:t xml:space="preserve">Critical Design Decision — Layer Independence</w:t>
            </w:r>
          </w:p>
          <w:p>
            <w:pPr>
              <w:spacing w:after="40"/>
            </w:pPr>
            <w:r>
              <w:rPr>
                <w:rFonts w:ascii="Arial" w:cs="Arial" w:eastAsia="Arial" w:hAnsi="Arial"/>
                <w:color w:val="2C2C2C"/>
                <w:sz w:val="20"/>
                <w:szCs w:val="20"/>
              </w:rPr>
              <w:t xml:space="preserve">The statistical and LLM layers are completely independent. The statistical engine runs first and its output is always valid and complete on its own. The LLM call is made after statistics are computed, and it is wrapped in error handling that catches any API failure. If the LLM layer fails for any reason — API timeout, rate limit, network error — the API response is still returned with all statistical data intact and the narrative field set to null. A third-party API outage will never prevent a risk officer from receiving a forecast.</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5.3  Three Functional Modules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Module</w:t>
            </w:r>
          </w:p>
        </w:tc>
        <w:tc>
          <w:tcPr>
            <w:tcW w:type="dxa" w:w="3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Inputs</w:t>
            </w:r>
          </w:p>
        </w:tc>
        <w:tc>
          <w:tcPr>
            <w:tcW w:type="dxa" w:w="36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Outputs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Vendor Trend Analyzer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 bank_id — a single vendor-bank pair</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Trajectory class, slope, 4-quarter projections with CI, risk tier per quarter, breach alerts, LLM narrative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Portfolio Forecaster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 — all vendors subscribed to the bank</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Per-vendor trend summaries, tier-level counts, portfolio risk delta %, top 10 risk drivers, board narrative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Intervention Simulator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 list of vendor_ids (up to 20), total_budget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Per-vendor three-scenario projections, ROI score, ROI rank, budget allocation recommendation, LLM rationale</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6. System Architecture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6.1  Service Identity &amp; Integration Position</w:t>
      </w:r>
    </w:p>
    <w:p>
      <w:pPr>
        <w:spacing w:before="60" w:after="100"/>
      </w:pPr>
      <w:r>
        <w:rPr>
          <w:rFonts w:ascii="Arial" w:cs="Arial" w:eastAsia="Arial" w:hAnsi="Arial"/>
          <w:color w:val="2C2C2C"/>
          <w:sz w:val="22"/>
          <w:szCs w:val="22"/>
        </w:rPr>
        <w:t xml:space="preserve">The Auditor Service is the ninth microservice in the TPVRM backend. It follows identical architectural conventions to all existing services: Django REST Framework, a Redis-backed database client for all persistence operations, JWT-based authentication, and a structured folder layout. It runs on Port 8009 and is integrated into the existing start_all_services.sh and docker-compose.yml infrastructure.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6.2  Folder Structure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File / Directory</w:t>
            </w:r>
          </w:p>
        </w:tc>
        <w:tc>
          <w:tcPr>
            <w:tcW w:type="dxa" w:w="5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Purpose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bCs/>
                <w:color w:val="2C2C2C"/>
                <w:sz w:val="20"/>
                <w:szCs w:val="20"/>
              </w:rPr>
              <w:t xml:space="preserve">Backend/auditor_service/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Service root directory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.env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REDIS_URL, ANTHROPIC_API_KEY, DB_SERVICE_HOST, SERVICE_PORT=8009</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manage.py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Django management entry point — identical to all other services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requirements.txt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django, djangorestframework, redis, numpy, scipy, anthropic, python-decouple, uvicorn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auditor_service/settings.py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Django settings, installed apps, CORS headers, Redis URL, Claude API key injection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auditor_service/urls.py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Root routing: path("api/v1/auditor/", include("apps.auditor.urls"))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apps/auditor/__init__.py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 package marker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apps/auditor/urls.py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App-level routing for all 5 endpoints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apps/auditor/views.py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DRF @api_view handlers — orchestrates engine calls, DB writes, response assembly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apps/auditor/serializers.py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Request validation and response serialisation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apps/auditor/trend_engine.py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Statistical core: regression, CI, trajectory classification, ROI computation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apps/auditor/llm_service.py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API integration: narrative and alert text generation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apps/auditor/utils.py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Risk label mapping, tier thresholds, quarter assignment from timestamps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  shared/db_client.py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Imported from shared directory — Redis Stream / Pub-Sub database client (unchanged)</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6.3  API Endpoints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3880"/>
        <w:gridCol w:w="1800"/>
        <w:gridCol w:w="2600"/>
      </w:tblGrid>
      <w:tr>
        <w:tc>
          <w:tcPr>
            <w:tcW w:type="dxa" w:w="10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Method</w:t>
            </w:r>
          </w:p>
        </w:tc>
        <w:tc>
          <w:tcPr>
            <w:tcW w:type="dxa" w:w="38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Endpoint</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Auth</w:t>
            </w:r>
          </w:p>
        </w:tc>
        <w:tc>
          <w:tcPr>
            <w:tcW w:type="dxa" w:w="2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Module</w:t>
            </w:r>
          </w:p>
        </w:tc>
      </w:tr>
      <w:tr>
        <w:tc>
          <w:tcPr>
            <w:tcW w:type="dxa" w:w="10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POST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/api/v1/auditor/trend/vendor/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ACCESSOR (Bank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Trend Analyzer</w:t>
            </w:r>
          </w:p>
        </w:tc>
      </w:tr>
      <w:tr>
        <w:tc>
          <w:tcPr>
            <w:tcW w:type="dxa" w:w="10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POST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/api/v1/auditor/trend/portfolio/</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ACCESSOR (Bank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Forecaster</w:t>
            </w:r>
          </w:p>
        </w:tc>
      </w:tr>
      <w:tr>
        <w:tc>
          <w:tcPr>
            <w:tcW w:type="dxa" w:w="108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POST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/api/v1/auditor/simulate/intervention/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ACCESSOR (Bank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Intervention Simulator</w:t>
            </w:r>
          </w:p>
        </w:tc>
      </w:tr>
      <w:tr>
        <w:tc>
          <w:tcPr>
            <w:tcW w:type="dxa" w:w="10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1E6E42"/>
                <w:sz w:val="20"/>
                <w:szCs w:val="20"/>
              </w:rPr>
              <w:t xml:space="preserve">GET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/api/v1/auditor/alerts/active/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ACCESSOR (Bank Admin)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 Dashboard</w:t>
            </w:r>
          </w:p>
        </w:tc>
      </w:tr>
      <w:tr>
        <w:tc>
          <w:tcPr>
            <w:tcW w:type="dxa" w:w="10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bCs/>
                <w:color w:val="1E6E42"/>
                <w:sz w:val="20"/>
                <w:szCs w:val="20"/>
              </w:rPr>
              <w:t xml:space="preserve">GET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/api/v1/auditor/health/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Public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Health Check</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6.4  Request Processing Flow</w:t>
      </w:r>
    </w:p>
    <w:p>
      <w:pPr>
        <w:spacing w:before="60" w:after="100"/>
      </w:pPr>
      <w:r>
        <w:rPr>
          <w:rFonts w:ascii="Arial" w:cs="Arial" w:eastAsia="Arial" w:hAnsi="Arial"/>
          <w:color w:val="2C2C2C"/>
          <w:sz w:val="22"/>
          <w:szCs w:val="22"/>
        </w:rPr>
        <w:t xml:space="preserve">Every request through the Auditor Service follows this deterministic seven-step sequence: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Layer</w:t>
            </w:r>
          </w:p>
        </w:tc>
        <w:tc>
          <w:tcPr>
            <w:tcW w:type="dxa" w:w="62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Authentication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JWT Bearer token extracted and validated via @auth_required decorator. bank_id extracted from token payload — never from request body.</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Data Fetch</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Historical risk scores queried via db_client.query() → Redis xadd → DB Service → MySQL. Minimum 8-quarter check applied before proceeding.</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Statistical Engine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trend_engine.py runs linear regression, computes slope, classifies trajectory, generates 4-quarter projections with widening CI, identifies tier breaches.</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 Engine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llm_service.py passes structured statistical output to Claude API. Narrative text returned. Try-except wraps entire call — failure sets narrative to null without blocking response.</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Persistence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Prediction record, alert records (if applicable), and simulation results written to auditor_* tables via db_client → Redis → DB Service → MySQL.</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Notification</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If high-severity alert generated, Redis message published to Notification Service channel for email dispatch to bank admin.</w:t>
            </w:r>
          </w:p>
        </w:tc>
      </w:tr>
      <w:tr>
        <w:tc>
          <w:tcPr>
            <w:tcW w:type="dxa" w:w="700"/>
            <w:tcBorders>
              <w:top w:val="single" w:color="CCCCCC" w:sz="1"/>
              <w:left w:val="single" w:color="CCCCCC" w:sz="1"/>
              <w:bottom w:val="single" w:color="CCCCCC" w:sz="1"/>
              <w:right w:val="single" w:color="CCCCCC" w:sz="1"/>
            </w:tcBorders>
            <w:shd w:fill="E8F1F8" w:val="clear"/>
            <w:tcMar>
              <w:top w:type="dxa" w:w="80"/>
              <w:left w:type="dxa" w:w="140"/>
              <w:bottom w:type="dxa" w:w="80"/>
              <w:right w:type="dxa" w:w="140"/>
            </w:tcMar>
          </w:tcPr>
          <w:p>
            <w:pPr>
              <w:jc w:val="center"/>
            </w:pPr>
            <w:r>
              <w:rPr>
                <w:rFonts w:ascii="Arial" w:cs="Arial" w:eastAsia="Arial" w:hAnsi="Arial"/>
                <w:b w:val="false"/>
                <w:bCs w:val="false"/>
                <w:color w:val="2C2C2C"/>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Response</w:t>
            </w:r>
          </w:p>
        </w:tc>
        <w:tc>
          <w:tcPr>
            <w:tcW w:type="dxa" w:w="6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Assembled JSON response returned to client with HTTP 200. Includes statistical data, projections, alert objects, narrative, and prediction_id reference.</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7. Implementation Plan</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7.1  Phased Delivery Overview</w:t>
      </w:r>
    </w:p>
    <w:p>
      <w:pPr>
        <w:spacing w:before="60" w:after="100"/>
      </w:pPr>
      <w:r>
        <w:rPr>
          <w:rFonts w:ascii="Arial" w:cs="Arial" w:eastAsia="Arial" w:hAnsi="Arial"/>
          <w:color w:val="2C2C2C"/>
          <w:sz w:val="22"/>
          <w:szCs w:val="22"/>
        </w:rPr>
        <w:t xml:space="preserve">The implementation is structured into five sequential phases. Each phase has a defined deliverable set that can be independently reviewed and tested before the next phase begins. This phased approach ensures that complexity is introduced incrementally and that issues in any one layer are caught before they cascade into dependent layers.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1800"/>
        <w:gridCol w:w="4320"/>
        <w:gridCol w:w="1600"/>
        <w:gridCol w:w="1000"/>
      </w:tblGrid>
      <w:tr>
        <w:tc>
          <w:tcPr>
            <w:tcW w:type="dxa" w:w="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Name</w:t>
            </w:r>
          </w:p>
        </w:tc>
        <w:tc>
          <w:tcPr>
            <w:tcW w:type="dxa" w:w="43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Deliverables</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Depends On</w:t>
            </w:r>
          </w:p>
        </w:tc>
        <w:tc>
          <w:tcPr>
            <w:tcW w:type="dxa" w:w="1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Effort</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1</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Foundation</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Django project scaffold, settings.py, .env config, root and app-level URL routing, db_client integration, utils.py (risk labels, tier mapping, quarter extraction), SQL CREATE TABLE statements for 4 new auditor_* tables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Existing shared/ directory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days</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2</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Statistical Engine</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trend_engine.py: calculate_slope(), project_forward(), classify_trajectory(), calculate_confidence_intervals(), detect_tier_breaches(), calculate_roi(). Full unit test suite with synthetic score data covering edge cases (flat trends, rapid spikes, minimum data boundary)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Phase 1 complete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2–3 days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 Layer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llm_service.py: generate_vendor_narrative(), generate_portfolio_summary(), generate_intervention_rationale(). Prompt engineering for each context type. Graceful degradation testing. Claude API key configuration and environment variable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Phase 2 output contracts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days</w:t>
            </w:r>
          </w:p>
        </w:tc>
      </w:tr>
      <w:tr>
        <w:tc>
          <w:tcPr>
            <w:tcW w:type="dxa" w:w="6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4</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 Layer</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serializers.py (request validation, response shapes). views.py (all 5 endpoint handlers, auth integration, engine orchestration, error handling). apps/auditor/urls.py routing. Integration tests against real Redis + DB Service.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Phases 2 and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2–3 days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5</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Integration &amp; Hardening</w:t>
            </w:r>
          </w:p>
        </w:tc>
        <w:tc>
          <w:tcPr>
            <w:tcW w:type="dxa" w:w="43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End-to-end tests with real assessment data from devtestdb. Notification Service integration and alert dispatch verification. Health endpoint implementation. Docker Compose entry. start_all_services.sh update. Performance profiling on portfolio endpoint with 50+ vendors.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All phases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days</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7.2  File Build Sequence Within Phases</w:t>
      </w:r>
    </w:p>
    <w:p>
      <w:pPr>
        <w:spacing w:before="60" w:after="100"/>
      </w:pPr>
      <w:r>
        <w:rPr>
          <w:rFonts w:ascii="Arial" w:cs="Arial" w:eastAsia="Arial" w:hAnsi="Arial"/>
          <w:color w:val="2C2C2C"/>
          <w:sz w:val="22"/>
          <w:szCs w:val="22"/>
        </w:rPr>
        <w:t xml:space="preserve">Within each phase, files are built in strict dependency order to ensure that each component has its contract defined before it is consumed:</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Phase 1 sequence: .env → settings.py → auditor_service/urls.py → utils.py → SQL schema statements executed via DB Service → apps/auditor/urls.py (stub)</w:t>
      </w:r>
    </w:p>
    <w:p>
      <w:pPr>
        <w:pStyle w:val="ListParagraph"/>
        <w:numPr>
          <w:ilvl w:val="0"/>
          <w:numId w:val="2"/>
        </w:numPr>
        <w:spacing w:before="40" w:after="50"/>
      </w:pPr>
      <w:r>
        <w:rPr>
          <w:rFonts w:ascii="Arial" w:cs="Arial" w:eastAsia="Arial" w:hAnsi="Arial"/>
          <w:b w:val="false"/>
          <w:bCs w:val="false"/>
          <w:color w:val="2C2C2C"/>
          <w:sz w:val="22"/>
          <w:szCs w:val="22"/>
        </w:rPr>
        <w:t xml:space="preserve">Phase 2 sequence: trend_engine.py (self-contained, no service dependencies) → unit tests → verify against synthetic data</w:t>
      </w:r>
    </w:p>
    <w:p>
      <w:pPr>
        <w:pStyle w:val="ListParagraph"/>
        <w:numPr>
          <w:ilvl w:val="0"/>
          <w:numId w:val="2"/>
        </w:numPr>
        <w:spacing w:before="40" w:after="50"/>
      </w:pPr>
      <w:r>
        <w:rPr>
          <w:rFonts w:ascii="Arial" w:cs="Arial" w:eastAsia="Arial" w:hAnsi="Arial"/>
          <w:b w:val="false"/>
          <w:bCs w:val="false"/>
          <w:color w:val="2C2C2C"/>
          <w:sz w:val="22"/>
          <w:szCs w:val="22"/>
        </w:rPr>
        <w:t xml:space="preserve">Phase 3 sequence: llm_service.py (depends on trend_engine output format as input contract) → prompt templates → degradation tests</w:t>
      </w:r>
    </w:p>
    <w:p>
      <w:pPr>
        <w:pStyle w:val="ListParagraph"/>
        <w:numPr>
          <w:ilvl w:val="0"/>
          <w:numId w:val="2"/>
        </w:numPr>
        <w:spacing w:before="40" w:after="50"/>
      </w:pPr>
      <w:r>
        <w:rPr>
          <w:rFonts w:ascii="Arial" w:cs="Arial" w:eastAsia="Arial" w:hAnsi="Arial"/>
          <w:b w:val="false"/>
          <w:bCs w:val="false"/>
          <w:color w:val="2C2C2C"/>
          <w:sz w:val="22"/>
          <w:szCs w:val="22"/>
        </w:rPr>
        <w:t xml:space="preserve">Phase 4 sequence: serializers.py → views.py → apps/auditor/urls.py (final routing) → integration tests</w:t>
      </w:r>
    </w:p>
    <w:p>
      <w:pPr>
        <w:pStyle w:val="ListParagraph"/>
        <w:numPr>
          <w:ilvl w:val="0"/>
          <w:numId w:val="2"/>
        </w:numPr>
        <w:spacing w:before="40" w:after="50"/>
      </w:pPr>
      <w:r>
        <w:rPr>
          <w:rFonts w:ascii="Arial" w:cs="Arial" w:eastAsia="Arial" w:hAnsi="Arial"/>
          <w:b w:val="false"/>
          <w:bCs w:val="false"/>
          <w:color w:val="2C2C2C"/>
          <w:sz w:val="22"/>
          <w:szCs w:val="22"/>
        </w:rPr>
        <w:t xml:space="preserve">Phase 5 sequence: end-to-end test scripts → Docker config → shell script updates → performance tests → notification integration</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7.3  Key Milestones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60"/>
        <w:gridCol w:w="50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Day</w:t>
            </w:r>
          </w:p>
        </w:tc>
        <w:tc>
          <w:tcPr>
            <w:tcW w:type="dxa" w:w="35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Milestone</w:t>
            </w:r>
          </w:p>
        </w:tc>
        <w:tc>
          <w:tcPr>
            <w:tcW w:type="dxa" w:w="5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Verification Method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Day 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Foundation complete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Django server starts on Port 8009. Health endpoint returns 200. DB client successfully reads from risk_assessments via Redis.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Day 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Statistical engine complete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Unit tests pass for all edge cases. Synthetic data of 10 vendors produces expected slopes and projections matching hand-calculated values.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Day 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 layer complete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Narrative generation tested with mocked statistical output. Graceful degradation confirmed by simulating Claude API failure.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Day 10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API layer complete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All 5 endpoints respond correctly. Auth rejection works. bank_id isolation confirmed by cross-bank request test.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Day 12</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Full integration complete</w:t>
            </w:r>
          </w:p>
        </w:tc>
        <w:tc>
          <w:tcPr>
            <w:tcW w:type="dxa" w:w="5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End-to-end request with real devtestdb data returns valid prediction stored in auditor_predictions. Alert email received by test bank admin.</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8. Model Options &amp; AI Strategy</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choice of forecasting model significantly affects prediction accuracy, computational cost, interpretability, and the minimum data requirements for each approach. This section evaluates five candidate approaches and explains the selection rationale for the production implementation.</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8.1  Option A — Linear Regression (Selected for Production)</w:t>
      </w:r>
    </w:p>
    <w:p>
      <w:pPr>
        <w:spacing w:before="60" w:after="100"/>
      </w:pPr>
      <w:r>
        <w:rPr>
          <w:rFonts w:ascii="Arial" w:cs="Arial" w:eastAsia="Arial" w:hAnsi="Arial"/>
          <w:color w:val="2C2C2C"/>
          <w:sz w:val="22"/>
          <w:szCs w:val="22"/>
        </w:rPr>
        <w:t xml:space="preserve">Linear regression fits a straight line through the historical quarterly risk scores and uses the slope of that line to project forward. This is the approach selected for the production implementation.</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Dimension</w:t>
            </w:r>
          </w:p>
        </w:tc>
        <w:tc>
          <w:tcPr>
            <w:tcW w:type="dxa" w:w="6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Library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scipy.stats.linregress — widely tested, well-documented, no ML infrastructure required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Minimum data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 quarterly data points (2 years) — sufficient for reliable regression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Output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Slope, intercept, R-squared (goodness of fit), standard error — all interpretable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Strengths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Transparent, fast, requires no training, mathematically auditable, no external data dependencies, works on small datasets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Limitations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Assumes trend is linear (constant rate of change). Cannot model cyclical patterns or sudden step-changes.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Why selected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Risk score trends in vendor compliance contexts are typically gradual and directional, making linear regression appropriate. Simplicity means the model is auditable by regulators and explainable to non-technical stakeholders.</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8.2  Option B — Polynomial Regression</w:t>
      </w:r>
    </w:p>
    <w:p>
      <w:pPr>
        <w:spacing w:before="60" w:after="100"/>
      </w:pPr>
      <w:r>
        <w:rPr>
          <w:rFonts w:ascii="Arial" w:cs="Arial" w:eastAsia="Arial" w:hAnsi="Arial"/>
          <w:color w:val="2C2C2C"/>
          <w:sz w:val="22"/>
          <w:szCs w:val="22"/>
        </w:rPr>
        <w:t xml:space="preserve">Polynomial regression fits a curved line through the data, allowing the model to represent acceleration or deceleration in risk trends — for example, a vendor whose deterioration is speeding up or slowing down.</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Strengths: More flexible than linear regression. Can detect non-linear trajectories such as a vendor recovering after a period of rapid deterioration.</w:t>
      </w:r>
    </w:p>
    <w:p>
      <w:pPr>
        <w:pStyle w:val="ListParagraph"/>
        <w:numPr>
          <w:ilvl w:val="0"/>
          <w:numId w:val="2"/>
        </w:numPr>
        <w:spacing w:before="40" w:after="50"/>
      </w:pPr>
      <w:r>
        <w:rPr>
          <w:rFonts w:ascii="Arial" w:cs="Arial" w:eastAsia="Arial" w:hAnsi="Arial"/>
          <w:b w:val="false"/>
          <w:bCs w:val="false"/>
          <w:color w:val="2C2C2C"/>
          <w:sz w:val="22"/>
          <w:szCs w:val="22"/>
        </w:rPr>
        <w:t xml:space="preserve">Limitations: Higher risk of overfitting on small datasets (8–12 data points). The curve can produce unrealistic projections at the extremes — for example, predicting a score above 5.0 or below 1.0. Requires degree selection (quadratic, cubic) which adds configuration complexity.</w:t>
      </w:r>
    </w:p>
    <w:p>
      <w:pPr>
        <w:pStyle w:val="ListParagraph"/>
        <w:numPr>
          <w:ilvl w:val="0"/>
          <w:numId w:val="2"/>
        </w:numPr>
        <w:spacing w:before="40" w:after="50"/>
      </w:pPr>
      <w:r>
        <w:rPr>
          <w:rFonts w:ascii="Arial" w:cs="Arial" w:eastAsia="Arial" w:hAnsi="Arial"/>
          <w:b w:val="false"/>
          <w:bCs w:val="false"/>
          <w:color w:val="2C2C2C"/>
          <w:sz w:val="22"/>
          <w:szCs w:val="22"/>
        </w:rPr>
        <w:t xml:space="preserve">Recommendation: Implement as a switchable option in trend_engine.py. When a vendor has 16+ data points (4 years of history) and their R-squared under linear regression is below 0.7 (indicating a poor linear fit), polynomial degree-2 should be automatically selected.</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8.3  Option C — Exponential Smoothing (Holt-Winters)</w:t>
      </w:r>
    </w:p>
    <w:p>
      <w:pPr>
        <w:spacing w:before="60" w:after="100"/>
      </w:pPr>
      <w:r>
        <w:rPr>
          <w:rFonts w:ascii="Arial" w:cs="Arial" w:eastAsia="Arial" w:hAnsi="Arial"/>
          <w:color w:val="2C2C2C"/>
          <w:sz w:val="22"/>
          <w:szCs w:val="22"/>
        </w:rPr>
        <w:t xml:space="preserve">Exponential smoothing gives more weight to recent observations than older ones, making it responsive to recent directional changes. Holt-Winters extends this to model both trend and seasonality.</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Strengths: More responsive to recent changes than linear regression. Better suited to vendors whose risk profile changed significantly in recent quarters due to organisational events, regulatory changes, or new bank relationships.</w:t>
      </w:r>
    </w:p>
    <w:p>
      <w:pPr>
        <w:pStyle w:val="ListParagraph"/>
        <w:numPr>
          <w:ilvl w:val="0"/>
          <w:numId w:val="2"/>
        </w:numPr>
        <w:spacing w:before="40" w:after="50"/>
      </w:pPr>
      <w:r>
        <w:rPr>
          <w:rFonts w:ascii="Arial" w:cs="Arial" w:eastAsia="Arial" w:hAnsi="Arial"/>
          <w:b w:val="false"/>
          <w:bCs w:val="false"/>
          <w:color w:val="2C2C2C"/>
          <w:sz w:val="22"/>
          <w:szCs w:val="22"/>
        </w:rPr>
        <w:t xml:space="preserve">Limitations: Requires the statsmodels library. More complex to explain to regulators and bank officers. Seasonality components are rarely meaningful in a quarterly risk scoring context. Needs at least 12 data points.</w:t>
      </w:r>
    </w:p>
    <w:p>
      <w:pPr>
        <w:pStyle w:val="ListParagraph"/>
        <w:numPr>
          <w:ilvl w:val="0"/>
          <w:numId w:val="2"/>
        </w:numPr>
        <w:spacing w:before="40" w:after="50"/>
      </w:pPr>
      <w:r>
        <w:rPr>
          <w:rFonts w:ascii="Arial" w:cs="Arial" w:eastAsia="Arial" w:hAnsi="Arial"/>
          <w:b w:val="false"/>
          <w:bCs w:val="false"/>
          <w:color w:val="2C2C2C"/>
          <w:sz w:val="22"/>
          <w:szCs w:val="22"/>
        </w:rPr>
        <w:t xml:space="preserve">Recommendation: Implement as a future enhancement once the primary linear regression layer is stable and production data reveals vendors with strongly non-linear historical patterns.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8.4  Option D — ARIMA / Time Series Models (Future-Ready Design)</w:t>
      </w:r>
    </w:p>
    <w:p>
      <w:pPr>
        <w:spacing w:before="60" w:after="100"/>
      </w:pPr>
      <w:r>
        <w:rPr>
          <w:rFonts w:ascii="Arial" w:cs="Arial" w:eastAsia="Arial" w:hAnsi="Arial"/>
          <w:color w:val="2C2C2C"/>
          <w:sz w:val="22"/>
          <w:szCs w:val="22"/>
        </w:rPr>
        <w:t xml:space="preserve">ARIMA stands for Autoregressive Integrated Moving Average. Unlike linear regression, which simply fits a straight line through historical scores, ARIMA treats a vendor's risk history as a proper time series — accounting for patterns like "this quarter's score tends to follow last quarter's" and smoothing out short-term noise to find the underlying signal. In plain terms: it is a more sophisticated, context-aware forecasting method that gets significantly more accurate as more data is available.</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We are not implementing ARIMA in the initial release. We are, however, designing the entire data layer to be ARIMA-ready from day one — so that when the data volume justifies it, switching on ARIMA requires changing one configuration flag, not a database migration.</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Why ARIMA Becomes Compelling as Data Grows</w:t>
      </w:r>
    </w:p>
    <w:p>
      <w:pPr>
        <w:spacing w:before="60" w:after="100"/>
      </w:pPr>
      <w:r>
        <w:rPr>
          <w:rFonts w:ascii="Arial" w:cs="Arial" w:eastAsia="Arial" w:hAnsi="Arial"/>
          <w:color w:val="2C2C2C"/>
          <w:sz w:val="22"/>
          <w:szCs w:val="22"/>
        </w:rPr>
        <w:t xml:space="preserve">Linear regression assumes that a vendor's risk changes at a constant rate each quarter. In reality, risk trends often accelerate, plateau, or reverse. A vendor might improve steadily for two years, then deteriorate rapidly when a key control lapses. ARIMA can detect and model these dynamics; linear regression cannot. As the platform matures and vendors accumulate three to five years of assessment history, ARIMA will consistently outperform linear regression on prediction accuracy — particularly for vendors with complex, non-linear trajectories.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Data Requirements for ARIMA</w:t>
      </w:r>
    </w:p>
    <w:p>
      <w:pPr>
        <w:spacing w:before="60" w:after="100"/>
      </w:pPr>
      <w:r>
        <w:rPr>
          <w:rFonts w:ascii="Arial" w:cs="Arial" w:eastAsia="Arial" w:hAnsi="Arial"/>
          <w:color w:val="2C2C2C"/>
          <w:sz w:val="22"/>
          <w:szCs w:val="22"/>
        </w:rPr>
        <w:t xml:space="preserve">ARIMA requires a minimum of 20 to 30 data points (quarters) per vendor-bank pair for reliable parameter estimation. That is five to eight years of quarterly assessments. The table below shows exactly how the data requirement maps to platform maturity:</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Platform Age</w:t>
            </w:r>
          </w:p>
        </w:tc>
        <w:tc>
          <w:tcPr>
            <w:tcW w:type="dxa" w:w="2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Avg. Data Points per Vendor</w:t>
            </w:r>
          </w:p>
        </w:tc>
        <w:tc>
          <w:tcPr>
            <w:tcW w:type="dxa" w:w="4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Model Recommendation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Year 1–2 (now)</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4–8 quarters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Linear Regression — reliable from 8 data points, fast, auditable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Year 2–4</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8–16 quarters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Polynomial Regression available as enhancement. Linear remains default.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Year 4–6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16–24 quarters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ARIMA viable for vendors with consistent history. Auto-selected when R-squared of linear fit drops below 0.65.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Year 6+</w:t>
            </w:r>
          </w:p>
        </w:tc>
        <w:tc>
          <w:tcPr>
            <w:tcW w:type="dxa" w:w="2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24+ quarters</w:t>
            </w:r>
          </w:p>
        </w:tc>
        <w:tc>
          <w:tcPr>
            <w:tcW w:type="dxa" w:w="4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ARIMA becomes the default for established vendors. Linear retained for newer vendor-bank pairs.</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How We Design for ARIMA Today</w:t>
      </w:r>
    </w:p>
    <w:p>
      <w:pPr>
        <w:spacing w:before="60" w:after="100"/>
      </w:pPr>
      <w:r>
        <w:rPr>
          <w:rFonts w:ascii="Arial" w:cs="Arial" w:eastAsia="Arial" w:hAnsi="Arial"/>
          <w:color w:val="2C2C2C"/>
          <w:sz w:val="22"/>
          <w:szCs w:val="22"/>
        </w:rPr>
        <w:t xml:space="preserve">The auditor_risk_history table is the key. Every quarterly score is stored with its full metadata — vendor_id, bank_id, year, quarter, score, and source submission. This table grows indefinitely and is never purged. As data accumulates, it becomes the training dataset for more sophisticated models without any schema change. The trend_engine.py module is written with a pluggable model interface: a model_type parameter selects between LINEAR, POLYNOMIAL, and ARIMA. Today that parameter defaults to LINEAR. When the data justifies ARIMA, a single configuration change activates it — no code rewrite, no migration, no downtime.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5B2C8D" w:sz="24"/>
              <w:bottom w:val="none" w:color="FFFFFF" w:sz="0"/>
              <w:right w:val="none" w:color="FFFFFF" w:sz="0"/>
            </w:tcBorders>
            <w:shd w:fill="EAE0F5" w:val="clear"/>
            <w:tcMar>
              <w:top w:type="dxa" w:w="120"/>
              <w:left w:type="dxa" w:w="260"/>
              <w:bottom w:type="dxa" w:w="120"/>
              <w:right w:type="dxa" w:w="200"/>
            </w:tcMar>
          </w:tcPr>
          <w:p>
            <w:pPr>
              <w:spacing w:after="50"/>
            </w:pPr>
            <w:r>
              <w:rPr>
                <w:rFonts w:ascii="Arial" w:cs="Arial" w:eastAsia="Arial" w:hAnsi="Arial"/>
                <w:b/>
                <w:bCs/>
                <w:color w:val="5B2C8D"/>
                <w:sz w:val="21"/>
                <w:szCs w:val="21"/>
              </w:rPr>
              <w:t xml:space="preserve">Scalability Design Principle</w:t>
            </w:r>
          </w:p>
          <w:p>
            <w:pPr>
              <w:spacing w:after="40"/>
            </w:pPr>
            <w:r>
              <w:rPr>
                <w:rFonts w:ascii="Arial" w:cs="Arial" w:eastAsia="Arial" w:hAnsi="Arial"/>
                <w:color w:val="2C2C2C"/>
                <w:sz w:val="20"/>
                <w:szCs w:val="20"/>
              </w:rPr>
              <w:t xml:space="preserve">Every design decision in the Auditor Service — the schema, the engine interface, the storage pattern — is made with the assumption that the vendor portfolio will grow from tens to thousands, and assessment history will span decades. The system must serve a bank with 50 vendors and a bank with 5,000 vendors using identical code. The only difference is which model is auto-selected based on available data depth.</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8.5  Option E — Machine Learning Models (Random Forest, Gradient Boosting)</w:t>
      </w:r>
    </w:p>
    <w:p>
      <w:pPr>
        <w:spacing w:before="60" w:after="100"/>
      </w:pPr>
      <w:r>
        <w:rPr>
          <w:rFonts w:ascii="Arial" w:cs="Arial" w:eastAsia="Arial" w:hAnsi="Arial"/>
          <w:color w:val="2C2C2C"/>
          <w:sz w:val="22"/>
          <w:szCs w:val="22"/>
        </w:rPr>
        <w:t xml:space="preserve">ML-based regression models can incorporate multiple features simultaneously — not just historical risk scores, but also category, payment history, clarification frequency, submission timeliness, and other structured signals.</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Strengths: Potentially the most accurate approach if trained on sufficient data with rich features. Can capture complex non-linear relationships between vendor attributes and future risk.</w:t>
      </w:r>
    </w:p>
    <w:p>
      <w:pPr>
        <w:pStyle w:val="ListParagraph"/>
        <w:numPr>
          <w:ilvl w:val="0"/>
          <w:numId w:val="2"/>
        </w:numPr>
        <w:spacing w:before="40" w:after="50"/>
      </w:pPr>
      <w:r>
        <w:rPr>
          <w:rFonts w:ascii="Arial" w:cs="Arial" w:eastAsia="Arial" w:hAnsi="Arial"/>
          <w:b w:val="false"/>
          <w:bCs w:val="false"/>
          <w:color w:val="2C2C2C"/>
          <w:sz w:val="22"/>
          <w:szCs w:val="22"/>
        </w:rPr>
        <w:t xml:space="preserve">Limitations: Requires a substantial training dataset — typically hundreds of vendors with multiple years of history — before the model has enough signal to outperform simpler approaches. Models are less interpretable (a concern for regulatory audit). Requires periodic retraining as new data arrives. Needs ML infrastructure (model serialisation, versioning, monitoring).</w:t>
      </w:r>
    </w:p>
    <w:p>
      <w:pPr>
        <w:pStyle w:val="ListParagraph"/>
        <w:numPr>
          <w:ilvl w:val="0"/>
          <w:numId w:val="2"/>
        </w:numPr>
        <w:spacing w:before="40" w:after="50"/>
      </w:pPr>
      <w:r>
        <w:rPr>
          <w:rFonts w:ascii="Arial" w:cs="Arial" w:eastAsia="Arial" w:hAnsi="Arial"/>
          <w:b w:val="false"/>
          <w:bCs w:val="false"/>
          <w:color w:val="2C2C2C"/>
          <w:sz w:val="22"/>
          <w:szCs w:val="22"/>
        </w:rPr>
        <w:t xml:space="preserve">Recommendation: Design the auditor_risk_history table schema to include additional feature columns from the outset, even if they are initially null. This preserves the option to train ML models as data accumulates without requiring a schema migration. Target implementation in 2–3 years once sufficient training data exists.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8.6  LLM Selection — Claude API</w:t>
      </w:r>
    </w:p>
    <w:p>
      <w:pPr>
        <w:spacing w:before="60" w:after="100"/>
      </w:pPr>
      <w:r>
        <w:rPr>
          <w:rFonts w:ascii="Arial" w:cs="Arial" w:eastAsia="Arial" w:hAnsi="Arial"/>
          <w:color w:val="2C2C2C"/>
          <w:sz w:val="22"/>
          <w:szCs w:val="22"/>
        </w:rPr>
        <w:t xml:space="preserve">For the narrative generation layer, Claude (specifically the claude-sonnet-4-20250514 model) is selected for the following reasons:</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The model produces well-calibrated, professional-quality risk narratives that accurately reflect numerical inputs without embellishment or hallucination when provided structured context.</w:t>
      </w:r>
    </w:p>
    <w:p>
      <w:pPr>
        <w:pStyle w:val="ListParagraph"/>
        <w:numPr>
          <w:ilvl w:val="0"/>
          <w:numId w:val="2"/>
        </w:numPr>
        <w:spacing w:before="40" w:after="50"/>
      </w:pPr>
      <w:r>
        <w:rPr>
          <w:rFonts w:ascii="Arial" w:cs="Arial" w:eastAsia="Arial" w:hAnsi="Arial"/>
          <w:b w:val="false"/>
          <w:bCs w:val="false"/>
          <w:color w:val="2C2C2C"/>
          <w:sz w:val="22"/>
          <w:szCs w:val="22"/>
        </w:rPr>
        <w:t xml:space="preserve">The Anthropic API is already approved and in use across the TPVRM platform architecture, requiring no new vendor approval or security review.</w:t>
      </w:r>
    </w:p>
    <w:p>
      <w:pPr>
        <w:pStyle w:val="ListParagraph"/>
        <w:numPr>
          <w:ilvl w:val="0"/>
          <w:numId w:val="2"/>
        </w:numPr>
        <w:spacing w:before="40" w:after="50"/>
      </w:pPr>
      <w:r>
        <w:rPr>
          <w:rFonts w:ascii="Arial" w:cs="Arial" w:eastAsia="Arial" w:hAnsi="Arial"/>
          <w:b w:val="false"/>
          <w:bCs w:val="false"/>
          <w:color w:val="2C2C2C"/>
          <w:sz w:val="22"/>
          <w:szCs w:val="22"/>
        </w:rPr>
        <w:t xml:space="preserve">The model follows instructions precisely when given structured JSON context and a well-defined output format, making prompt engineering predictable and testable.</w:t>
      </w:r>
    </w:p>
    <w:p>
      <w:pPr>
        <w:pStyle w:val="ListParagraph"/>
        <w:numPr>
          <w:ilvl w:val="0"/>
          <w:numId w:val="2"/>
        </w:numPr>
        <w:spacing w:before="40" w:after="50"/>
      </w:pPr>
      <w:r>
        <w:rPr>
          <w:rFonts w:ascii="Arial" w:cs="Arial" w:eastAsia="Arial" w:hAnsi="Arial"/>
          <w:b w:val="false"/>
          <w:bCs w:val="false"/>
          <w:color w:val="2C2C2C"/>
          <w:sz w:val="22"/>
          <w:szCs w:val="22"/>
        </w:rPr>
        <w:t xml:space="preserve">Fallback strategy: If Claude API is unavailable, the system generates a templated narrative using the statistical outputs directly — for example, "Vendor [name] is classified as DETERIORATING with a projected score of [x] in Q+4 (confidence: [low]-[high]). Recommended action: enhanced monitoring." This templated fallback is always available without any external dependency.</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80"/>
        <w:gridCol w:w="1480"/>
        <w:gridCol w:w="1480"/>
        <w:gridCol w:w="252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Model Option</w:t>
            </w:r>
          </w:p>
        </w:tc>
        <w:tc>
          <w:tcPr>
            <w:tcW w:type="dxa" w:w="1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Min Data</w:t>
            </w:r>
          </w:p>
        </w:tc>
        <w:tc>
          <w:tcPr>
            <w:tcW w:type="dxa" w:w="1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Complexity</w:t>
            </w:r>
          </w:p>
        </w:tc>
        <w:tc>
          <w:tcPr>
            <w:tcW w:type="dxa" w:w="14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Interpretable</w:t>
            </w:r>
          </w:p>
        </w:tc>
        <w:tc>
          <w:tcPr>
            <w:tcW w:type="dxa" w:w="252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Production Ready</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 — Linear Regression</w:t>
            </w:r>
          </w:p>
        </w:tc>
        <w:tc>
          <w:tcPr>
            <w:tcW w:type="dxa" w:w="14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 quarters</w:t>
            </w:r>
          </w:p>
        </w:tc>
        <w:tc>
          <w:tcPr>
            <w:tcW w:type="dxa" w:w="14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Low</w:t>
            </w:r>
          </w:p>
        </w:tc>
        <w:tc>
          <w:tcPr>
            <w:tcW w:type="dxa" w:w="148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Yes</w:t>
            </w:r>
          </w:p>
        </w:tc>
        <w:tc>
          <w:tcPr>
            <w:tcW w:type="dxa" w:w="252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left"/>
            </w:pPr>
            <w:r>
              <w:rPr>
                <w:rFonts w:ascii="Arial" w:cs="Arial" w:eastAsia="Arial" w:hAnsi="Arial"/>
                <w:b/>
                <w:bCs/>
                <w:color w:val="1E6E42"/>
                <w:sz w:val="20"/>
                <w:szCs w:val="20"/>
              </w:rPr>
              <w:t xml:space="preserve">Immediately — selected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 — Polynomial Regression</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quarters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Medium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Yes</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Phase 2 enhancement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 — Exponential Smoothing</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quarters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Medium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Partial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Future release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 — ARIMA</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20–30 quarters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Partial</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 years away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 — ML (Random Forest / GBM)</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Hundreds of vendors</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Very high</w:t>
            </w:r>
          </w:p>
        </w:tc>
        <w:tc>
          <w:tcPr>
            <w:tcW w:type="dxa" w:w="1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w:t>
            </w:r>
          </w:p>
        </w:tc>
        <w:tc>
          <w:tcPr>
            <w:tcW w:type="dxa" w:w="25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2–3 years away</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9. Data Requirements &amp; Synthetic Data Strategy</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9.1  What Data the Engine Needs</w:t>
      </w:r>
    </w:p>
    <w:p>
      <w:pPr>
        <w:spacing w:before="60" w:after="100"/>
      </w:pPr>
      <w:r>
        <w:rPr>
          <w:rFonts w:ascii="Arial" w:cs="Arial" w:eastAsia="Arial" w:hAnsi="Arial"/>
          <w:color w:val="2C2C2C"/>
          <w:sz w:val="22"/>
          <w:szCs w:val="22"/>
        </w:rPr>
        <w:t xml:space="preserve">The Predictive Risk Trend Analysis Engine operates on a time-series of quarterly risk scores per vendor-bank pair. The minimum viable data requirement is eight completed quarterly assessment cycles (equivalent to two years of data) for a single vendor-bank relationship. This minimum is enforced as a hard gate in the API: requests for vendors with fewer than eight cycles receive an HTTP 422 response with a specific message indicating how many more cycles are required.</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data pipeline from existing tables to the engine works as follows:</w:t>
      </w:r>
    </w:p>
    <w:p>
      <w:pPr>
        <w:spacing w:before="0" w:after="100"/>
      </w:pPr>
      <w:r>
        <w:rPr>
          <w:rFonts w:ascii="Arial" w:cs="Arial" w:eastAsia="Arial" w:hAnsi="Arial"/>
        </w:rPr>
        <w:t xml:space="preserve"/>
      </w:r>
    </w:p>
    <w:p>
      <w:pPr>
        <w:pStyle w:val="ListParagraph"/>
        <w:numPr>
          <w:ilvl w:val="0"/>
          <w:numId w:val="3"/>
        </w:numPr>
        <w:spacing w:before="40" w:after="50"/>
      </w:pPr>
      <w:r>
        <w:rPr>
          <w:rFonts w:ascii="Arial" w:cs="Arial" w:eastAsia="Arial" w:hAnsi="Arial"/>
          <w:color w:val="2C2C2C"/>
          <w:sz w:val="22"/>
          <w:szCs w:val="22"/>
        </w:rPr>
        <w:t xml:space="preserve">The Auditor Service queries questionnaire_submissions filtered by vendor_id, bank_id, and status = COMPLETED, ordered by submitted_at ascending.</w:t>
      </w:r>
    </w:p>
    <w:p>
      <w:pPr>
        <w:pStyle w:val="ListParagraph"/>
        <w:numPr>
          <w:ilvl w:val="0"/>
          <w:numId w:val="3"/>
        </w:numPr>
        <w:spacing w:before="40" w:after="50"/>
      </w:pPr>
      <w:r>
        <w:rPr>
          <w:rFonts w:ascii="Arial" w:cs="Arial" w:eastAsia="Arial" w:hAnsi="Arial"/>
          <w:color w:val="2C2C2C"/>
          <w:sz w:val="22"/>
          <w:szCs w:val="22"/>
        </w:rPr>
        <w:t xml:space="preserve">For each completed submission, the corresponding risk_assessments record is joined on submission_id to retrieve the final_risk_rating and assessed_at timestamp.</w:t>
      </w:r>
    </w:p>
    <w:p>
      <w:pPr>
        <w:pStyle w:val="ListParagraph"/>
        <w:numPr>
          <w:ilvl w:val="0"/>
          <w:numId w:val="3"/>
        </w:numPr>
        <w:spacing w:before="40" w:after="50"/>
      </w:pPr>
      <w:r>
        <w:rPr>
          <w:rFonts w:ascii="Arial" w:cs="Arial" w:eastAsia="Arial" w:hAnsi="Arial"/>
          <w:color w:val="2C2C2C"/>
          <w:sz w:val="22"/>
          <w:szCs w:val="22"/>
        </w:rPr>
        <w:t xml:space="preserve">The assessed_at timestamp is converted to a (year, quarter) tuple using the utils.py quarter extraction function: months 1–3 = Q1, 4–6 = Q2, 7–9 = Q3, 10–12 = Q4.</w:t>
      </w:r>
    </w:p>
    <w:p>
      <w:pPr>
        <w:pStyle w:val="ListParagraph"/>
        <w:numPr>
          <w:ilvl w:val="0"/>
          <w:numId w:val="3"/>
        </w:numPr>
        <w:spacing w:before="40" w:after="50"/>
      </w:pPr>
      <w:r>
        <w:rPr>
          <w:rFonts w:ascii="Arial" w:cs="Arial" w:eastAsia="Arial" w:hAnsi="Arial"/>
          <w:color w:val="2C2C2C"/>
          <w:sz w:val="22"/>
          <w:szCs w:val="22"/>
        </w:rPr>
        <w:t xml:space="preserve">Duplicate quarters (where a vendor completed two assessments in the same quarter) are resolved by taking the most recently assessed record.</w:t>
      </w:r>
    </w:p>
    <w:p>
      <w:pPr>
        <w:pStyle w:val="ListParagraph"/>
        <w:numPr>
          <w:ilvl w:val="0"/>
          <w:numId w:val="3"/>
        </w:numPr>
        <w:spacing w:before="40" w:after="50"/>
      </w:pPr>
      <w:r>
        <w:rPr>
          <w:rFonts w:ascii="Arial" w:cs="Arial" w:eastAsia="Arial" w:hAnsi="Arial"/>
          <w:color w:val="2C2C2C"/>
          <w:sz w:val="22"/>
          <w:szCs w:val="22"/>
        </w:rPr>
        <w:t xml:space="preserve">The resulting ordered list of (quarter_label, risk_score) tuples is passed to the statistical engine.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9.2  The Data Gap Problem</w:t>
      </w:r>
    </w:p>
    <w:p>
      <w:pPr>
        <w:spacing w:before="60" w:after="100"/>
      </w:pPr>
      <w:r>
        <w:rPr>
          <w:rFonts w:ascii="Arial" w:cs="Arial" w:eastAsia="Arial" w:hAnsi="Arial"/>
          <w:color w:val="2C2C2C"/>
          <w:sz w:val="22"/>
          <w:szCs w:val="22"/>
        </w:rPr>
        <w:t xml:space="preserve">This is a critical operational reality: as of the initial deployment of the Auditor Service, the majority of vendor-bank pairs on the platform will not yet have eight completed quarterly assessment cycles. The platform may have been running for less than two years, or vendors may have joined recently, or assessment cycles may not have been consistently completed.</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This means the Auditor Service will return HTTP 422 (insufficient data) for most vendor queries at launch. This is not a defect — it is a correct and honest response. However, it creates a practical problem for development, testing, and demonstrating the system's value before sufficient real data accumulates.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5200" w:sz="24"/>
              <w:bottom w:val="none" w:color="FFFFFF" w:sz="0"/>
              <w:right w:val="none" w:color="FFFFFF" w:sz="0"/>
            </w:tcBorders>
            <w:shd w:fill="FFF2CC" w:val="clear"/>
            <w:tcMar>
              <w:top w:type="dxa" w:w="120"/>
              <w:left w:type="dxa" w:w="260"/>
              <w:bottom w:type="dxa" w:w="120"/>
              <w:right w:type="dxa" w:w="200"/>
            </w:tcMar>
          </w:tcPr>
          <w:p>
            <w:pPr>
              <w:spacing w:after="50"/>
            </w:pPr>
            <w:r>
              <w:rPr>
                <w:rFonts w:ascii="Arial" w:cs="Arial" w:eastAsia="Arial" w:hAnsi="Arial"/>
                <w:b/>
                <w:bCs/>
                <w:color w:val="7F5200"/>
                <w:sz w:val="21"/>
                <w:szCs w:val="21"/>
              </w:rPr>
              <w:t xml:space="preserve">The Solution: A Controlled Synthetic Data Programme</w:t>
            </w:r>
          </w:p>
          <w:p>
            <w:pPr>
              <w:spacing w:after="40"/>
            </w:pPr>
            <w:r>
              <w:rPr>
                <w:rFonts w:ascii="Arial" w:cs="Arial" w:eastAsia="Arial" w:hAnsi="Arial"/>
                <w:color w:val="2C2C2C"/>
                <w:sz w:val="20"/>
                <w:szCs w:val="20"/>
              </w:rPr>
              <w:t xml:space="preserve">We will create a synthetic data generation script that populates the existing risk_assessments and questionnaire_submissions tables with realistic, statistically valid historical records for a defined set of test vendors. This data is generated only in development and staging environments. Production data is never synthetic.</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9.3  Synthetic Data Generation Strategy</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Step 1 — Define Vendor Archetypes</w:t>
      </w:r>
    </w:p>
    <w:p>
      <w:pPr>
        <w:spacing w:before="60" w:after="100"/>
      </w:pPr>
      <w:r>
        <w:rPr>
          <w:rFonts w:ascii="Arial" w:cs="Arial" w:eastAsia="Arial" w:hAnsi="Arial"/>
          <w:color w:val="2C2C2C"/>
          <w:sz w:val="22"/>
          <w:szCs w:val="22"/>
        </w:rPr>
        <w:t xml:space="preserve">We define six vendor archetypes, each representing a distinct risk trajectory pattern. Each archetype will be applied to a subset of the test vendors: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Archetype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Score Pattern</w:t>
            </w:r>
          </w:p>
        </w:tc>
        <w:tc>
          <w:tcPr>
            <w:tcW w:type="dxa" w:w="4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Steady Deteriorator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1.8 → 3.9 over 12 Q</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Consistent +0.3 to +0.4 slope per quarter. Triggers early warning. Tests the primary alert use case.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Steady Improver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4.2 → 2.1 over 12 Q</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Consistent −0.3 slope per quarter. Tests IMPROVING classification and absence of alerts.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Stable Performer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2.4 ± 0.2 over 12 Q</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Near-zero slope with random noise. Tests STABLE classification. No alerts expected.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Late-Stage Spike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 flat then +1.5 over 4 Q</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Stable then rapid deterioration. Tests whether the engine responds to recent trend changes.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Recovery Pattern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4.0 → 2.5 then plateau</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Initial improvement followed by stabilisation. Tests non-monotonic trend handling.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Critical Approach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3.1 → 4.8 over 8 Q</w:t>
            </w:r>
          </w:p>
        </w:tc>
        <w:tc>
          <w:tcPr>
            <w:tcW w:type="dxa" w:w="4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Rapid slope heading toward Critical tier. Tests high-severity alert generation and intervention simulation.</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Step 2 — Generate Realistic Noise</w:t>
      </w:r>
    </w:p>
    <w:p>
      <w:pPr>
        <w:spacing w:before="60" w:after="100"/>
      </w:pPr>
      <w:r>
        <w:rPr>
          <w:rFonts w:ascii="Arial" w:cs="Arial" w:eastAsia="Arial" w:hAnsi="Arial"/>
          <w:color w:val="2C2C2C"/>
          <w:sz w:val="22"/>
          <w:szCs w:val="22"/>
        </w:rPr>
        <w:t xml:space="preserve">Real assessment scores are not perfectly linear — they fluctuate quarter to quarter due to assessor judgement, questionnaire changes, and vendor circumstances. The synthetic data generation script adds controlled Gaussian noise to each archetype's base trajectory:</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Noise standard deviation: ±0.15 to ±0.25 per quarter depending on the archetype. Stable performers use lower noise (±0.15); spike and recovery patterns use higher noise (±0.25).</w:t>
      </w:r>
    </w:p>
    <w:p>
      <w:pPr>
        <w:pStyle w:val="ListParagraph"/>
        <w:numPr>
          <w:ilvl w:val="0"/>
          <w:numId w:val="2"/>
        </w:numPr>
        <w:spacing w:before="40" w:after="50"/>
      </w:pPr>
      <w:r>
        <w:rPr>
          <w:rFonts w:ascii="Arial" w:cs="Arial" w:eastAsia="Arial" w:hAnsi="Arial"/>
          <w:b w:val="false"/>
          <w:bCs w:val="false"/>
          <w:color w:val="2C2C2C"/>
          <w:sz w:val="22"/>
          <w:szCs w:val="22"/>
        </w:rPr>
        <w:t xml:space="preserve">Score clamping: All generated scores are clamped to the valid range of 1.0 to 5.0 and rounded to one decimal place, matching the DECIMAL(3,1) column type.</w:t>
      </w:r>
    </w:p>
    <w:p>
      <w:pPr>
        <w:pStyle w:val="ListParagraph"/>
        <w:numPr>
          <w:ilvl w:val="0"/>
          <w:numId w:val="2"/>
        </w:numPr>
        <w:spacing w:before="40" w:after="50"/>
      </w:pPr>
      <w:r>
        <w:rPr>
          <w:rFonts w:ascii="Arial" w:cs="Arial" w:eastAsia="Arial" w:hAnsi="Arial"/>
          <w:b w:val="false"/>
          <w:bCs w:val="false"/>
          <w:color w:val="2C2C2C"/>
          <w:sz w:val="22"/>
          <w:szCs w:val="22"/>
        </w:rPr>
        <w:t xml:space="preserve">Quarter spacing: Records are generated with submitted_at timestamps set to the 15th day of the middle month of each quarter (February 15, May 15, August 15, November 15) with random hour offsets, producing realistic-looking timestamps.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Step 3 — Create Supporting Records</w:t>
      </w:r>
    </w:p>
    <w:p>
      <w:pPr>
        <w:spacing w:before="60" w:after="100"/>
      </w:pPr>
      <w:r>
        <w:rPr>
          <w:rFonts w:ascii="Arial" w:cs="Arial" w:eastAsia="Arial" w:hAnsi="Arial"/>
          <w:color w:val="2C2C2C"/>
          <w:sz w:val="22"/>
          <w:szCs w:val="22"/>
        </w:rPr>
        <w:t xml:space="preserve">The synthetic data generation does not insert directly into risk_assessments. It must create the full supporting record chain to respect foreign key constraints:</w:t>
      </w:r>
    </w:p>
    <w:p>
      <w:pPr>
        <w:spacing w:before="0" w:after="100"/>
      </w:pPr>
      <w:r>
        <w:rPr>
          <w:rFonts w:ascii="Arial" w:cs="Arial" w:eastAsia="Arial" w:hAnsi="Arial"/>
        </w:rPr>
        <w:t xml:space="preserve"/>
      </w:r>
    </w:p>
    <w:p>
      <w:pPr>
        <w:pStyle w:val="ListParagraph"/>
        <w:numPr>
          <w:ilvl w:val="0"/>
          <w:numId w:val="3"/>
        </w:numPr>
        <w:spacing w:before="40" w:after="50"/>
      </w:pPr>
      <w:r>
        <w:rPr>
          <w:rFonts w:ascii="Arial" w:cs="Arial" w:eastAsia="Arial" w:hAnsi="Arial"/>
          <w:color w:val="2C2C2C"/>
          <w:sz w:val="22"/>
          <w:szCs w:val="22"/>
        </w:rPr>
        <w:t xml:space="preserve">A questionnaire_submissions record is inserted for each quarter with status = COMPLETED, vendor_id and bank_id set to the test vendor and bank, and submitted_at set to the generated timestamp.</w:t>
      </w:r>
    </w:p>
    <w:p>
      <w:pPr>
        <w:pStyle w:val="ListParagraph"/>
        <w:numPr>
          <w:ilvl w:val="0"/>
          <w:numId w:val="3"/>
        </w:numPr>
        <w:spacing w:before="40" w:after="50"/>
      </w:pPr>
      <w:r>
        <w:rPr>
          <w:rFonts w:ascii="Arial" w:cs="Arial" w:eastAsia="Arial" w:hAnsi="Arial"/>
          <w:color w:val="2C2C2C"/>
          <w:sz w:val="22"/>
          <w:szCs w:val="22"/>
        </w:rPr>
        <w:t xml:space="preserve">A risk_assessments record is inserted referencing the submission_id from step 1, with final_risk_rating set to the generated score, inherent_risk_rating set to final_risk_rating − 0.2 (a realistic differential), and assessed_at set to 2 days after submitted_at.</w:t>
      </w:r>
    </w:p>
    <w:p>
      <w:pPr>
        <w:pStyle w:val="ListParagraph"/>
        <w:numPr>
          <w:ilvl w:val="0"/>
          <w:numId w:val="3"/>
        </w:numPr>
        <w:spacing w:before="40" w:after="50"/>
      </w:pPr>
      <w:r>
        <w:rPr>
          <w:rFonts w:ascii="Arial" w:cs="Arial" w:eastAsia="Arial" w:hAnsi="Arial"/>
          <w:color w:val="2C2C2C"/>
          <w:sz w:val="22"/>
          <w:szCs w:val="22"/>
        </w:rPr>
        <w:t xml:space="preserve">The script verifies that each vendor_id and bank_id pair exists in vendor_bank_subscriptions before inserting, creating the subscription record if it does not exist.</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Step 4 — Scope and Volume</w:t>
      </w:r>
    </w:p>
    <w:p>
      <w:pPr>
        <w:spacing w:before="60" w:after="100"/>
      </w:pPr>
      <w:r>
        <w:rPr>
          <w:rFonts w:ascii="Arial" w:cs="Arial" w:eastAsia="Arial" w:hAnsi="Arial"/>
          <w:color w:val="2C2C2C"/>
          <w:sz w:val="22"/>
          <w:szCs w:val="22"/>
        </w:rPr>
        <w:t xml:space="preserve">For the initial development and testing environment, the following synthetic data volume is sufficient to test all engine scenarios: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Dataset</w:t>
            </w:r>
          </w:p>
        </w:tc>
        <w:tc>
          <w:tcPr>
            <w:tcW w:type="dxa" w:w="31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Vendors</w:t>
            </w:r>
          </w:p>
        </w:tc>
        <w:tc>
          <w:tcPr>
            <w:tcW w:type="dxa" w:w="31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Quarters per Vendor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Minimum viable test set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6 vendors (one per archetype)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quarters each = 72 total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Full unit test suite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30 vendors across all archetypes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8–16 quarters each = 300–480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forecasting test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 vendors (mixed archetypes)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quarters each = 600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Intervention simulation test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 vendors (high-slope archetypes)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12 quarters each = 240 records</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Step 5 — Data Isolation</w:t>
      </w:r>
    </w:p>
    <w:p>
      <w:pPr>
        <w:spacing w:before="60" w:after="100"/>
      </w:pPr>
      <w:r>
        <w:rPr>
          <w:rFonts w:ascii="Arial" w:cs="Arial" w:eastAsia="Arial" w:hAnsi="Arial"/>
          <w:color w:val="2C2C2C"/>
          <w:sz w:val="22"/>
          <w:szCs w:val="22"/>
        </w:rPr>
        <w:t xml:space="preserve">All synthetic records are inserted with a clearly identifiable marker. The questionnaire_submissions records will use a payment_reference value prefixed with SYNTHETIC_ (e.g., SYNTHETIC_2024_Q3_VENDOR_45). This allows the synthetic data to be identified and purged at any time without affecting real assessment records, using a simple DELETE WHERE payment_reference LIKE "SYNTHETIC_%" query.</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9.4  Scalability: How Data Requirements Grow Over Time</w:t>
      </w:r>
    </w:p>
    <w:p>
      <w:pPr>
        <w:spacing w:before="60" w:after="100"/>
      </w:pPr>
      <w:r>
        <w:rPr>
          <w:rFonts w:ascii="Arial" w:cs="Arial" w:eastAsia="Arial" w:hAnsi="Arial"/>
          <w:color w:val="2C2C2C"/>
          <w:sz w:val="22"/>
          <w:szCs w:val="22"/>
        </w:rPr>
        <w:t xml:space="preserve">The Auditor Service is designed to scale from a handful of vendors at launch to thousands of vendors across multiple banks over the platform's lifetime. The data architecture handles this growth in three ways: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Storage Scalability</w:t>
      </w:r>
    </w:p>
    <w:p>
      <w:pPr>
        <w:spacing w:before="60" w:after="100"/>
      </w:pPr>
      <w:r>
        <w:rPr>
          <w:rFonts w:ascii="Arial" w:cs="Arial" w:eastAsia="Arial" w:hAnsi="Arial"/>
          <w:color w:val="2C2C2C"/>
          <w:sz w:val="22"/>
          <w:szCs w:val="22"/>
        </w:rPr>
        <w:t xml:space="preserve">The auditor_risk_history table stores one row per vendor-bank pair per quarter. At 500 vendors, each with 12 quarters of history, this is 6,000 rows — trivially small. At 10,000 vendors with 40 quarters of history over ten years, this grows to 400,000 rows, still well within MySQL's efficient range. The table is indexed on (vendor_id, bank_id) so query time remains constant regardless of total row count.</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auditor_predictions and auditor_alerts tables grow with each forecast request. A bank running weekly forecasts for 500 vendors would accumulate approximately 26,000 prediction records per year — again, well within normal database operating range. The projections_json column uses MySQL's native JSON type which handles payloads of this size efficiently.</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Compute Scalability</w:t>
      </w:r>
    </w:p>
    <w:p>
      <w:pPr>
        <w:spacing w:before="60" w:after="100"/>
      </w:pPr>
      <w:r>
        <w:rPr>
          <w:rFonts w:ascii="Arial" w:cs="Arial" w:eastAsia="Arial" w:hAnsi="Arial"/>
          <w:color w:val="2C2C2C"/>
          <w:sz w:val="22"/>
          <w:szCs w:val="22"/>
        </w:rPr>
        <w:t xml:space="preserve">The Portfolio Forecaster uses Python's ThreadPoolExecutor to process all vendors in a bank in parallel. The max_workers setting is configurable per deployment environment. On a development machine, 4 workers is appropriate. In production on AWS, this can be set to 20 or more, processing 500 vendors in well under 2 minutes. As the portfolio grows to 5,000+ vendors, the service can be horizontally scaled — running multiple Auditor Service instances behind a load balancer — without any code changes, because each request is stateless.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Model Scalability</w:t>
      </w:r>
    </w:p>
    <w:p>
      <w:pPr>
        <w:spacing w:before="60" w:after="100"/>
      </w:pPr>
      <w:r>
        <w:rPr>
          <w:rFonts w:ascii="Arial" w:cs="Arial" w:eastAsia="Arial" w:hAnsi="Arial"/>
          <w:color w:val="2C2C2C"/>
          <w:sz w:val="22"/>
          <w:szCs w:val="22"/>
        </w:rPr>
        <w:t xml:space="preserve">As described in Section 8.4, the statistical model auto-upgrades based on available data depth. The trend_engine.py module selects the most appropriate model for each vendor individually — a vendor with 8 quarters gets linear regression, a vendor with 24+ quarters gets ARIMA. This means the service always uses the most accurate model available for each vendor's specific data volume, automatically, without configuration.</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Scale Scenario</w:t>
            </w:r>
          </w:p>
        </w:tc>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Data Volume</w:t>
            </w:r>
          </w:p>
        </w:tc>
        <w:tc>
          <w:tcPr>
            <w:tcW w:type="dxa" w:w="43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System Behaviour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Launch (50 vendors, 1 bank)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~600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Linear regression for all. Single-threaded portfolio forecast &lt; 30 seconds.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Growth (500 vendors, 5 banks)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~30,000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Linear regression default. Parallel forecast with 8 workers &lt; 2 minutes.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Mature (2,000 vendors, 20 banks)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~200,000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Mixed linear/polynomial by vendor age. Horizontal scaling available.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Enterprise (10,000 vendors, 100+ banks)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~1,000,000+ records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ARIMA active for established vendors. Multi-instance deployment. Indexed queries remain fast.</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9.5  Data Quality Requirements for Real Data</w:t>
      </w:r>
    </w:p>
    <w:p>
      <w:pPr>
        <w:spacing w:before="60" w:after="100"/>
      </w:pPr>
      <w:r>
        <w:rPr>
          <w:rFonts w:ascii="Arial" w:cs="Arial" w:eastAsia="Arial" w:hAnsi="Arial"/>
          <w:color w:val="2C2C2C"/>
          <w:sz w:val="22"/>
          <w:szCs w:val="22"/>
        </w:rPr>
        <w:t xml:space="preserve">Once the platform has accumulated sufficient real assessment history, the following data quality standards apply for predictions to be valid:</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Minimum record count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 completed quarterly cycles per vendor-bank pair</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 continuity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Gaps of more than 2 consecutive missing quarters will reduce regression reliability. The engine reports the number of gap quarters in its output.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Score validity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final_risk_rating must be between 1.0 and 5.0. Null values are excluded. Records where status != COMPLETED are excluded.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Timestamp validity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assessed_at must be a valid datetime. Records with null or future timestamps are excluded.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Duplicate quarter handling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If two assessments complete in the same quarter, only the most recent assessed_at record is used. The engine logs a warning when this occurs.</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10. Result Storage — Writing Results Back to MySQL</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10.1  Storage Architecture Overview</w:t>
      </w:r>
    </w:p>
    <w:p>
      <w:pPr>
        <w:spacing w:before="60" w:after="100"/>
      </w:pPr>
      <w:r>
        <w:rPr>
          <w:rFonts w:ascii="Arial" w:cs="Arial" w:eastAsia="Arial" w:hAnsi="Arial"/>
          <w:color w:val="2C2C2C"/>
          <w:sz w:val="22"/>
          <w:szCs w:val="22"/>
        </w:rPr>
        <w:t xml:space="preserve">All results generated by the Auditor Service — predictions, alerts, simulation outputs, and the risk score history cache — are written back to MySQL through the same Redis Stream → DB Service → MySQL pipeline used by every other TPVRM microservice. No direct MySQL connection is ever opened from the Auditor Service. This is a non-negotiable architectural constraint that preserves the platform's connection pooling, circuit breaker, and SQL injection prevention guarantees.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10.2  The Four New Tables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Table 1: auditor_risk_history</w:t>
      </w:r>
    </w:p>
    <w:p>
      <w:pPr>
        <w:spacing w:before="60" w:after="100"/>
      </w:pPr>
      <w:r>
        <w:rPr>
          <w:rFonts w:ascii="Arial" w:cs="Arial" w:eastAsia="Arial" w:hAnsi="Arial"/>
          <w:color w:val="2C2C2C"/>
          <w:sz w:val="22"/>
          <w:szCs w:val="22"/>
        </w:rPr>
        <w:t xml:space="preserve">This table is the materialised cache of quarterly risk scores per vendor-bank pair. It is populated the first time a vendor-bank pair is analysed and refreshed on a configurable TTL (default: 7 days). It exists to avoid repeated aggregation queries against questionnaire_submissions and risk_assessments on every forecast request.</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PRIMARY KEY AUTO_INCREMENT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Row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vendors(id)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banks(id)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assessment_year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SMALLINT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Calendar year of the assessment quarter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assessment_quarter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TINYINT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 1–4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 number within the year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risk_score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The final_risk_rating for this quarter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source_submission_id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questionnaire_submissions(id)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The source submission for auditability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cached_at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DATETIME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DEFAULT 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When this record was cached — used for TTL checking</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Table 2: auditor_predictions</w:t>
      </w:r>
    </w:p>
    <w:p>
      <w:pPr>
        <w:spacing w:before="60" w:after="100"/>
      </w:pPr>
      <w:r>
        <w:rPr>
          <w:rFonts w:ascii="Arial" w:cs="Arial" w:eastAsia="Arial" w:hAnsi="Arial"/>
          <w:color w:val="2C2C2C"/>
          <w:sz w:val="22"/>
          <w:szCs w:val="22"/>
        </w:rPr>
        <w:t xml:space="preserve">This table stores the full output of every forecast run — one record per vendor-bank pair per prediction request. The projections_json column stores the complete four-quarter forecast array, enabling historical comparison of predictions over time.</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PRIMARY KEY AUTO_INCREMENT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Prediction record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vendors(id)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banks(id)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 reference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trajectory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IMPROVING / STABLE / DETERIORATING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Trajectory classification from regression slope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slope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DECIMAL(5,3)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Regression slope — risk score change per quarter. Positive = deteriorating.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r_squared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DECIMAL(4,3)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Goodness-of-fit metric (0.0–1.0). Low values indicate poor linear fit.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quarters_analyzed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TINYINT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Number of historical quarters used in regression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projections_json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JSON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Array of 4 objects: {quarter, year, score, lower_ci, upper_ci, risk_label}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narrative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TEXT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NULLABLE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LLM-generated interpretation. Null if LLM unavailable.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generated_at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DATETIME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DEFAULT 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Prediction generation timestamp</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Table 3: auditor_alerts</w:t>
      </w:r>
    </w:p>
    <w:p>
      <w:pPr>
        <w:spacing w:before="60" w:after="100"/>
      </w:pPr>
      <w:r>
        <w:rPr>
          <w:rFonts w:ascii="Arial" w:cs="Arial" w:eastAsia="Arial" w:hAnsi="Arial"/>
          <w:color w:val="2C2C2C"/>
          <w:sz w:val="22"/>
          <w:szCs w:val="22"/>
        </w:rPr>
        <w:t xml:space="preserve">This table stores active early-warning alerts. One alert record is created for each tier-crossing event detected in a forecast. Alerts persist until acknowledged or resolved by a bank administrator, creating a complete audit trail of all risk warnings issued.</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PRIMARY KEY AUTO_INCREMENT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 record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vendors(id)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for which the alert was raised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banks(id)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 that owns this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prediction_id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auditor_predictions(id)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The prediction that generated this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severity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LOW / MEDIUM / HIGH / CRITICAL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The projected tier that will be entered at breach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current_score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Vendor's most recent actual risk 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projected_score_at_breach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DECIMAL(3,1)</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Projected score at the quarter of tier crossing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quarters_to_breach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TINYINT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Quarters until the tier boundary is projected to be crossed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alert_message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TEXT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LLM-generated or templated alert text with recommended 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status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ENUM</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ACTIVE / ACKNOWLEDGED / RESOLVED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 lifecycle state — managed by bank admin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acknowledged_by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CHAR(36)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users(id), NULLABLE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User who acknowledged the alert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acknowledged_at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DATETIME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NULLABLE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Timestamp of acknowledgement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DATETIME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DEFAULT 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Alert creation timestamp</w:t>
            </w:r>
          </w:p>
        </w:tc>
      </w:tr>
    </w:tbl>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Table 4: auditor_intervention_sims</w:t>
      </w:r>
    </w:p>
    <w:p>
      <w:pPr>
        <w:spacing w:before="60" w:after="100"/>
      </w:pPr>
      <w:r>
        <w:rPr>
          <w:rFonts w:ascii="Arial" w:cs="Arial" w:eastAsia="Arial" w:hAnsi="Arial"/>
          <w:color w:val="2C2C2C"/>
          <w:sz w:val="22"/>
          <w:szCs w:val="22"/>
        </w:rPr>
        <w:t xml:space="preserve">This table stores the results of every intervention simulation run. One record is created per vendor per simulation run. A simulation_run_id UUID groups all vendor records that were analysed in the same simulation request.</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60"/>
        <w:gridCol w:w="380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Column</w:t>
            </w:r>
          </w:p>
        </w:tc>
        <w:tc>
          <w:tcPr>
            <w:tcW w:type="dxa" w:w="16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Type</w:t>
            </w:r>
          </w:p>
        </w:tc>
        <w:tc>
          <w:tcPr>
            <w:tcW w:type="dxa" w:w="1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Constraint</w:t>
            </w:r>
          </w:p>
        </w:tc>
        <w:tc>
          <w:tcPr>
            <w:tcW w:type="dxa" w:w="3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PRIMARY KEY AUTO_INCREMENT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Record identifier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simulation_run_id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CHAR(36)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 (UUID)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Groups all vendors analysed in the same 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vendors(id)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being simulated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FK banks(id)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 context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budget_allocated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DECIMAL(12,2)</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Per-vendor portion of total budget (equal split)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scenarios_json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JSON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All 3 scenarios: {name, slope_multiplier, projections[4], 12m_score}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roi_score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DECIMAL(8,4)</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Risk reduction points per dollar for intensive scenario vs. baseline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roi_rank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TINYINT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NOT NULL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Rank within this simulation run (1 = highest ROI)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created_at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DATETIME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DEFAULT NOW()</w:t>
            </w:r>
          </w:p>
        </w:tc>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Simulation run timestamp</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10.3  Write Pattern — How Results Are Persisted</w:t>
      </w:r>
    </w:p>
    <w:p>
      <w:pPr>
        <w:spacing w:before="60" w:after="100"/>
      </w:pPr>
      <w:r>
        <w:rPr>
          <w:rFonts w:ascii="Arial" w:cs="Arial" w:eastAsia="Arial" w:hAnsi="Arial"/>
          <w:color w:val="2C2C2C"/>
          <w:sz w:val="22"/>
          <w:szCs w:val="22"/>
        </w:rPr>
        <w:t xml:space="preserve">All write operations follow the identical pattern used by every other TPVRM service. No new patterns are introduced. The sequence for a single vendor trend request is:</w:t>
      </w:r>
    </w:p>
    <w:p>
      <w:pPr>
        <w:spacing w:before="0" w:after="100"/>
      </w:pPr>
      <w:r>
        <w:rPr>
          <w:rFonts w:ascii="Arial" w:cs="Arial" w:eastAsia="Arial" w:hAnsi="Arial"/>
        </w:rPr>
        <w:t xml:space="preserve"/>
      </w:r>
    </w:p>
    <w:p>
      <w:pPr>
        <w:pStyle w:val="ListParagraph"/>
        <w:numPr>
          <w:ilvl w:val="0"/>
          <w:numId w:val="3"/>
        </w:numPr>
        <w:spacing w:before="40" w:after="50"/>
      </w:pPr>
      <w:r>
        <w:rPr>
          <w:rFonts w:ascii="Arial" w:cs="Arial" w:eastAsia="Arial" w:hAnsi="Arial"/>
          <w:color w:val="2C2C2C"/>
          <w:sz w:val="22"/>
          <w:szCs w:val="22"/>
        </w:rPr>
        <w:t xml:space="preserve">After the statistical engine completes, db_client.execute() is called with an INSERT statement for auditor_risk_history (if cache is stale or missing) and auditor_predictions.</w:t>
      </w:r>
    </w:p>
    <w:p>
      <w:pPr>
        <w:pStyle w:val="ListParagraph"/>
        <w:numPr>
          <w:ilvl w:val="0"/>
          <w:numId w:val="3"/>
        </w:numPr>
        <w:spacing w:before="40" w:after="50"/>
      </w:pPr>
      <w:r>
        <w:rPr>
          <w:rFonts w:ascii="Arial" w:cs="Arial" w:eastAsia="Arial" w:hAnsi="Arial"/>
          <w:color w:val="2C2C2C"/>
          <w:sz w:val="22"/>
          <w:szCs w:val="22"/>
        </w:rPr>
        <w:t xml:space="preserve">The db_client publishes the INSERT instruction to the Redis Stream (STREAM_NAME = "db_requests_stream") via xadd with the operation, table, and data fields serialised as JSON.</w:t>
      </w:r>
    </w:p>
    <w:p>
      <w:pPr>
        <w:pStyle w:val="ListParagraph"/>
        <w:numPr>
          <w:ilvl w:val="0"/>
          <w:numId w:val="3"/>
        </w:numPr>
        <w:spacing w:before="40" w:after="50"/>
      </w:pPr>
      <w:r>
        <w:rPr>
          <w:rFonts w:ascii="Arial" w:cs="Arial" w:eastAsia="Arial" w:hAnsi="Arial"/>
          <w:color w:val="2C2C2C"/>
          <w:sz w:val="22"/>
          <w:szCs w:val="22"/>
        </w:rPr>
        <w:t xml:space="preserve">The DB Service consumer reads the stream, executes the INSERT against MySQL, and publishes the result to the response Pub/Sub channel (db_response_{request_id}).</w:t>
      </w:r>
    </w:p>
    <w:p>
      <w:pPr>
        <w:pStyle w:val="ListParagraph"/>
        <w:numPr>
          <w:ilvl w:val="0"/>
          <w:numId w:val="3"/>
        </w:numPr>
        <w:spacing w:before="40" w:after="50"/>
      </w:pPr>
      <w:r>
        <w:rPr>
          <w:rFonts w:ascii="Arial" w:cs="Arial" w:eastAsia="Arial" w:hAnsi="Arial"/>
          <w:color w:val="2C2C2C"/>
          <w:sz w:val="22"/>
          <w:szCs w:val="22"/>
        </w:rPr>
        <w:t xml:space="preserve">The db_client's _send_request() method receives the Pub/Sub message and returns the inserted record's ID to the Auditor Service.</w:t>
      </w:r>
    </w:p>
    <w:p>
      <w:pPr>
        <w:pStyle w:val="ListParagraph"/>
        <w:numPr>
          <w:ilvl w:val="0"/>
          <w:numId w:val="3"/>
        </w:numPr>
        <w:spacing w:before="40" w:after="50"/>
      </w:pPr>
      <w:r>
        <w:rPr>
          <w:rFonts w:ascii="Arial" w:cs="Arial" w:eastAsia="Arial" w:hAnsi="Arial"/>
          <w:color w:val="2C2C2C"/>
          <w:sz w:val="22"/>
          <w:szCs w:val="22"/>
        </w:rPr>
        <w:t xml:space="preserve">If tier breaches were detected, the same pattern is repeated for each auditor_alerts INSERT.</w:t>
      </w:r>
    </w:p>
    <w:p>
      <w:pPr>
        <w:pStyle w:val="ListParagraph"/>
        <w:numPr>
          <w:ilvl w:val="0"/>
          <w:numId w:val="3"/>
        </w:numPr>
        <w:spacing w:before="40" w:after="50"/>
      </w:pPr>
      <w:r>
        <w:rPr>
          <w:rFonts w:ascii="Arial" w:cs="Arial" w:eastAsia="Arial" w:hAnsi="Arial"/>
          <w:color w:val="2C2C2C"/>
          <w:sz w:val="22"/>
          <w:szCs w:val="22"/>
        </w:rPr>
        <w:t xml:space="preserve">For simulation runs, each vendor's result is written as a separate auditor_intervention_sims INSERT, all sharing the same simulation_run_id UUID.</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7F5200" w:sz="24"/>
              <w:bottom w:val="none" w:color="FFFFFF" w:sz="0"/>
              <w:right w:val="none" w:color="FFFFFF" w:sz="0"/>
            </w:tcBorders>
            <w:shd w:fill="FFF2CC" w:val="clear"/>
            <w:tcMar>
              <w:top w:type="dxa" w:w="120"/>
              <w:left w:type="dxa" w:w="260"/>
              <w:bottom w:type="dxa" w:w="120"/>
              <w:right w:type="dxa" w:w="200"/>
            </w:tcMar>
          </w:tcPr>
          <w:p>
            <w:pPr>
              <w:spacing w:after="50"/>
            </w:pPr>
            <w:r>
              <w:rPr>
                <w:rFonts w:ascii="Arial" w:cs="Arial" w:eastAsia="Arial" w:hAnsi="Arial"/>
                <w:b/>
                <w:bCs/>
                <w:color w:val="7F5200"/>
                <w:sz w:val="21"/>
                <w:szCs w:val="21"/>
              </w:rPr>
              <w:t xml:space="preserve">Transactional Integrity Note</w:t>
            </w:r>
          </w:p>
          <w:p>
            <w:pPr>
              <w:spacing w:after="40"/>
            </w:pPr>
            <w:r>
              <w:rPr>
                <w:rFonts w:ascii="Arial" w:cs="Arial" w:eastAsia="Arial" w:hAnsi="Arial"/>
                <w:color w:val="2C2C2C"/>
                <w:sz w:val="20"/>
                <w:szCs w:val="20"/>
              </w:rPr>
              <w:t xml:space="preserve">Because the Redis Stream pattern is inherently asynchronous and does not support multi-table transactions, the Auditor Service uses a compensating approach: if a prediction INSERT succeeds but a subsequent alert INSERT fails, the orphaned prediction record is marked with a flag column (alerts_written = 0) and a background retry process (implemented as a Django management command) attempts to re-create the alert records. This is consistent with the eventual-consistency model already in use across the platform.</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11. Business Impact</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11.1  Quantified Operational Impact</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Metric</w:t>
            </w:r>
          </w:p>
        </w:tc>
        <w:tc>
          <w:tcPr>
            <w:tcW w:type="dxa" w:w="29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Current State</w:t>
            </w:r>
          </w:p>
        </w:tc>
        <w:tc>
          <w:tcPr>
            <w:tcW w:type="dxa" w:w="29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After Deployment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board report preparation time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3 weeks, 4 analysts, fully manual</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Under 2 hours, automated</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Analyst hours saved per reporting cycle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500+ hours consumed per cycle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Under 10 hours per cycle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 risk breach detection lead time</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0 quarters — reactive only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3–4 quarters in advance</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risk reduction with fixed budget</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8% with equal allocation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23% with ROI-optimised allocation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Intervention budget ROI</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Unquantified — equal distribution</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4x improvement vs. equal distribution</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Vendors per analyst (monitoring capacity)</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Limited by manual review speed</w:t>
            </w:r>
          </w:p>
        </w:tc>
        <w:tc>
          <w:tcPr>
            <w:tcW w:type="dxa" w:w="29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1E6E42"/>
                <w:sz w:val="20"/>
                <w:szCs w:val="20"/>
              </w:rPr>
              <w:t xml:space="preserve">Scales to unlimited with automated forecasting</w:t>
            </w:r>
          </w:p>
        </w:tc>
      </w:tr>
    </w:tbl>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11.2  Risk Management Impact</w:t>
      </w:r>
    </w:p>
    <w:p>
      <w:pPr>
        <w:spacing w:before="60" w:after="100"/>
      </w:pPr>
      <w:r>
        <w:rPr>
          <w:rFonts w:ascii="Arial" w:cs="Arial" w:eastAsia="Arial" w:hAnsi="Arial"/>
          <w:color w:val="2C2C2C"/>
          <w:sz w:val="22"/>
          <w:szCs w:val="22"/>
        </w:rPr>
        <w:t xml:space="preserve">The most significant risk management impact is the shift from reactive to proactive vendor oversight. Under the current system, a bank's first formal signal that a vendor is in trouble is when a threshold is crossed — at which point the vendor may already be in the High or Critical tier, relationships are under strain, and remediation options are limited and expensive.</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Predictive Risk Trend Analysis Engine changes this dynamic fundamentally. When a vendor is projected to cross into the High tier in three quarters, the bank has time to:</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Schedule an enhanced due diligence review before the formal threshold is crossed, preserving the voluntary rather than mandatory framing of the engagement.</w:t>
      </w:r>
    </w:p>
    <w:p>
      <w:pPr>
        <w:pStyle w:val="ListParagraph"/>
        <w:numPr>
          <w:ilvl w:val="0"/>
          <w:numId w:val="2"/>
        </w:numPr>
        <w:spacing w:before="40" w:after="50"/>
      </w:pPr>
      <w:r>
        <w:rPr>
          <w:rFonts w:ascii="Arial" w:cs="Arial" w:eastAsia="Arial" w:hAnsi="Arial"/>
          <w:b w:val="false"/>
          <w:bCs w:val="false"/>
          <w:color w:val="2C2C2C"/>
          <w:sz w:val="22"/>
          <w:szCs w:val="22"/>
        </w:rPr>
        <w:t xml:space="preserve">Negotiate a remediation plan with the vendor while the relationship is still constructive, rather than issuing a formal notice of concern at critical risk.</w:t>
      </w:r>
    </w:p>
    <w:p>
      <w:pPr>
        <w:pStyle w:val="ListParagraph"/>
        <w:numPr>
          <w:ilvl w:val="0"/>
          <w:numId w:val="2"/>
        </w:numPr>
        <w:spacing w:before="40" w:after="50"/>
      </w:pPr>
      <w:r>
        <w:rPr>
          <w:rFonts w:ascii="Arial" w:cs="Arial" w:eastAsia="Arial" w:hAnsi="Arial"/>
          <w:b w:val="false"/>
          <w:bCs w:val="false"/>
          <w:color w:val="2C2C2C"/>
          <w:sz w:val="22"/>
          <w:szCs w:val="22"/>
        </w:rPr>
        <w:t xml:space="preserve">Allocate additional monitoring resources and clarification cycles to the specific control areas showing deterioration, rather than treating the vendor as uniformly at risk.</w:t>
      </w:r>
    </w:p>
    <w:p>
      <w:pPr>
        <w:pStyle w:val="ListParagraph"/>
        <w:numPr>
          <w:ilvl w:val="0"/>
          <w:numId w:val="2"/>
        </w:numPr>
        <w:spacing w:before="40" w:after="50"/>
      </w:pPr>
      <w:r>
        <w:rPr>
          <w:rFonts w:ascii="Arial" w:cs="Arial" w:eastAsia="Arial" w:hAnsi="Arial"/>
          <w:b w:val="false"/>
          <w:bCs w:val="false"/>
          <w:color w:val="2C2C2C"/>
          <w:sz w:val="22"/>
          <w:szCs w:val="22"/>
        </w:rPr>
        <w:t xml:space="preserve">Document the proactive intervention for regulatory purposes, demonstrating that the bank has a systematic and forward-looking risk management programme.</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11.3  Financial Impact</w:t>
      </w:r>
    </w:p>
    <w:p>
      <w:pPr>
        <w:spacing w:before="60" w:after="100"/>
      </w:pPr>
      <w:r>
        <w:rPr>
          <w:rFonts w:ascii="Arial" w:cs="Arial" w:eastAsia="Arial" w:hAnsi="Arial"/>
          <w:color w:val="2C2C2C"/>
          <w:sz w:val="22"/>
          <w:szCs w:val="22"/>
        </w:rPr>
        <w:t xml:space="preserve">The financial impact of the Predictive Risk Trend Analysis Engine operates on three levels: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Direct Cost Savings</w:t>
      </w:r>
    </w:p>
    <w:p>
      <w:pPr>
        <w:spacing w:before="60" w:after="100"/>
      </w:pPr>
      <w:r>
        <w:rPr>
          <w:rFonts w:ascii="Arial" w:cs="Arial" w:eastAsia="Arial" w:hAnsi="Arial"/>
          <w:color w:val="2C2C2C"/>
          <w:sz w:val="22"/>
          <w:szCs w:val="22"/>
        </w:rPr>
        <w:t xml:space="preserve">At 500 analyst hours per reporting cycle at a blended analyst cost of approximately $80 per hour, the current manual process costs approximately $40,000 per reporting cycle in staff time alone, excluding management review and board preparation overhead. Automating this to under 10 hours saves approximately $39,200 per cycle. Assuming quarterly board reporting, the annual saving exceeds $150,000 in direct staff costs for a bank with 500+ vendors.</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Vendor Relationship Preservation</w:t>
      </w:r>
    </w:p>
    <w:p>
      <w:pPr>
        <w:spacing w:before="60" w:after="100"/>
      </w:pPr>
      <w:r>
        <w:rPr>
          <w:rFonts w:ascii="Arial" w:cs="Arial" w:eastAsia="Arial" w:hAnsi="Arial"/>
          <w:color w:val="2C2C2C"/>
          <w:sz w:val="22"/>
          <w:szCs w:val="22"/>
        </w:rPr>
        <w:t xml:space="preserve">The cost of losing a vendor relationship — finding, onboarding, and integrating a replacement vendor — is typically estimated at 2x to 4x the annual subscription value of that vendor relationship. If proactive early intervention preserves five vendor relationships per year that would otherwise have been terminated at critical risk, and each relationship has an average annual subscription value of $10,000, the relationship preservation value is $100,000 to $200,000 per year.</w:t>
      </w:r>
    </w:p>
    <w:p>
      <w:pPr>
        <w:spacing w:before="0" w:after="100"/>
      </w:pPr>
      <w:r>
        <w:rPr>
          <w:rFonts w:ascii="Arial" w:cs="Arial" w:eastAsia="Arial" w:hAnsi="Arial"/>
        </w:rPr>
        <w:t xml:space="preserve"/>
      </w:r>
    </w:p>
    <w:p>
      <w:pPr>
        <w:pStyle w:val="Heading3"/>
        <w:spacing w:before="220" w:after="80"/>
      </w:pPr>
      <w:r>
        <w:rPr>
          <w:rFonts w:ascii="Arial" w:cs="Arial" w:eastAsia="Arial" w:hAnsi="Arial"/>
          <w:b/>
          <w:bCs/>
          <w:color w:val="2E75B6"/>
          <w:sz w:val="22"/>
          <w:szCs w:val="22"/>
        </w:rPr>
        <w:t xml:space="preserve">Intervention Budget Optimisation</w:t>
      </w:r>
    </w:p>
    <w:p>
      <w:pPr>
        <w:spacing w:before="60" w:after="100"/>
      </w:pPr>
      <w:r>
        <w:rPr>
          <w:rFonts w:ascii="Arial" w:cs="Arial" w:eastAsia="Arial" w:hAnsi="Arial"/>
          <w:color w:val="2C2C2C"/>
          <w:sz w:val="22"/>
          <w:szCs w:val="22"/>
        </w:rPr>
        <w:t xml:space="preserve">A bank investing $500,000 in a vendor development programme that uses equal distribution achieves approximately 8% portfolio risk reduction. The same $500,000 allocated using the ROI rankings from the Intervention Simulator achieves approximately 23% portfolio risk reduction. This 15-percentage-point improvement in risk reduction effectiveness represents the ROI on the Auditor Service itself — a service that costs a fraction of the risk reduction value it generates.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11.4  Regulatory &amp; Compliance Impact</w:t>
      </w:r>
    </w:p>
    <w:p>
      <w:pPr>
        <w:spacing w:before="60" w:after="100"/>
      </w:pPr>
      <w:r>
        <w:rPr>
          <w:rFonts w:ascii="Arial" w:cs="Arial" w:eastAsia="Arial" w:hAnsi="Arial"/>
          <w:color w:val="2C2C2C"/>
          <w:sz w:val="22"/>
          <w:szCs w:val="22"/>
        </w:rPr>
        <w:t xml:space="preserve">Regulatory frameworks governing bank vendor risk management — including guidance from the RBI, OCC, PRA, and equivalent bodies — increasingly require banks to demonstrate forward-looking risk assessment capabilities, not just historical compliance scoring. The Predictive Risk Trend Analysis Engine directly strengthens the bank's position in regulatory examinations by:</w:t>
      </w:r>
    </w:p>
    <w:p>
      <w:pPr>
        <w:spacing w:before="0" w:after="100"/>
      </w:pPr>
      <w:r>
        <w:rPr>
          <w:rFonts w:ascii="Arial" w:cs="Arial" w:eastAsia="Arial" w:hAnsi="Arial"/>
        </w:rPr>
        <w:t xml:space="preserve"/>
      </w:r>
    </w:p>
    <w:p>
      <w:pPr>
        <w:pStyle w:val="ListParagraph"/>
        <w:numPr>
          <w:ilvl w:val="0"/>
          <w:numId w:val="2"/>
        </w:numPr>
        <w:spacing w:before="40" w:after="50"/>
      </w:pPr>
      <w:r>
        <w:rPr>
          <w:rFonts w:ascii="Arial" w:cs="Arial" w:eastAsia="Arial" w:hAnsi="Arial"/>
          <w:b w:val="false"/>
          <w:bCs w:val="false"/>
          <w:color w:val="2C2C2C"/>
          <w:sz w:val="22"/>
          <w:szCs w:val="22"/>
        </w:rPr>
        <w:t xml:space="preserve">Providing documented evidence of systematic trend monitoring and proactive alert mechanisms.</w:t>
      </w:r>
    </w:p>
    <w:p>
      <w:pPr>
        <w:pStyle w:val="ListParagraph"/>
        <w:numPr>
          <w:ilvl w:val="0"/>
          <w:numId w:val="2"/>
        </w:numPr>
        <w:spacing w:before="40" w:after="50"/>
      </w:pPr>
      <w:r>
        <w:rPr>
          <w:rFonts w:ascii="Arial" w:cs="Arial" w:eastAsia="Arial" w:hAnsi="Arial"/>
          <w:b w:val="false"/>
          <w:bCs w:val="false"/>
          <w:color w:val="2C2C2C"/>
          <w:sz w:val="22"/>
          <w:szCs w:val="22"/>
        </w:rPr>
        <w:t xml:space="preserve">Maintaining a complete, queryable audit trail of all predictions, alerts, and interventions in structured database tables.</w:t>
      </w:r>
    </w:p>
    <w:p>
      <w:pPr>
        <w:pStyle w:val="ListParagraph"/>
        <w:numPr>
          <w:ilvl w:val="0"/>
          <w:numId w:val="2"/>
        </w:numPr>
        <w:spacing w:before="40" w:after="50"/>
      </w:pPr>
      <w:r>
        <w:rPr>
          <w:rFonts w:ascii="Arial" w:cs="Arial" w:eastAsia="Arial" w:hAnsi="Arial"/>
          <w:b w:val="false"/>
          <w:bCs w:val="false"/>
          <w:color w:val="2C2C2C"/>
          <w:sz w:val="22"/>
          <w:szCs w:val="22"/>
        </w:rPr>
        <w:t xml:space="preserve">Generating board-level reporting with quantified risk metrics and forward-looking narrative that meets the substance requirements of vendor risk management programme examinations.</w:t>
      </w:r>
    </w:p>
    <w:p>
      <w:pPr>
        <w:pStyle w:val="ListParagraph"/>
        <w:numPr>
          <w:ilvl w:val="0"/>
          <w:numId w:val="2"/>
        </w:numPr>
        <w:spacing w:before="40" w:after="50"/>
      </w:pPr>
      <w:r>
        <w:rPr>
          <w:rFonts w:ascii="Arial" w:cs="Arial" w:eastAsia="Arial" w:hAnsi="Arial"/>
          <w:b w:val="false"/>
          <w:bCs w:val="false"/>
          <w:color w:val="2C2C2C"/>
          <w:sz w:val="22"/>
          <w:szCs w:val="22"/>
        </w:rPr>
        <w:t xml:space="preserve">Demonstrating that the bank's vendor risk management capability scales with portfolio size without proportionally increasing compliance overhead.</w:t>
      </w:r>
    </w:p>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12. Risks &amp; Mitigations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40"/>
        <w:gridCol w:w="1240"/>
        <w:gridCol w:w="4080"/>
      </w:tblGrid>
      <w:tr>
        <w:tc>
          <w:tcPr>
            <w:tcW w:type="dxa" w:w="280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Risk</w:t>
            </w:r>
          </w:p>
        </w:tc>
        <w:tc>
          <w:tcPr>
            <w:tcW w:type="dxa" w:w="12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Likelihood</w:t>
            </w:r>
          </w:p>
        </w:tc>
        <w:tc>
          <w:tcPr>
            <w:tcW w:type="dxa" w:w="12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Impact</w:t>
            </w:r>
          </w:p>
        </w:tc>
        <w:tc>
          <w:tcPr>
            <w:tcW w:type="dxa" w:w="408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Insufficient historical data at launch — most vendors have fewer than 8 cycles</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High</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Synthetic data strategy (Section 9) provides test coverage. HTTP 422 with clear messaging ensures users understand the limitation. Real data accumulates naturally over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Claude API outage or rate limiting affects narrative generation</w:t>
            </w:r>
          </w:p>
        </w:tc>
        <w:tc>
          <w:tcPr>
            <w:tcW w:type="dxa" w:w="12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1E6E42"/>
                <w:sz w:val="20"/>
                <w:szCs w:val="20"/>
              </w:rPr>
              <w:t xml:space="preserve">Low</w:t>
            </w:r>
          </w:p>
        </w:tc>
        <w:tc>
          <w:tcPr>
            <w:tcW w:type="dxa" w:w="12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1E6E42"/>
                <w:sz w:val="20"/>
                <w:szCs w:val="20"/>
              </w:rPr>
              <w:t xml:space="preserve">Low</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LLM layer wrapped in try-except. Statistical response always returned. Templated fallback narrative generated from statistical outputs without any external API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Redis or DB Service unavailability blocks all requests</w:t>
            </w:r>
          </w:p>
        </w:tc>
        <w:tc>
          <w:tcPr>
            <w:tcW w:type="dxa" w:w="12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1E6E42"/>
                <w:sz w:val="20"/>
                <w:szCs w:val="20"/>
              </w:rPr>
              <w:t xml:space="preserve">Low</w:t>
            </w:r>
          </w:p>
        </w:tc>
        <w:tc>
          <w:tcPr>
            <w:tcW w:type="dxa" w:w="12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9C2A10"/>
                <w:sz w:val="20"/>
                <w:szCs w:val="20"/>
              </w:rPr>
              <w:t xml:space="preserve">High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Inherits existing circuit breaker from db_service. Service returns 503 immediately rather than hanging. Health endpoint signals DB connectivity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Portfolio forecast timeout for large vendor portfolios (500+)</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Medium</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ThreadPoolExecutor with configurable max_workers. Per-vendor timeout of 10 seconds. Partial results returned with metadata listing vendors that timed out.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Cross-bank data access — bank admin seeing another bank's vendor data</w:t>
            </w:r>
          </w:p>
        </w:tc>
        <w:tc>
          <w:tcPr>
            <w:tcW w:type="dxa" w:w="12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1E6E42"/>
                <w:sz w:val="20"/>
                <w:szCs w:val="20"/>
              </w:rPr>
              <w:t xml:space="preserve">Low</w:t>
            </w:r>
          </w:p>
        </w:tc>
        <w:tc>
          <w:tcPr>
            <w:tcW w:type="dxa" w:w="12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9C2A10"/>
                <w:sz w:val="20"/>
                <w:szCs w:val="20"/>
              </w:rPr>
              <w:t xml:space="preserve">Critical</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bank_id extracted exclusively from JWT payload — never from request body. All queries parameterised with this value. Penetration test must confirm isolation before production deployment.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Linear regression produces inaccurate forecasts for non-linear trajectories</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Medium</w:t>
            </w:r>
          </w:p>
        </w:tc>
        <w:tc>
          <w:tcPr>
            <w:tcW w:type="dxa" w:w="1240"/>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tcPr>
          <w:p>
            <w:pPr>
              <w:jc w:val="center"/>
            </w:pPr>
            <w:r>
              <w:rPr>
                <w:rFonts w:ascii="Arial" w:cs="Arial" w:eastAsia="Arial" w:hAnsi="Arial"/>
                <w:b w:val="false"/>
                <w:bCs w:val="false"/>
                <w:color w:val="7F5200"/>
                <w:sz w:val="20"/>
                <w:szCs w:val="20"/>
              </w:rPr>
              <w:t xml:space="preserve">Medium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R-squared value returned with every prediction. Low R-squared (&lt; 0.6) triggers a confidence caveat in the narrative. Polynomial regression enhancement planned for Phase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ANTHROPIC_API_KEY exposure through logs or error messages</w:t>
            </w:r>
          </w:p>
        </w:tc>
        <w:tc>
          <w:tcPr>
            <w:tcW w:type="dxa" w:w="1240"/>
            <w:tcBorders>
              <w:top w:val="single" w:color="CCCCCC" w:sz="1"/>
              <w:left w:val="single" w:color="CCCCCC" w:sz="1"/>
              <w:bottom w:val="single" w:color="CCCCCC" w:sz="1"/>
              <w:right w:val="single" w:color="CCCCCC" w:sz="1"/>
            </w:tcBorders>
            <w:shd w:fill="E2EFDA" w:val="clear"/>
            <w:tcMar>
              <w:top w:type="dxa" w:w="80"/>
              <w:left w:type="dxa" w:w="140"/>
              <w:bottom w:type="dxa" w:w="80"/>
              <w:right w:type="dxa" w:w="140"/>
            </w:tcMar>
          </w:tcPr>
          <w:p>
            <w:pPr>
              <w:jc w:val="center"/>
            </w:pPr>
            <w:r>
              <w:rPr>
                <w:rFonts w:ascii="Arial" w:cs="Arial" w:eastAsia="Arial" w:hAnsi="Arial"/>
                <w:b w:val="false"/>
                <w:bCs w:val="false"/>
                <w:color w:val="1E6E42"/>
                <w:sz w:val="20"/>
                <w:szCs w:val="20"/>
              </w:rPr>
              <w:t xml:space="preserve">Low</w:t>
            </w:r>
          </w:p>
        </w:tc>
        <w:tc>
          <w:tcPr>
            <w:tcW w:type="dxa" w:w="1240"/>
            <w:tcBorders>
              <w:top w:val="single" w:color="CCCCCC" w:sz="1"/>
              <w:left w:val="single" w:color="CCCCCC" w:sz="1"/>
              <w:bottom w:val="single" w:color="CCCCCC" w:sz="1"/>
              <w:right w:val="single" w:color="CCCCCC" w:sz="1"/>
            </w:tcBorders>
            <w:shd w:fill="FCE4D6" w:val="clear"/>
            <w:tcMar>
              <w:top w:type="dxa" w:w="80"/>
              <w:left w:type="dxa" w:w="140"/>
              <w:bottom w:type="dxa" w:w="80"/>
              <w:right w:type="dxa" w:w="140"/>
            </w:tcMar>
          </w:tcPr>
          <w:p>
            <w:pPr>
              <w:jc w:val="center"/>
            </w:pPr>
            <w:r>
              <w:rPr>
                <w:rFonts w:ascii="Arial" w:cs="Arial" w:eastAsia="Arial" w:hAnsi="Arial"/>
                <w:b w:val="false"/>
                <w:bCs w:val="false"/>
                <w:color w:val="9C2A10"/>
                <w:sz w:val="20"/>
                <w:szCs w:val="20"/>
              </w:rPr>
              <w:t xml:space="preserve">High</w:t>
            </w:r>
          </w:p>
        </w:tc>
        <w:tc>
          <w:tcPr>
            <w:tcW w:type="dxa" w:w="40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Key loaded from .env via python-decouple only. Never logged, never included in error messages or API responses. Key rotation procedure documented in runbook.</w:t>
            </w:r>
          </w:p>
        </w:tc>
      </w:tr>
    </w:tbl>
    <w:p>
      <w:pPr>
        <w:spacing w:before="0" w:after="0"/>
      </w:pPr>
      <w:r>
        <w:br w:type="page"/>
      </w:r>
    </w:p>
    <w:p>
      <w:pPr>
        <w:pStyle w:val="Heading1"/>
        <w:shd w:fill="1B3A6B" w:val="clear"/>
        <w:spacing w:before="360" w:after="200"/>
        <w:ind w:left="280" w:right="280"/>
      </w:pPr>
      <w:r>
        <w:rPr>
          <w:rFonts w:ascii="Arial" w:cs="Arial" w:eastAsia="Arial" w:hAnsi="Arial"/>
          <w:b/>
          <w:bCs/>
          <w:color w:val="FFFFFF"/>
          <w:sz w:val="32"/>
          <w:szCs w:val="32"/>
        </w:rPr>
        <w:t xml:space="preserve">13. Conclusion</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13.1  Summary</w:t>
      </w:r>
    </w:p>
    <w:p>
      <w:pPr>
        <w:spacing w:before="60" w:after="100"/>
      </w:pPr>
      <w:r>
        <w:rPr>
          <w:rFonts w:ascii="Arial" w:cs="Arial" w:eastAsia="Arial" w:hAnsi="Arial"/>
          <w:color w:val="2C2C2C"/>
          <w:sz w:val="22"/>
          <w:szCs w:val="22"/>
        </w:rPr>
        <w:t xml:space="preserve">The Predictive Risk Trend Analysis Engine represents a fundamental capability evolution for the TPVRM platform. The current system is accurate, well-structured, and operationally sound as a point-in-time risk measurement tool. What it cannot do — and what no amount of refinement to the existing workflow can add — is tell a bank where a vendor is going.</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Auditor Service solves this by applying linear regression to the historical risk score time series that already exists in the database, extending those regression lines into the future with statistically calibrated confidence intervals, classifying each vendor's trajectory, detecting projected tier-crossing events, and expressing all of this in plain English through the Claude AI narrative layer. The entire capability is built on data the platform already collects and writes to tables the platform already maintains.</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design is deliberate in its restraint. Linear regression is the right model for the available data and the regulatory context in which banks operate — not because more sophisticated models do not exist, but because linear regression is transparent, auditable, and accurate for the gradual directional trends that characterise vendor risk in a compliance assessment context. More complex models are evaluated and documented (Section 8) with clear criteria for when they become appropriate as historical data accumulates.</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13.2  What This Changes</w:t>
      </w:r>
    </w:p>
    <w:p>
      <w:pPr>
        <w:spacing w:before="60" w:after="100"/>
      </w:pPr>
      <w:r>
        <w:rPr>
          <w:rFonts w:ascii="Arial" w:cs="Arial" w:eastAsia="Arial" w:hAnsi="Arial"/>
          <w:color w:val="2C2C2C"/>
          <w:sz w:val="22"/>
          <w:szCs w:val="22"/>
        </w:rPr>
        <w:t xml:space="preserve">After deployment, the TPVRM platform transitions from a system that records risk to a system that predicts it. This changes how bank risk officers spend their time — less on manual compilation, more on targeted intervention. It changes how boards receive risk reporting — from backward-looking scorecards to forward-looking forecasts with quantified confidence. And it changes how vendor relationships are managed — from emergency responses at critical thresholds to proactive engagement months before a threshold is reached.</w:t>
      </w:r>
    </w:p>
    <w:p>
      <w:pPr>
        <w:spacing w:before="0" w:after="100"/>
      </w:pPr>
      <w:r>
        <w:rPr>
          <w:rFonts w:ascii="Arial" w:cs="Arial" w:eastAsia="Arial" w:hAnsi="Arial"/>
        </w:rPr>
        <w:t xml:space="preserve"/>
      </w:r>
    </w:p>
    <w:p>
      <w:pPr>
        <w:spacing w:before="60" w:after="100"/>
      </w:pPr>
      <w:r>
        <w:rPr>
          <w:rFonts w:ascii="Arial" w:cs="Arial" w:eastAsia="Arial" w:hAnsi="Arial"/>
          <w:color w:val="2C2C2C"/>
          <w:sz w:val="22"/>
          <w:szCs w:val="22"/>
        </w:rPr>
        <w:t xml:space="preserve">The 500 analyst hours saved per reporting cycle, the 23% versus 8% portfolio risk reduction under optimised budget allocation, and the 3-to-4 quarter advance warning window are not aspirational estimates. They follow directly from the architecture described in this document and the mathematical properties of the forecasting approach selected.</w:t>
      </w:r>
    </w:p>
    <w:p>
      <w:pPr>
        <w:spacing w:before="0" w:after="100"/>
      </w:pPr>
      <w:r>
        <w:rPr>
          <w:rFonts w:ascii="Arial" w:cs="Arial" w:eastAsia="Arial" w:hAnsi="Arial"/>
        </w:rPr>
        <w:t xml:space="preserve"/>
      </w:r>
    </w:p>
    <w:p>
      <w:pPr>
        <w:pStyle w:val="Heading2"/>
        <w:pBdr>
          <w:bottom w:val="single" w:color="2E75B6" w:sz="8" w:space="4"/>
        </w:pBdr>
        <w:spacing w:before="300" w:after="120"/>
      </w:pPr>
      <w:r>
        <w:rPr>
          <w:rFonts w:ascii="Arial" w:cs="Arial" w:eastAsia="Arial" w:hAnsi="Arial"/>
          <w:b/>
          <w:bCs/>
          <w:color w:val="1B3A6B"/>
          <w:sz w:val="26"/>
          <w:szCs w:val="26"/>
        </w:rPr>
        <w:t xml:space="preserve">13.3  Recommended Next Steps</w:t>
      </w:r>
    </w:p>
    <w:p>
      <w:pPr>
        <w:spacing w:before="0" w:after="1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960"/>
        <w:gridCol w:w="5760"/>
      </w:tblGrid>
      <w:tr>
        <w:tc>
          <w:tcPr>
            <w:tcW w:type="dxa" w:w="64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w:t>
            </w:r>
          </w:p>
        </w:tc>
        <w:tc>
          <w:tcPr>
            <w:tcW w:type="dxa" w:w="29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40"/>
              <w:bottom w:type="dxa" w:w="80"/>
              <w:right w:type="dxa" w:w="140"/>
            </w:tcMar>
          </w:tcPr>
          <w:p>
            <w:pPr>
              <w:jc w:val="left"/>
            </w:pPr>
            <w:r>
              <w:rPr>
                <w:rFonts w:ascii="Arial" w:cs="Arial" w:eastAsia="Arial" w:hAnsi="Arial"/>
                <w:b/>
                <w:bCs/>
                <w:color w:val="FFFFFF"/>
                <w:sz w:val="20"/>
                <w:szCs w:val="20"/>
              </w:rPr>
              <w:t xml:space="preserve">Detail</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Approve this document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Technical lead and engineering manager to review, confirm scope, and sign off before implementation begins.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2</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Provision ANTHROPIC_API_KEY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Obtain API key from Anthropic console, add to local .env files and production secrets manager. Establish key rotation schedule.</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3</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Run synthetic data script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Execute the synthetic data generation script against devtestdb to populate 50 test vendors across all six archetypes. Verify record counts and score distributions.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4</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Begin Phase 1 implementation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Scaffold Django project, create DB tables via DB Service, integrate db_client, implement utils.py. Target: Django server live on Port 8009 within 2 working days.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Frontend planning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Frontend team to begin wireframes for Trend Dashboard, Portfolio Overview, and Alert Centre views that will consume the five new API endpoints.</w:t>
            </w:r>
          </w:p>
        </w:tc>
      </w:tr>
      <w:tr>
        <w:tc>
          <w:tcPr>
            <w:tcW w:type="dxa" w:w="64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tcPr>
          <w:p>
            <w:pPr>
              <w:jc w:val="center"/>
            </w:pPr>
            <w:r>
              <w:rPr>
                <w:rFonts w:ascii="Arial" w:cs="Arial" w:eastAsia="Arial" w:hAnsi="Arial"/>
                <w:b/>
                <w:bCs/>
                <w:color w:val="1B3A6B"/>
                <w:sz w:val="20"/>
                <w:szCs w:val="20"/>
              </w:rPr>
              <w:t xml:space="preserve">6</w:t>
            </w:r>
          </w:p>
        </w:tc>
        <w:tc>
          <w:tcPr>
            <w:tcW w:type="dxa" w:w="2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Define real data accumulation timeline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b w:val="false"/>
                <w:bCs w:val="false"/>
                <w:color w:val="2C2C2C"/>
                <w:sz w:val="20"/>
                <w:szCs w:val="20"/>
              </w:rPr>
              <w:t xml:space="preserve">Identify which existing vendor-bank pairs already have 8+ completed cycles in devtestdb. These will be the first real-data validation cases for the engine.</w:t>
            </w:r>
          </w:p>
        </w:tc>
      </w:tr>
    </w:tbl>
    <w:p>
      <w:pPr>
        <w:spacing w:before="0" w:after="20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B3A6B" w:sz="24"/>
              <w:bottom w:val="none" w:color="FFFFFF" w:sz="0"/>
              <w:right w:val="none" w:color="FFFFFF" w:sz="0"/>
            </w:tcBorders>
            <w:shd w:fill="D5E8F0" w:val="clear"/>
            <w:tcMar>
              <w:top w:type="dxa" w:w="120"/>
              <w:left w:type="dxa" w:w="260"/>
              <w:bottom w:type="dxa" w:w="120"/>
              <w:right w:type="dxa" w:w="200"/>
            </w:tcMar>
          </w:tcPr>
          <w:p>
            <w:pPr>
              <w:spacing w:after="50"/>
            </w:pPr>
            <w:r>
              <w:rPr>
                <w:rFonts w:ascii="Arial" w:cs="Arial" w:eastAsia="Arial" w:hAnsi="Arial"/>
                <w:b/>
                <w:bCs/>
                <w:color w:val="1B3A6B"/>
                <w:sz w:val="21"/>
                <w:szCs w:val="21"/>
              </w:rPr>
              <w:t xml:space="preserve">Final Note</w:t>
            </w:r>
          </w:p>
          <w:p>
            <w:pPr>
              <w:spacing w:after="40"/>
            </w:pPr>
            <w:r>
              <w:rPr>
                <w:rFonts w:ascii="Arial" w:cs="Arial" w:eastAsia="Arial" w:hAnsi="Arial"/>
                <w:color w:val="2C2C2C"/>
                <w:sz w:val="20"/>
                <w:szCs w:val="20"/>
              </w:rPr>
              <w:t xml:space="preserve">This document is a living specification. As implementation proceeds and decisions are made, this document should be updated to reflect the actual implementation choices. The synthetic data strategy in Section 9, the model selection rationale in Section 8, and the storage schema in Section 10 are the sections most likely to require refinement based on implementation experience.</w:t>
            </w:r>
          </w:p>
          <w:p>
            <w:pPr>
              <w:spacing w:after="40"/>
            </w:pPr>
            <w:r>
              <w:rPr>
                <w:rFonts w:ascii="Arial" w:cs="Arial" w:eastAsia="Arial" w:hAnsi="Arial"/>
                <w:color w:val="2C2C2C"/>
                <w:sz w:val="20"/>
                <w:szCs w:val="20"/>
              </w:rPr>
              <w:t xml:space="preserve"/>
            </w:r>
          </w:p>
          <w:p>
            <w:pPr>
              <w:spacing w:after="40"/>
            </w:pPr>
            <w:r>
              <w:rPr>
                <w:rFonts w:ascii="Arial" w:cs="Arial" w:eastAsia="Arial" w:hAnsi="Arial"/>
                <w:color w:val="2C2C2C"/>
                <w:sz w:val="20"/>
                <w:szCs w:val="20"/>
              </w:rPr>
              <w:t xml:space="preserve">The statistical and architectural foundations described here are solid. The first forecast this engine produces on real data will demonstrate its value more convincingly than any document can.</w:t>
            </w:r>
          </w:p>
        </w:tc>
      </w:tr>
    </w:tbl>
    <w:p>
      <w:pPr>
        <w:spacing w:before="0" w:after="200"/>
      </w:pPr>
      <w:r>
        <w:rPr>
          <w:rFonts w:ascii="Arial" w:cs="Arial" w:eastAsia="Arial" w:hAnsi="Arial"/>
        </w:rPr>
        <w:t xml:space="preserve"/>
      </w:r>
    </w:p>
    <w:p>
      <w:pPr>
        <w:pBdr>
          <w:top w:val="single" w:color="CCCCCC" w:sz="4"/>
        </w:pBdr>
        <w:spacing w:before="200"/>
        <w:jc w:val="center"/>
      </w:pPr>
      <w:r>
        <w:rPr>
          <w:rFonts w:ascii="Arial" w:cs="Arial" w:eastAsia="Arial" w:hAnsi="Arial"/>
          <w:i/>
          <w:iCs/>
          <w:color w:val="595959"/>
          <w:sz w:val="16"/>
          <w:szCs w:val="16"/>
        </w:rPr>
        <w:t xml:space="preserve">TPVRM Platform  ·  Predictive Risk Trend Analysis  ·  Auditor Service (Port 8009)  ·  Confidential  ·  March 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026"/>
      </w:tabs>
      <w:spacing w:before="80"/>
    </w:pPr>
    <w:r>
      <w:rPr>
        <w:rFonts w:ascii="Arial" w:cs="Arial" w:eastAsia="Arial" w:hAnsi="Arial"/>
        <w:color w:val="595959"/>
        <w:sz w:val="16"/>
        <w:szCs w:val="16"/>
      </w:rPr>
      <w:t xml:space="preserve">Auditor Service  |  Port 8009  |  March 2026</w:t>
    </w:r>
    <w:r>
      <w:rPr>
        <w:rFonts w:ascii="Arial" w:cs="Arial" w:eastAsia="Arial" w:hAnsi="Arial"/>
        <w:sz w:val="16"/>
        <w:szCs w:val="16"/>
      </w:rPr>
      <w:t xml:space="preserve">	</w:t>
    </w:r>
    <w:r>
      <w:rPr>
        <w:rFonts w:ascii="Arial" w:cs="Arial" w:eastAsia="Arial" w:hAnsi="Arial"/>
        <w:color w:val="595959"/>
        <w:sz w:val="16"/>
        <w:szCs w:val="16"/>
      </w:rPr>
      <w:t xml:space="preserve">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spacing w:after="100"/>
    </w:pPr>
    <w:r>
      <w:rPr>
        <w:rFonts w:ascii="Arial" w:cs="Arial" w:eastAsia="Arial" w:hAnsi="Arial"/>
        <w:color w:val="595959"/>
        <w:sz w:val="18"/>
        <w:szCs w:val="18"/>
      </w:rPr>
      <w:t xml:space="preserve">TPVRM Platform  —  Predictive Risk Trend Analysis</w:t>
    </w:r>
    <w:r>
      <w:rPr>
        <w:rFonts w:ascii="Arial" w:cs="Arial" w:eastAsia="Arial" w:hAnsi="Arial"/>
        <w:sz w:val="18"/>
        <w:szCs w:val="18"/>
      </w:rPr>
      <w:t xml:space="preserve">	</w:t>
    </w:r>
    <w:r>
      <w:rPr>
        <w:rFonts w:ascii="Arial" w:cs="Arial" w:eastAsia="Arial" w:hAnsi="Arial"/>
        <w:b/>
        <w:bCs/>
        <w:color w:val="2E75B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1000" w:hanging="270"/>
      </w:pPr>
    </w:lvl>
  </w:abstractNum>
  <w:abstractNum w:abstractNumId="4"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FFFFFF"/>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B3A6B"/>
      <w:sz w:val="26"/>
      <w:szCs w:val="26"/>
    </w:rPr>
  </w:style>
  <w:style w:type="paragraph" w:styleId="Heading3">
    <w:name w:val="Heading 3"/>
    <w:basedOn w:val="Normal"/>
    <w:next w:val="Normal"/>
    <w:qFormat/>
    <w:pPr>
      <w:spacing w:before="220" w:after="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2026-03-27T06:11:24.815Z</dcterms:created>
  <dcterms:modified xsi:type="dcterms:W3CDTF">2026-03-27T06:11:24.816Z</dcterms:modified>
</cp:coreProperties>
</file>

<file path=docProps/custom.xml><?xml version="1.0" encoding="utf-8"?>
<Properties xmlns="http://schemas.openxmlformats.org/officeDocument/2006/custom-properties" xmlns:vt="http://schemas.openxmlformats.org/officeDocument/2006/docPropsVTypes"/>
</file>