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A - Business Requirements</w:t>
      </w:r>
    </w:p>
    <w:p>
      <w:pPr>
        <w:pStyle w:val="Heading1"/>
      </w:pPr>
      <w:r>
        <w:t>1. Purpose</w:t>
      </w:r>
    </w:p>
    <w:p>
      <w:r>
        <w:t>Project A delivers a customer self-service portal for the retail banking division of Northwind Financial. Customers currently depend on branch visits and phone support for routine tasks such as checking balances, downloading statements and disputing transactions. The portal moves these tasks online to reduce call-centre volume and improve customer satisfaction.</w:t>
      </w:r>
    </w:p>
    <w:p>
      <w:r>
        <w:t>The business case targets a 30 percent reduction in call-centre contacts within twelve months of launch and a customer satisfaction score of at least 4.2 out of 5 for digital channels.</w:t>
      </w:r>
    </w:p>
    <w:p>
      <w:pPr>
        <w:pStyle w:val="Heading1"/>
      </w:pPr>
      <w:r>
        <w:t>2. Scope</w:t>
      </w:r>
    </w:p>
    <w:p>
      <w:r>
        <w:t>In scope: account overview, transaction history, statement download in PDF, card management (freeze, unfreeze, replace), transaction dispute submission, profile and notification settings, and secure messaging with support staff.</w:t>
      </w:r>
    </w:p>
    <w:p>
      <w:r>
        <w:t>Out of scope: loan applications, investment products, and the mobile application. These are planned for a later programme and must not influence the first release.</w:t>
      </w:r>
    </w:p>
    <w:p>
      <w:pPr>
        <w:pStyle w:val="Heading1"/>
      </w:pPr>
      <w:r>
        <w:t>3. Stakeholders</w:t>
      </w:r>
    </w:p>
    <w:p>
      <w:r>
        <w:t>Sponsor: Head of Retail Banking. Product owner: Digital Channels Manager. Delivery lead: Engineering Manager, Platform Team. Compliance reviewer: Information Security Office. Customer representatives participate in monthly usability sessions.</w:t>
      </w:r>
    </w:p>
    <w:p>
      <w:pPr>
        <w:pStyle w:val="Heading1"/>
      </w:pPr>
      <w:r>
        <w:t>4. Functional requirements</w:t>
      </w:r>
    </w:p>
    <w:p>
      <w:r>
        <w:t>The requirements below are prioritised using MoSCoW: Must, Should, Could. All Must items are required for launch.</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FR-01</w:t>
            </w:r>
          </w:p>
        </w:tc>
        <w:tc>
          <w:tcPr>
            <w:tcW w:type="dxa" w:w="2880"/>
          </w:tcPr>
          <w:p>
            <w:r>
              <w:t>Customer can sign in securely</w:t>
            </w:r>
          </w:p>
        </w:tc>
        <w:tc>
          <w:tcPr>
            <w:tcW w:type="dxa" w:w="2880"/>
          </w:tcPr>
          <w:p>
            <w:r>
              <w:t>Must</w:t>
            </w:r>
          </w:p>
        </w:tc>
      </w:tr>
      <w:tr>
        <w:tc>
          <w:tcPr>
            <w:tcW w:type="dxa" w:w="2880"/>
          </w:tcPr>
          <w:p>
            <w:r>
              <w:t>FR-02</w:t>
            </w:r>
          </w:p>
        </w:tc>
        <w:tc>
          <w:tcPr>
            <w:tcW w:type="dxa" w:w="2880"/>
          </w:tcPr>
          <w:p>
            <w:r>
              <w:t>Customer can view account balances and 24 months of transactions</w:t>
            </w:r>
          </w:p>
        </w:tc>
        <w:tc>
          <w:tcPr>
            <w:tcW w:type="dxa" w:w="2880"/>
          </w:tcPr>
          <w:p>
            <w:r>
              <w:t>Must</w:t>
            </w:r>
          </w:p>
        </w:tc>
      </w:tr>
      <w:tr>
        <w:tc>
          <w:tcPr>
            <w:tcW w:type="dxa" w:w="2880"/>
          </w:tcPr>
          <w:p>
            <w:r>
              <w:t>FR-03</w:t>
            </w:r>
          </w:p>
        </w:tc>
        <w:tc>
          <w:tcPr>
            <w:tcW w:type="dxa" w:w="2880"/>
          </w:tcPr>
          <w:p>
            <w:r>
              <w:t>Customer can download monthly statements as PDF</w:t>
            </w:r>
          </w:p>
        </w:tc>
        <w:tc>
          <w:tcPr>
            <w:tcW w:type="dxa" w:w="2880"/>
          </w:tcPr>
          <w:p>
            <w:r>
              <w:t>Must</w:t>
            </w:r>
          </w:p>
        </w:tc>
      </w:tr>
      <w:tr>
        <w:tc>
          <w:tcPr>
            <w:tcW w:type="dxa" w:w="2880"/>
          </w:tcPr>
          <w:p>
            <w:r>
              <w:t>FR-04</w:t>
            </w:r>
          </w:p>
        </w:tc>
        <w:tc>
          <w:tcPr>
            <w:tcW w:type="dxa" w:w="2880"/>
          </w:tcPr>
          <w:p>
            <w:r>
              <w:t>Customer can freeze and unfreeze a debit card</w:t>
            </w:r>
          </w:p>
        </w:tc>
        <w:tc>
          <w:tcPr>
            <w:tcW w:type="dxa" w:w="2880"/>
          </w:tcPr>
          <w:p>
            <w:r>
              <w:t>Must</w:t>
            </w:r>
          </w:p>
        </w:tc>
      </w:tr>
      <w:tr>
        <w:tc>
          <w:tcPr>
            <w:tcW w:type="dxa" w:w="2880"/>
          </w:tcPr>
          <w:p>
            <w:r>
              <w:t>FR-05</w:t>
            </w:r>
          </w:p>
        </w:tc>
        <w:tc>
          <w:tcPr>
            <w:tcW w:type="dxa" w:w="2880"/>
          </w:tcPr>
          <w:p>
            <w:r>
              <w:t>Customer can raise a transaction dispute with attachments</w:t>
            </w:r>
          </w:p>
        </w:tc>
        <w:tc>
          <w:tcPr>
            <w:tcW w:type="dxa" w:w="2880"/>
          </w:tcPr>
          <w:p>
            <w:r>
              <w:t>Should</w:t>
            </w:r>
          </w:p>
        </w:tc>
      </w:tr>
      <w:tr>
        <w:tc>
          <w:tcPr>
            <w:tcW w:type="dxa" w:w="2880"/>
          </w:tcPr>
          <w:p>
            <w:r>
              <w:t>FR-06</w:t>
            </w:r>
          </w:p>
        </w:tc>
        <w:tc>
          <w:tcPr>
            <w:tcW w:type="dxa" w:w="2880"/>
          </w:tcPr>
          <w:p>
            <w:r>
              <w:t>Customer can exchange secure messages with support</w:t>
            </w:r>
          </w:p>
        </w:tc>
        <w:tc>
          <w:tcPr>
            <w:tcW w:type="dxa" w:w="2880"/>
          </w:tcPr>
          <w:p>
            <w:r>
              <w:t>Should</w:t>
            </w:r>
          </w:p>
        </w:tc>
      </w:tr>
      <w:tr>
        <w:tc>
          <w:tcPr>
            <w:tcW w:type="dxa" w:w="2880"/>
          </w:tcPr>
          <w:p>
            <w:r>
              <w:t>FR-07</w:t>
            </w:r>
          </w:p>
        </w:tc>
        <w:tc>
          <w:tcPr>
            <w:tcW w:type="dxa" w:w="2880"/>
          </w:tcPr>
          <w:p>
            <w:r>
              <w:t>Customer can configure notification preferences</w:t>
            </w:r>
          </w:p>
        </w:tc>
        <w:tc>
          <w:tcPr>
            <w:tcW w:type="dxa" w:w="2880"/>
          </w:tcPr>
          <w:p>
            <w:r>
              <w:t>Could</w:t>
            </w:r>
          </w:p>
        </w:tc>
      </w:tr>
    </w:tbl>
    <w:p>
      <w:pPr>
        <w:pStyle w:val="Heading1"/>
      </w:pPr>
      <w:r>
        <w:t>5. Non-functional requirements</w:t>
      </w:r>
    </w:p>
    <w:p>
      <w:r>
        <w:t>Performance: the portal must support 5000 concurrent users with page response under 2 seconds at the 95th percentile. Availability: 99.9 percent monthly uptime excluding planned maintenance. Security: all customer sessions must use JWT-based authentication with short-lived access tokens, and all personal data must be encrypted in transit using TLS 1.2 or higher and at rest using AES-256.</w:t>
      </w:r>
    </w:p>
    <w:p>
      <w:r>
        <w:t>Accessibility: the portal must conform to WCAG 2.1 level AA. Audit: every authentication event and every change to card status must be written to an immutable audit log retained for seven years.</w:t>
      </w:r>
    </w:p>
    <w:p>
      <w:pPr>
        <w:pStyle w:val="Heading1"/>
      </w:pPr>
      <w:r>
        <w:t>6. Risks and assumptions</w:t>
      </w:r>
    </w:p>
    <w:p>
      <w:r>
        <w:t>Risk 1: the core banking API has limited rate capacity, which may throttle statement downloads during month end. Mitigation: caching and queued statement generation. Risk 2: regulatory change in strong customer authentication may require a second factor earlier than planned. Mitigation: the authentication design keeps the token layer separate from the login challenge so a second factor can be added without rework.</w:t>
      </w:r>
    </w:p>
    <w:p>
      <w:r>
        <w:t>Assumption: the identity data of existing customers is already clean and de-duplicated by the Customer Data team.</w:t>
      </w:r>
    </w:p>
    <w:p>
      <w:pPr>
        <w:pStyle w:val="Heading1"/>
      </w:pPr>
      <w:r>
        <w:t>7. Login screen mock-up</w:t>
      </w:r>
    </w:p>
    <w:p>
      <w:r>
        <w:t>The approved design of the sign-in screen is shown below. Figure 2: Login screen, version 3.</w:t>
      </w:r>
    </w:p>
    <w:p>
      <w:r>
        <w:drawing>
          <wp:inline xmlns:a="http://schemas.openxmlformats.org/drawingml/2006/main" xmlns:pic="http://schemas.openxmlformats.org/drawingml/2006/picture">
            <wp:extent cx="3840480" cy="2987040"/>
            <wp:docPr id="1" name="Picture 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3840480" cy="298704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