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BUSINESS REQUIREMENTS DOCUMENT</w:t>
      </w:r>
    </w:p>
    <w:p>
      <w:pPr>
        <w:jc w:val="center"/>
      </w:pPr>
      <w:r>
        <w:rPr>
          <w:i/>
          <w:sz w:val="28"/>
        </w:rPr>
        <w:t>Shop RT (Radiographic Testing) Intimation System</w:t>
      </w:r>
    </w:p>
    <w:p>
      <w:pPr>
        <w:jc w:val="center"/>
      </w:pPr>
      <w:r>
        <w:rPr>
          <w:sz w:val="24"/>
        </w:rPr>
        <w:t>Version 3.0 – Business View (BRD only)</w:t>
      </w:r>
    </w:p>
    <w:p/>
    <w:tbl>
      <w:tblPr>
        <w:tblStyle w:val="LightList-Accent1"/>
        <w:tblW w:type="auto" w:w="0"/>
        <w:tblLook w:firstColumn="1" w:firstRow="1" w:lastColumn="0" w:lastRow="0" w:noHBand="0" w:noVBand="1" w:val="04A0"/>
      </w:tblPr>
      <w:tblGrid>
        <w:gridCol w:w="4320"/>
        <w:gridCol w:w="4320"/>
      </w:tblGrid>
      <w:tr>
        <w:tc>
          <w:tcPr>
            <w:tcW w:type="dxa" w:w="4320"/>
            <w:shd w:val="clear" w:color="auto" w:fill="D9E2F3"/>
          </w:tcPr>
          <w:p>
            <w:r/>
            <w:r>
              <w:rPr>
                <w:b/>
                <w:sz w:val="20"/>
              </w:rPr>
              <w:t>Document Title</w:t>
            </w:r>
          </w:p>
        </w:tc>
        <w:tc>
          <w:tcPr>
            <w:tcW w:type="dxa" w:w="4320"/>
          </w:tcPr>
          <w:p>
            <w:r/>
            <w:r>
              <w:rPr>
                <w:sz w:val="20"/>
              </w:rPr>
              <w:t>Shop RT Intimation System – Business Requirements Document</w:t>
            </w:r>
          </w:p>
        </w:tc>
      </w:tr>
      <w:tr>
        <w:tc>
          <w:tcPr>
            <w:tcW w:type="dxa" w:w="4320"/>
            <w:shd w:val="clear" w:color="auto" w:fill="D9E2F3"/>
          </w:tcPr>
          <w:p>
            <w:r/>
            <w:r>
              <w:rPr>
                <w:b/>
                <w:sz w:val="20"/>
              </w:rPr>
              <w:t>Document Version</w:t>
            </w:r>
          </w:p>
        </w:tc>
        <w:tc>
          <w:tcPr>
            <w:tcW w:type="dxa" w:w="4320"/>
          </w:tcPr>
          <w:p>
            <w:r/>
            <w:r>
              <w:rPr>
                <w:sz w:val="20"/>
              </w:rPr>
              <w:t>3.0 (Business View)</w:t>
            </w:r>
          </w:p>
        </w:tc>
      </w:tr>
      <w:tr>
        <w:tc>
          <w:tcPr>
            <w:tcW w:type="dxa" w:w="4320"/>
            <w:shd w:val="clear" w:color="auto" w:fill="D9E2F3"/>
          </w:tcPr>
          <w:p>
            <w:r/>
            <w:r>
              <w:rPr>
                <w:b/>
                <w:sz w:val="20"/>
              </w:rPr>
              <w:t>Document Status</w:t>
            </w:r>
          </w:p>
        </w:tc>
        <w:tc>
          <w:tcPr>
            <w:tcW w:type="dxa" w:w="4320"/>
          </w:tcPr>
          <w:p>
            <w:r/>
            <w:r>
              <w:rPr>
                <w:sz w:val="20"/>
              </w:rPr>
              <w:t>Final – Client Ready</w:t>
            </w:r>
          </w:p>
        </w:tc>
      </w:tr>
      <w:tr>
        <w:tc>
          <w:tcPr>
            <w:tcW w:type="dxa" w:w="4320"/>
            <w:shd w:val="clear" w:color="auto" w:fill="D9E2F3"/>
          </w:tcPr>
          <w:p>
            <w:r/>
            <w:r>
              <w:rPr>
                <w:b/>
                <w:sz w:val="20"/>
              </w:rPr>
              <w:t>Prepared By</w:t>
            </w:r>
          </w:p>
        </w:tc>
        <w:tc>
          <w:tcPr>
            <w:tcW w:type="dxa" w:w="4320"/>
          </w:tcPr>
          <w:p>
            <w:r/>
            <w:r>
              <w:rPr>
                <w:sz w:val="20"/>
              </w:rPr>
              <w:t>Business Analysis Team</w:t>
            </w:r>
          </w:p>
        </w:tc>
      </w:tr>
      <w:tr>
        <w:tc>
          <w:tcPr>
            <w:tcW w:type="dxa" w:w="4320"/>
            <w:shd w:val="clear" w:color="auto" w:fill="D9E2F3"/>
          </w:tcPr>
          <w:p>
            <w:r/>
            <w:r>
              <w:rPr>
                <w:b/>
                <w:sz w:val="20"/>
              </w:rPr>
              <w:t>Prepared For</w:t>
            </w:r>
          </w:p>
        </w:tc>
        <w:tc>
          <w:tcPr>
            <w:tcW w:type="dxa" w:w="4320"/>
          </w:tcPr>
          <w:p>
            <w:r/>
            <w:r>
              <w:rPr>
                <w:sz w:val="20"/>
              </w:rPr>
              <w:t>Plant Operations / NDT-RT Department / IT Governance</w:t>
            </w:r>
          </w:p>
        </w:tc>
      </w:tr>
      <w:tr>
        <w:tc>
          <w:tcPr>
            <w:tcW w:type="dxa" w:w="4320"/>
            <w:shd w:val="clear" w:color="auto" w:fill="D9E2F3"/>
          </w:tcPr>
          <w:p>
            <w:r/>
            <w:r>
              <w:rPr>
                <w:b/>
                <w:sz w:val="20"/>
              </w:rPr>
              <w:t>Companion Document</w:t>
            </w:r>
          </w:p>
        </w:tc>
        <w:tc>
          <w:tcPr>
            <w:tcW w:type="dxa" w:w="4320"/>
          </w:tcPr>
          <w:p>
            <w:r/>
            <w:r>
              <w:rPr>
                <w:sz w:val="20"/>
              </w:rPr>
              <w:t>RT_Intimation_FDD_v1.0.docx (Functional Design Document)</w:t>
            </w:r>
          </w:p>
        </w:tc>
      </w:tr>
      <w:tr>
        <w:tc>
          <w:tcPr>
            <w:tcW w:type="dxa" w:w="4320"/>
            <w:shd w:val="clear" w:color="auto" w:fill="D9E2F3"/>
          </w:tcPr>
          <w:p>
            <w:r/>
            <w:r>
              <w:rPr>
                <w:b/>
                <w:sz w:val="20"/>
              </w:rPr>
              <w:t>Date of Issue</w:t>
            </w:r>
          </w:p>
        </w:tc>
        <w:tc>
          <w:tcPr>
            <w:tcW w:type="dxa" w:w="4320"/>
          </w:tcPr>
          <w:p>
            <w:r/>
            <w:r>
              <w:rPr>
                <w:sz w:val="20"/>
              </w:rPr>
              <w:t>May 2026</w:t>
            </w:r>
          </w:p>
        </w:tc>
      </w:tr>
    </w:tbl>
    <w:p>
      <w:r>
        <w:br w:type="page"/>
      </w:r>
    </w:p>
    <w:p>
      <w:pPr>
        <w:pStyle w:val="Heading1"/>
      </w:pPr>
      <w:r>
        <w:rPr>
          <w:color w:val="1F3A5F"/>
        </w:rPr>
        <w:t>Document Purpose &amp; Scope of this BRD</w:t>
      </w:r>
    </w:p>
    <w:p>
      <w:r>
        <w:rPr>
          <w:b w:val="0"/>
          <w:i w:val="0"/>
          <w:sz w:val="22"/>
        </w:rPr>
        <w:t>This Business Requirements Document (BRD) captures the business view of the proposed Shop RT (Radiographic Testing) Intimation System. It focuses on business context, stakeholders, roles &amp; responsibilities, business requirements, non-functional expectations, constraints, assumptions, risks, and open questions.</w:t>
      </w:r>
    </w:p>
    <w:p>
      <w:r>
        <w:rPr>
          <w:b w:val="0"/>
          <w:i w:val="0"/>
          <w:sz w:val="22"/>
        </w:rPr>
        <w:t>All detailed functional rules, business rules, workflow steps, validation rules, data model, RBAC matrix, status lifecycle, notifications, exception handling and edge cases have been moved into the companion Functional Design Document (RT_Intimation_FDD_v1.0.docx).</w:t>
      </w:r>
    </w:p>
    <w:p/>
    <w:p>
      <w:pPr>
        <w:pStyle w:val="Heading1"/>
      </w:pPr>
      <w:r>
        <w:rPr>
          <w:color w:val="1F3A5F"/>
        </w:rPr>
        <w:t>Table of Contents</w:t>
      </w:r>
    </w:p>
    <w:p>
      <w:r>
        <w:rPr>
          <w:sz w:val="22"/>
        </w:rPr>
        <w:t>1. Executive Summary</w:t>
      </w:r>
    </w:p>
    <w:p>
      <w:r>
        <w:rPr>
          <w:sz w:val="22"/>
        </w:rPr>
        <w:t>2. Background / Context</w:t>
      </w:r>
    </w:p>
    <w:p>
      <w:r>
        <w:rPr>
          <w:sz w:val="22"/>
        </w:rPr>
        <w:t>3. Business Objectives &amp; Expected Benefits</w:t>
      </w:r>
    </w:p>
    <w:p>
      <w:r>
        <w:rPr>
          <w:sz w:val="22"/>
        </w:rPr>
        <w:t>4. Scope (In Scope / Out of Scope)</w:t>
      </w:r>
    </w:p>
    <w:p>
      <w:r>
        <w:rPr>
          <w:sz w:val="22"/>
        </w:rPr>
        <w:t>5. Stakeholders</w:t>
      </w:r>
    </w:p>
    <w:p>
      <w:r>
        <w:rPr>
          <w:sz w:val="22"/>
        </w:rPr>
        <w:t>6. Roles &amp; Responsibilities (including Admin Roles)</w:t>
      </w:r>
    </w:p>
    <w:p>
      <w:r>
        <w:rPr>
          <w:sz w:val="22"/>
        </w:rPr>
        <w:t>7. Business Requirements (BR IDs)</w:t>
      </w:r>
    </w:p>
    <w:p>
      <w:r>
        <w:rPr>
          <w:sz w:val="22"/>
        </w:rPr>
        <w:t>8. Non-Functional Requirements (Business View)</w:t>
      </w:r>
    </w:p>
    <w:p>
      <w:r>
        <w:rPr>
          <w:sz w:val="22"/>
        </w:rPr>
        <w:t>9. Constraints</w:t>
      </w:r>
    </w:p>
    <w:p>
      <w:r>
        <w:rPr>
          <w:sz w:val="22"/>
        </w:rPr>
        <w:t>10. Assumptions</w:t>
      </w:r>
    </w:p>
    <w:p>
      <w:r>
        <w:rPr>
          <w:sz w:val="22"/>
        </w:rPr>
        <w:t>11. Risks &amp; Mitigation</w:t>
      </w:r>
    </w:p>
    <w:p>
      <w:r>
        <w:rPr>
          <w:sz w:val="22"/>
        </w:rPr>
        <w:t>12. Open Questions</w:t>
      </w:r>
    </w:p>
    <w:p>
      <w:r>
        <w:br w:type="page"/>
      </w:r>
    </w:p>
    <w:p>
      <w:pPr>
        <w:pStyle w:val="Heading1"/>
      </w:pPr>
      <w:r>
        <w:rPr>
          <w:color w:val="1F3A5F"/>
        </w:rPr>
        <w:t>1. Executive Summary</w:t>
      </w:r>
    </w:p>
    <w:p>
      <w:r>
        <w:rPr>
          <w:b w:val="0"/>
          <w:i w:val="0"/>
          <w:sz w:val="22"/>
        </w:rPr>
        <w:t>This Business Requirements Document (BRD) defines the business need and the set of business-level requirements for the proposed Shop RT (Radiographic Testing) Intimation System. The system will replace the current manual, paper-based, and email/spreadsheet-driven process used by shop floor personnel to intimate the NDT-RT (Non-Destructive Testing – Radiographic Testing) department about jobs that require radiographic inspection.</w:t>
      </w:r>
    </w:p>
    <w:p>
      <w:r>
        <w:rPr>
          <w:b w:val="0"/>
          <w:i w:val="0"/>
          <w:sz w:val="22"/>
        </w:rPr>
        <w:t>The platform will be delivered as a Progressive Web Application (PWA), centrally hosted within the organization's secured infrastructure and integrated with corporate Active Directory (AD) and Single Sign-On (SSO). Contract users (non-AD users) will be supported through a controlled, admin-provisioned local identity store. The system will enforce role-based access control (RBAC), provide a fully auditable intimation lifecycle, support shop selection through two complementary methods, and automate notifications across all stakeholders.</w:t>
      </w:r>
    </w:p>
    <w:p>
      <w:pPr>
        <w:pStyle w:val="Heading1"/>
      </w:pPr>
      <w:r>
        <w:rPr>
          <w:color w:val="1F3A5F"/>
        </w:rPr>
        <w:t>2. Background / Context</w:t>
      </w:r>
    </w:p>
    <w:p>
      <w:r>
        <w:rPr>
          <w:b w:val="0"/>
          <w:i w:val="0"/>
          <w:sz w:val="22"/>
        </w:rPr>
        <w:t>The plant currently operates a manual, fragmented Shop-to-RT intimation process. Shop supervisors physically walk to the RT cabin, place phone calls, send emails, or use shared Excel registers to inform the RT team that a job/joint is ready for radiographic testing. This results in:</w:t>
      </w:r>
    </w:p>
    <w:p>
      <w:pPr>
        <w:pStyle w:val="ListBullet"/>
      </w:pPr>
      <w:r>
        <w:rPr>
          <w:sz w:val="22"/>
        </w:rPr>
        <w:t>Lost or duplicated intimations.</w:t>
      </w:r>
    </w:p>
    <w:p>
      <w:pPr>
        <w:pStyle w:val="ListBullet"/>
      </w:pPr>
      <w:r>
        <w:rPr>
          <w:sz w:val="22"/>
        </w:rPr>
        <w:t>Inconsistent prioritization between competing shops.</w:t>
      </w:r>
    </w:p>
    <w:p>
      <w:pPr>
        <w:pStyle w:val="ListBullet"/>
      </w:pPr>
      <w:r>
        <w:rPr>
          <w:sz w:val="22"/>
        </w:rPr>
        <w:t>Lack of real-time visibility for management and quality teams.</w:t>
      </w:r>
    </w:p>
    <w:p>
      <w:pPr>
        <w:pStyle w:val="ListBullet"/>
      </w:pPr>
      <w:r>
        <w:rPr>
          <w:sz w:val="22"/>
        </w:rPr>
        <w:t>Difficulty in audit reconstruction (who intimated, when, for which joint, when shot, by whom, with what result).</w:t>
      </w:r>
    </w:p>
    <w:p>
      <w:pPr>
        <w:pStyle w:val="ListBullet"/>
      </w:pPr>
      <w:r>
        <w:rPr>
          <w:sz w:val="22"/>
        </w:rPr>
        <w:t>Inefficient RT crew utilization due to ad-hoc requests.</w:t>
      </w:r>
    </w:p>
    <w:p>
      <w:pPr>
        <w:pStyle w:val="ListBullet"/>
      </w:pPr>
      <w:r>
        <w:rPr>
          <w:sz w:val="22"/>
        </w:rPr>
        <w:t>Frequent disputes between Shop and RT teams over intimation timing and missed jobs.</w:t>
      </w:r>
    </w:p>
    <w:p>
      <w:r>
        <w:rPr>
          <w:b w:val="0"/>
          <w:i w:val="0"/>
          <w:sz w:val="22"/>
        </w:rPr>
        <w:t>To overcome these issues, the organization has decided to commission a dedicated, centrally hosted Shop RT Intimation System. The system is to be built as a PWA so that it can be used both from desktops in offices and from mobile/tablet devices on the shop floor, including in low-connectivity zones, without requiring any native app installation or app-store distribution. The system must integrate with the existing AD/SSO infrastructure and respect the organization's information-security baseline.</w:t>
      </w:r>
    </w:p>
    <w:p>
      <w:pPr>
        <w:pStyle w:val="Heading1"/>
      </w:pPr>
      <w:r>
        <w:rPr>
          <w:color w:val="1F3A5F"/>
        </w:rPr>
        <w:t>3. Business Objectives &amp; Expected Benefits</w:t>
      </w:r>
    </w:p>
    <w:p>
      <w:pPr>
        <w:pStyle w:val="Heading2"/>
      </w:pPr>
      <w:r>
        <w:rPr>
          <w:color w:val="1F3A5F"/>
        </w:rPr>
        <w:t>3.1 Key Objectives</w:t>
      </w:r>
    </w:p>
    <w:p>
      <w:pPr>
        <w:pStyle w:val="ListBullet"/>
      </w:pPr>
      <w:r>
        <w:rPr>
          <w:sz w:val="22"/>
        </w:rPr>
        <w:t>Digitize and standardize the end-to-end Shop → RT intimation process.</w:t>
      </w:r>
    </w:p>
    <w:p>
      <w:pPr>
        <w:pStyle w:val="ListBullet"/>
      </w:pPr>
      <w:r>
        <w:rPr>
          <w:sz w:val="22"/>
        </w:rPr>
        <w:t>Eliminate manual handoffs (emails, paper slips, verbal communication) and the related delays, errors, and traceability gaps.</w:t>
      </w:r>
    </w:p>
    <w:p>
      <w:pPr>
        <w:pStyle w:val="ListBullet"/>
      </w:pPr>
      <w:r>
        <w:rPr>
          <w:sz w:val="22"/>
        </w:rPr>
        <w:t>Provide a real-time, single source of truth for RT intimations, their status, assignment, and outcomes.</w:t>
      </w:r>
    </w:p>
    <w:p>
      <w:pPr>
        <w:pStyle w:val="ListBullet"/>
      </w:pPr>
      <w:r>
        <w:rPr>
          <w:sz w:val="22"/>
        </w:rPr>
        <w:t>Enforce strong authentication (AD/SSO) and granular RBAC across IT Admin, Shop Admin, NDT/RT Admin, Initiator, Reviewer, Approver, RT Technician, and Viewer roles.</w:t>
      </w:r>
    </w:p>
    <w:p>
      <w:pPr>
        <w:pStyle w:val="ListBullet"/>
      </w:pPr>
      <w:r>
        <w:rPr>
          <w:sz w:val="22"/>
        </w:rPr>
        <w:t>Support both AD-authenticated employees and contract (non-AD) users with appropriate controls.</w:t>
      </w:r>
    </w:p>
    <w:p>
      <w:pPr>
        <w:pStyle w:val="ListBullet"/>
      </w:pPr>
      <w:r>
        <w:rPr>
          <w:sz w:val="22"/>
        </w:rPr>
        <w:t>Provide mobile-first usability via a PWA, including offline-capable behavior on the shop floor.</w:t>
      </w:r>
    </w:p>
    <w:p>
      <w:pPr>
        <w:pStyle w:val="ListBullet"/>
      </w:pPr>
      <w:r>
        <w:rPr>
          <w:sz w:val="22"/>
        </w:rPr>
        <w:t>Deliver complete audit trails, dashboards, MIS reporting, and KPI tracking for management visibility.</w:t>
      </w:r>
    </w:p>
    <w:p>
      <w:pPr>
        <w:pStyle w:val="ListBullet"/>
      </w:pPr>
      <w:r>
        <w:rPr>
          <w:sz w:val="22"/>
        </w:rPr>
        <w:t>Accommodate operational edge cases (rework, rejection, cancellation, shift changes, dual-shop jobs) without breaking traceability.</w:t>
      </w:r>
    </w:p>
    <w:p>
      <w:pPr>
        <w:pStyle w:val="Heading2"/>
      </w:pPr>
      <w:r>
        <w:rPr>
          <w:color w:val="1F3A5F"/>
        </w:rPr>
        <w:t>3.2 Expected Business Benefits</w:t>
      </w:r>
    </w:p>
    <w:p>
      <w:pPr>
        <w:pStyle w:val="ListBullet"/>
      </w:pPr>
      <w:r>
        <w:rPr>
          <w:sz w:val="22"/>
        </w:rPr>
        <w:t>Reduction in intimation turnaround time (typical target: ≥ 40% improvement).</w:t>
      </w:r>
    </w:p>
    <w:p>
      <w:pPr>
        <w:pStyle w:val="ListBullet"/>
      </w:pPr>
      <w:r>
        <w:rPr>
          <w:sz w:val="22"/>
        </w:rPr>
        <w:t>Improved RT scheduling efficiency and reduced idle time of RT crews.</w:t>
      </w:r>
    </w:p>
    <w:p>
      <w:pPr>
        <w:pStyle w:val="ListBullet"/>
      </w:pPr>
      <w:r>
        <w:rPr>
          <w:sz w:val="22"/>
        </w:rPr>
        <w:t>Reduced rework and missed inspections due to lost or incomplete intimations.</w:t>
      </w:r>
    </w:p>
    <w:p>
      <w:pPr>
        <w:pStyle w:val="ListBullet"/>
      </w:pPr>
      <w:r>
        <w:rPr>
          <w:sz w:val="22"/>
        </w:rPr>
        <w:t>Centralized compliance evidence for ASME / customer / statutory audits.</w:t>
      </w:r>
    </w:p>
    <w:p>
      <w:pPr>
        <w:pStyle w:val="ListBullet"/>
      </w:pPr>
      <w:r>
        <w:rPr>
          <w:sz w:val="22"/>
        </w:rPr>
        <w:t>Improved governance through approvals, notifications, and full traceability.</w:t>
      </w:r>
    </w:p>
    <w:p>
      <w:pPr>
        <w:pStyle w:val="Heading1"/>
      </w:pPr>
      <w:r>
        <w:rPr>
          <w:color w:val="1F3A5F"/>
        </w:rPr>
        <w:t>4. Scope</w:t>
      </w:r>
    </w:p>
    <w:p>
      <w:pPr>
        <w:pStyle w:val="Heading2"/>
      </w:pPr>
      <w:r>
        <w:rPr>
          <w:color w:val="1F3A5F"/>
        </w:rPr>
        <w:t>4.1 In Scope</w:t>
      </w:r>
    </w:p>
    <w:p>
      <w:pPr>
        <w:pStyle w:val="ListBullet"/>
      </w:pPr>
      <w:r>
        <w:rPr>
          <w:sz w:val="22"/>
        </w:rPr>
        <w:t>A web-based Progressive Web Application (PWA) accessible on desktop, tablet, and mobile.</w:t>
      </w:r>
    </w:p>
    <w:p>
      <w:pPr>
        <w:pStyle w:val="ListBullet"/>
      </w:pPr>
      <w:r>
        <w:rPr>
          <w:sz w:val="22"/>
        </w:rPr>
        <w:t>Creation, submission, review, approval, assignment, execution capture, and closure of RT Intimations.</w:t>
      </w:r>
    </w:p>
    <w:p>
      <w:pPr>
        <w:pStyle w:val="ListBullet"/>
      </w:pPr>
      <w:r>
        <w:rPr>
          <w:sz w:val="22"/>
        </w:rPr>
        <w:t>Two methods of Shop Selection (auto-derived from user profile, and manual selection from authorized list).</w:t>
      </w:r>
    </w:p>
    <w:p>
      <w:pPr>
        <w:pStyle w:val="ListBullet"/>
      </w:pPr>
      <w:r>
        <w:rPr>
          <w:sz w:val="22"/>
        </w:rPr>
        <w:t>Master data management for Shops, Job/Joint identifiers, RT methods, Welders, Procedures, Iso/Drawing references, and Reasons (rejection/cancellation).</w:t>
      </w:r>
    </w:p>
    <w:p>
      <w:pPr>
        <w:pStyle w:val="ListBullet"/>
      </w:pPr>
      <w:r>
        <w:rPr>
          <w:sz w:val="22"/>
        </w:rPr>
        <w:t>Integration with corporate Active Directory (AD) and Single Sign-On (SSO/SAML/OIDC).</w:t>
      </w:r>
    </w:p>
    <w:p>
      <w:pPr>
        <w:pStyle w:val="ListBullet"/>
      </w:pPr>
      <w:r>
        <w:rPr>
          <w:sz w:val="22"/>
        </w:rPr>
        <w:t>Local identity store for contract (non-AD) users with admin provisioning, expiry, and lifecycle controls.</w:t>
      </w:r>
    </w:p>
    <w:p>
      <w:pPr>
        <w:pStyle w:val="ListBullet"/>
      </w:pPr>
      <w:r>
        <w:rPr>
          <w:sz w:val="22"/>
        </w:rPr>
        <w:t>Role-Based Access Control (RBAC) with granular permission matrix.</w:t>
      </w:r>
    </w:p>
    <w:p>
      <w:pPr>
        <w:pStyle w:val="ListBullet"/>
      </w:pPr>
      <w:r>
        <w:rPr>
          <w:sz w:val="22"/>
        </w:rPr>
        <w:t>Workflow engine supporting submission, review, approval, rejection, rework, reassignment, and closure.</w:t>
      </w:r>
    </w:p>
    <w:p>
      <w:pPr>
        <w:pStyle w:val="ListBullet"/>
      </w:pPr>
      <w:r>
        <w:rPr>
          <w:sz w:val="22"/>
        </w:rPr>
        <w:t>Real-time notifications via Email, in-app inbox, and (optionally) SMS / Microsoft Teams / Push (PWA).</w:t>
      </w:r>
    </w:p>
    <w:p>
      <w:pPr>
        <w:pStyle w:val="ListBullet"/>
      </w:pPr>
      <w:r>
        <w:rPr>
          <w:sz w:val="22"/>
        </w:rPr>
        <w:t>Dashboards, MIS reports, KPI tracking, and exportable registers (Excel/PDF/CSV).</w:t>
      </w:r>
    </w:p>
    <w:p>
      <w:pPr>
        <w:pStyle w:val="ListBullet"/>
      </w:pPr>
      <w:r>
        <w:rPr>
          <w:sz w:val="22"/>
        </w:rPr>
        <w:t>Full audit trail for every state transition, field-level change, login, and admin action.</w:t>
      </w:r>
    </w:p>
    <w:p>
      <w:pPr>
        <w:pStyle w:val="ListBullet"/>
      </w:pPr>
      <w:r>
        <w:rPr>
          <w:sz w:val="22"/>
        </w:rPr>
        <w:t>Attachments support (drawings, isometrics, photos, RT reports) within configured size/type limits.</w:t>
      </w:r>
    </w:p>
    <w:p>
      <w:pPr>
        <w:pStyle w:val="ListBullet"/>
      </w:pPr>
      <w:r>
        <w:rPr>
          <w:sz w:val="22"/>
        </w:rPr>
        <w:t>Admin console for IT Admin, Shop Admin, NDT/RT Admin with separation of duties.</w:t>
      </w:r>
    </w:p>
    <w:p>
      <w:pPr>
        <w:pStyle w:val="ListBullet"/>
      </w:pPr>
      <w:r>
        <w:rPr>
          <w:sz w:val="22"/>
        </w:rPr>
        <w:t>Offline-capable intimation drafting on the PWA with automatic sync when connectivity returns.</w:t>
      </w:r>
    </w:p>
    <w:p>
      <w:pPr>
        <w:pStyle w:val="Heading2"/>
      </w:pPr>
      <w:r>
        <w:rPr>
          <w:color w:val="1F3A5F"/>
        </w:rPr>
        <w:t>4.2 Out of Scope</w:t>
      </w:r>
    </w:p>
    <w:p>
      <w:pPr>
        <w:pStyle w:val="ListBullet"/>
      </w:pPr>
      <w:r>
        <w:rPr>
          <w:sz w:val="22"/>
        </w:rPr>
        <w:t>Execution of the RT shot itself (radiation source handling, film/digital exposure, processing) – physical activity remains with the RT crew and is only logged in the system.</w:t>
      </w:r>
    </w:p>
    <w:p>
      <w:pPr>
        <w:pStyle w:val="ListBullet"/>
      </w:pPr>
      <w:r>
        <w:rPr>
          <w:sz w:val="22"/>
        </w:rPr>
        <w:t>Film interpretation and final RT report authoring tool – the system will allow upload of the final report, but is not an interpretation workstation.</w:t>
      </w:r>
    </w:p>
    <w:p>
      <w:pPr>
        <w:pStyle w:val="ListBullet"/>
      </w:pPr>
      <w:r>
        <w:rPr>
          <w:sz w:val="22"/>
        </w:rPr>
        <w:t>Procurement / inventory management of RT consumables (film, chemicals, sources).</w:t>
      </w:r>
    </w:p>
    <w:p>
      <w:pPr>
        <w:pStyle w:val="ListBullet"/>
      </w:pPr>
      <w:r>
        <w:rPr>
          <w:sz w:val="22"/>
        </w:rPr>
        <w:t>HR / Payroll integration beyond reading user identity, role, and shop affiliation.</w:t>
      </w:r>
    </w:p>
    <w:p>
      <w:pPr>
        <w:pStyle w:val="ListBullet"/>
      </w:pPr>
      <w:r>
        <w:rPr>
          <w:sz w:val="22"/>
        </w:rPr>
        <w:t>Other NDT methods (UT, MT, PT, ECT) – may be added in future phases but are not in this release.</w:t>
      </w:r>
    </w:p>
    <w:p>
      <w:pPr>
        <w:pStyle w:val="ListBullet"/>
      </w:pPr>
      <w:r>
        <w:rPr>
          <w:sz w:val="22"/>
        </w:rPr>
        <w:t>Replacement of the corporate ERP, MES, or QMS systems (the system will only integrate where required).</w:t>
      </w:r>
    </w:p>
    <w:p>
      <w:pPr>
        <w:pStyle w:val="ListBullet"/>
      </w:pPr>
      <w:r>
        <w:rPr>
          <w:sz w:val="22"/>
        </w:rPr>
        <w:t>Native iOS/Android apps – delivery is exclusively via PWA in this release.</w:t>
      </w:r>
    </w:p>
    <w:p>
      <w:pPr>
        <w:pStyle w:val="Heading1"/>
      </w:pPr>
      <w:r>
        <w:rPr>
          <w:color w:val="1F3A5F"/>
        </w:rPr>
        <w:t>5. Stakeholders</w:t>
      </w:r>
    </w:p>
    <w:p>
      <w:r>
        <w:rPr>
          <w:b w:val="0"/>
          <w:i w:val="0"/>
          <w:sz w:val="22"/>
        </w:rPr>
        <w:t>The following stakeholders have a direct or indirect interest in the Shop RT Intimation System. Their needs, concerns, and required outcomes have shaped the business requirements captured in Section 7.</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576"/>
            <w:shd w:val="clear" w:color="auto" w:fill="1F3A5F"/>
            <w:vAlign w:val="center"/>
          </w:tcPr>
          <w:p>
            <w:r/>
            <w:r>
              <w:rPr>
                <w:b/>
                <w:color w:val="FFFFFF"/>
                <w:sz w:val="20"/>
              </w:rPr>
              <w:t>#</w:t>
            </w:r>
          </w:p>
        </w:tc>
        <w:tc>
          <w:tcPr>
            <w:tcW w:type="dxa" w:w="3168"/>
            <w:shd w:val="clear" w:color="auto" w:fill="1F3A5F"/>
            <w:vAlign w:val="center"/>
          </w:tcPr>
          <w:p>
            <w:r/>
            <w:r>
              <w:rPr>
                <w:b/>
                <w:color w:val="FFFFFF"/>
                <w:sz w:val="20"/>
              </w:rPr>
              <w:t>Stakeholder</w:t>
            </w:r>
          </w:p>
        </w:tc>
        <w:tc>
          <w:tcPr>
            <w:tcW w:type="dxa" w:w="5760"/>
            <w:shd w:val="clear" w:color="auto" w:fill="1F3A5F"/>
            <w:vAlign w:val="center"/>
          </w:tcPr>
          <w:p>
            <w:r/>
            <w:r>
              <w:rPr>
                <w:b/>
                <w:color w:val="FFFFFF"/>
                <w:sz w:val="20"/>
              </w:rPr>
              <w:t>Interest / Involvement</w:t>
            </w:r>
          </w:p>
        </w:tc>
      </w:tr>
      <w:tr>
        <w:tc>
          <w:tcPr>
            <w:tcW w:type="dxa" w:w="576"/>
            <w:vAlign w:val="top"/>
          </w:tcPr>
          <w:p>
            <w:r/>
            <w:r>
              <w:rPr>
                <w:sz w:val="20"/>
              </w:rPr>
              <w:t>1</w:t>
            </w:r>
          </w:p>
        </w:tc>
        <w:tc>
          <w:tcPr>
            <w:tcW w:type="dxa" w:w="3168"/>
            <w:vAlign w:val="top"/>
          </w:tcPr>
          <w:p>
            <w:r/>
            <w:r>
              <w:rPr>
                <w:sz w:val="20"/>
              </w:rPr>
              <w:t>Shop Supervisor / Shop Engineer (Initiator)</w:t>
            </w:r>
          </w:p>
        </w:tc>
        <w:tc>
          <w:tcPr>
            <w:tcW w:type="dxa" w:w="5760"/>
            <w:vAlign w:val="top"/>
          </w:tcPr>
          <w:p>
            <w:r/>
            <w:r>
              <w:rPr>
                <w:sz w:val="20"/>
              </w:rPr>
              <w:t>Raises RT intimations for jobs ready for inspection.</w:t>
            </w:r>
          </w:p>
        </w:tc>
      </w:tr>
      <w:tr>
        <w:tc>
          <w:tcPr>
            <w:tcW w:type="dxa" w:w="576"/>
            <w:vAlign w:val="top"/>
          </w:tcPr>
          <w:p>
            <w:r/>
            <w:r>
              <w:rPr>
                <w:sz w:val="20"/>
              </w:rPr>
              <w:t>2</w:t>
            </w:r>
          </w:p>
        </w:tc>
        <w:tc>
          <w:tcPr>
            <w:tcW w:type="dxa" w:w="3168"/>
            <w:vAlign w:val="top"/>
          </w:tcPr>
          <w:p>
            <w:r/>
            <w:r>
              <w:rPr>
                <w:sz w:val="20"/>
              </w:rPr>
              <w:t>Shop Reviewer / Shop In-charge</w:t>
            </w:r>
          </w:p>
        </w:tc>
        <w:tc>
          <w:tcPr>
            <w:tcW w:type="dxa" w:w="5760"/>
            <w:vAlign w:val="top"/>
          </w:tcPr>
          <w:p>
            <w:r/>
            <w:r>
              <w:rPr>
                <w:sz w:val="20"/>
              </w:rPr>
              <w:t>Reviews and endorses intimations before they reach RT (where configured).</w:t>
            </w:r>
          </w:p>
        </w:tc>
      </w:tr>
      <w:tr>
        <w:tc>
          <w:tcPr>
            <w:tcW w:type="dxa" w:w="576"/>
            <w:vAlign w:val="top"/>
          </w:tcPr>
          <w:p>
            <w:r/>
            <w:r>
              <w:rPr>
                <w:sz w:val="20"/>
              </w:rPr>
              <w:t>3</w:t>
            </w:r>
          </w:p>
        </w:tc>
        <w:tc>
          <w:tcPr>
            <w:tcW w:type="dxa" w:w="3168"/>
            <w:vAlign w:val="top"/>
          </w:tcPr>
          <w:p>
            <w:r/>
            <w:r>
              <w:rPr>
                <w:sz w:val="20"/>
              </w:rPr>
              <w:t>Shop Admin</w:t>
            </w:r>
          </w:p>
        </w:tc>
        <w:tc>
          <w:tcPr>
            <w:tcW w:type="dxa" w:w="5760"/>
            <w:vAlign w:val="top"/>
          </w:tcPr>
          <w:p>
            <w:r/>
            <w:r>
              <w:rPr>
                <w:sz w:val="20"/>
              </w:rPr>
              <w:t>Administers shop-specific master data, users, and shop-level configuration.</w:t>
            </w:r>
          </w:p>
        </w:tc>
      </w:tr>
      <w:tr>
        <w:tc>
          <w:tcPr>
            <w:tcW w:type="dxa" w:w="576"/>
            <w:vAlign w:val="top"/>
          </w:tcPr>
          <w:p>
            <w:r/>
            <w:r>
              <w:rPr>
                <w:sz w:val="20"/>
              </w:rPr>
              <w:t>4</w:t>
            </w:r>
          </w:p>
        </w:tc>
        <w:tc>
          <w:tcPr>
            <w:tcW w:type="dxa" w:w="3168"/>
            <w:vAlign w:val="top"/>
          </w:tcPr>
          <w:p>
            <w:r/>
            <w:r>
              <w:rPr>
                <w:sz w:val="20"/>
              </w:rPr>
              <w:t>NDT/RT Admin</w:t>
            </w:r>
          </w:p>
        </w:tc>
        <w:tc>
          <w:tcPr>
            <w:tcW w:type="dxa" w:w="5760"/>
            <w:vAlign w:val="top"/>
          </w:tcPr>
          <w:p>
            <w:r/>
            <w:r>
              <w:rPr>
                <w:sz w:val="20"/>
              </w:rPr>
              <w:t>Owns RT operational configuration: technicians, sources, schedules, procedures, and rejection reasons.</w:t>
            </w:r>
          </w:p>
        </w:tc>
      </w:tr>
      <w:tr>
        <w:tc>
          <w:tcPr>
            <w:tcW w:type="dxa" w:w="576"/>
            <w:vAlign w:val="top"/>
          </w:tcPr>
          <w:p>
            <w:r/>
            <w:r>
              <w:rPr>
                <w:sz w:val="20"/>
              </w:rPr>
              <w:t>5</w:t>
            </w:r>
          </w:p>
        </w:tc>
        <w:tc>
          <w:tcPr>
            <w:tcW w:type="dxa" w:w="3168"/>
            <w:vAlign w:val="top"/>
          </w:tcPr>
          <w:p>
            <w:r/>
            <w:r>
              <w:rPr>
                <w:sz w:val="20"/>
              </w:rPr>
              <w:t>RT Engineer / RT Approver</w:t>
            </w:r>
          </w:p>
        </w:tc>
        <w:tc>
          <w:tcPr>
            <w:tcW w:type="dxa" w:w="5760"/>
            <w:vAlign w:val="top"/>
          </w:tcPr>
          <w:p>
            <w:r/>
            <w:r>
              <w:rPr>
                <w:sz w:val="20"/>
              </w:rPr>
              <w:t>Validates intimation, prioritizes, and assigns RT Technician.</w:t>
            </w:r>
          </w:p>
        </w:tc>
      </w:tr>
      <w:tr>
        <w:tc>
          <w:tcPr>
            <w:tcW w:type="dxa" w:w="576"/>
            <w:vAlign w:val="top"/>
          </w:tcPr>
          <w:p>
            <w:r/>
            <w:r>
              <w:rPr>
                <w:sz w:val="20"/>
              </w:rPr>
              <w:t>6</w:t>
            </w:r>
          </w:p>
        </w:tc>
        <w:tc>
          <w:tcPr>
            <w:tcW w:type="dxa" w:w="3168"/>
            <w:vAlign w:val="top"/>
          </w:tcPr>
          <w:p>
            <w:r/>
            <w:r>
              <w:rPr>
                <w:sz w:val="20"/>
              </w:rPr>
              <w:t>RT Technician</w:t>
            </w:r>
          </w:p>
        </w:tc>
        <w:tc>
          <w:tcPr>
            <w:tcW w:type="dxa" w:w="5760"/>
            <w:vAlign w:val="top"/>
          </w:tcPr>
          <w:p>
            <w:r/>
            <w:r>
              <w:rPr>
                <w:sz w:val="20"/>
              </w:rPr>
              <w:t>Executes the RT shot and updates execution status &amp; outcome.</w:t>
            </w:r>
          </w:p>
        </w:tc>
      </w:tr>
      <w:tr>
        <w:tc>
          <w:tcPr>
            <w:tcW w:type="dxa" w:w="576"/>
            <w:vAlign w:val="top"/>
          </w:tcPr>
          <w:p>
            <w:r/>
            <w:r>
              <w:rPr>
                <w:sz w:val="20"/>
              </w:rPr>
              <w:t>7</w:t>
            </w:r>
          </w:p>
        </w:tc>
        <w:tc>
          <w:tcPr>
            <w:tcW w:type="dxa" w:w="3168"/>
            <w:vAlign w:val="top"/>
          </w:tcPr>
          <w:p>
            <w:r/>
            <w:r>
              <w:rPr>
                <w:sz w:val="20"/>
              </w:rPr>
              <w:t>Quality Assurance (QA) / Quality Control (QC)</w:t>
            </w:r>
          </w:p>
        </w:tc>
        <w:tc>
          <w:tcPr>
            <w:tcW w:type="dxa" w:w="5760"/>
            <w:vAlign w:val="top"/>
          </w:tcPr>
          <w:p>
            <w:r/>
            <w:r>
              <w:rPr>
                <w:sz w:val="20"/>
              </w:rPr>
              <w:t>Monitors compliance, reviews RT outcomes, drives rework/closure.</w:t>
            </w:r>
          </w:p>
        </w:tc>
      </w:tr>
      <w:tr>
        <w:tc>
          <w:tcPr>
            <w:tcW w:type="dxa" w:w="576"/>
            <w:vAlign w:val="top"/>
          </w:tcPr>
          <w:p>
            <w:r/>
            <w:r>
              <w:rPr>
                <w:sz w:val="20"/>
              </w:rPr>
              <w:t>8</w:t>
            </w:r>
          </w:p>
        </w:tc>
        <w:tc>
          <w:tcPr>
            <w:tcW w:type="dxa" w:w="3168"/>
            <w:vAlign w:val="top"/>
          </w:tcPr>
          <w:p>
            <w:r/>
            <w:r>
              <w:rPr>
                <w:sz w:val="20"/>
              </w:rPr>
              <w:t>Project / Production Planning</w:t>
            </w:r>
          </w:p>
        </w:tc>
        <w:tc>
          <w:tcPr>
            <w:tcW w:type="dxa" w:w="5760"/>
            <w:vAlign w:val="top"/>
          </w:tcPr>
          <w:p>
            <w:r/>
            <w:r>
              <w:rPr>
                <w:sz w:val="20"/>
              </w:rPr>
              <w:t>Tracks RT bottlenecks, plans clearance for next operations.</w:t>
            </w:r>
          </w:p>
        </w:tc>
      </w:tr>
      <w:tr>
        <w:tc>
          <w:tcPr>
            <w:tcW w:type="dxa" w:w="576"/>
            <w:vAlign w:val="top"/>
          </w:tcPr>
          <w:p>
            <w:r/>
            <w:r>
              <w:rPr>
                <w:sz w:val="20"/>
              </w:rPr>
              <w:t>9</w:t>
            </w:r>
          </w:p>
        </w:tc>
        <w:tc>
          <w:tcPr>
            <w:tcW w:type="dxa" w:w="3168"/>
            <w:vAlign w:val="top"/>
          </w:tcPr>
          <w:p>
            <w:r/>
            <w:r>
              <w:rPr>
                <w:sz w:val="20"/>
              </w:rPr>
              <w:t>IT Admin</w:t>
            </w:r>
          </w:p>
        </w:tc>
        <w:tc>
          <w:tcPr>
            <w:tcW w:type="dxa" w:w="5760"/>
            <w:vAlign w:val="top"/>
          </w:tcPr>
          <w:p>
            <w:r/>
            <w:r>
              <w:rPr>
                <w:sz w:val="20"/>
              </w:rPr>
              <w:t>Owns platform, infrastructure, AD/SSO integration, security, RBAC, and contract-user lifecycle.</w:t>
            </w:r>
          </w:p>
        </w:tc>
      </w:tr>
      <w:tr>
        <w:tc>
          <w:tcPr>
            <w:tcW w:type="dxa" w:w="576"/>
            <w:vAlign w:val="top"/>
          </w:tcPr>
          <w:p>
            <w:r/>
            <w:r>
              <w:rPr>
                <w:sz w:val="20"/>
              </w:rPr>
              <w:t>10</w:t>
            </w:r>
          </w:p>
        </w:tc>
        <w:tc>
          <w:tcPr>
            <w:tcW w:type="dxa" w:w="3168"/>
            <w:vAlign w:val="top"/>
          </w:tcPr>
          <w:p>
            <w:r/>
            <w:r>
              <w:rPr>
                <w:sz w:val="20"/>
              </w:rPr>
              <w:t>Information Security / Compliance</w:t>
            </w:r>
          </w:p>
        </w:tc>
        <w:tc>
          <w:tcPr>
            <w:tcW w:type="dxa" w:w="5760"/>
            <w:vAlign w:val="top"/>
          </w:tcPr>
          <w:p>
            <w:r/>
            <w:r>
              <w:rPr>
                <w:sz w:val="20"/>
              </w:rPr>
              <w:t>Ensures the platform meets corporate security and audit standards.</w:t>
            </w:r>
          </w:p>
        </w:tc>
      </w:tr>
      <w:tr>
        <w:tc>
          <w:tcPr>
            <w:tcW w:type="dxa" w:w="576"/>
            <w:vAlign w:val="top"/>
          </w:tcPr>
          <w:p>
            <w:r/>
            <w:r>
              <w:rPr>
                <w:sz w:val="20"/>
              </w:rPr>
              <w:t>11</w:t>
            </w:r>
          </w:p>
        </w:tc>
        <w:tc>
          <w:tcPr>
            <w:tcW w:type="dxa" w:w="3168"/>
            <w:vAlign w:val="top"/>
          </w:tcPr>
          <w:p>
            <w:r/>
            <w:r>
              <w:rPr>
                <w:sz w:val="20"/>
              </w:rPr>
              <w:t>Plant / Operations Management</w:t>
            </w:r>
          </w:p>
        </w:tc>
        <w:tc>
          <w:tcPr>
            <w:tcW w:type="dxa" w:w="5760"/>
            <w:vAlign w:val="top"/>
          </w:tcPr>
          <w:p>
            <w:r/>
            <w:r>
              <w:rPr>
                <w:sz w:val="20"/>
              </w:rPr>
              <w:t>Consumes dashboards, KPIs, and MIS for governance and decisions.</w:t>
            </w:r>
          </w:p>
        </w:tc>
      </w:tr>
      <w:tr>
        <w:tc>
          <w:tcPr>
            <w:tcW w:type="dxa" w:w="576"/>
            <w:vAlign w:val="top"/>
          </w:tcPr>
          <w:p>
            <w:r/>
            <w:r>
              <w:rPr>
                <w:sz w:val="20"/>
              </w:rPr>
              <w:t>12</w:t>
            </w:r>
          </w:p>
        </w:tc>
        <w:tc>
          <w:tcPr>
            <w:tcW w:type="dxa" w:w="3168"/>
            <w:vAlign w:val="top"/>
          </w:tcPr>
          <w:p>
            <w:r/>
            <w:r>
              <w:rPr>
                <w:sz w:val="20"/>
              </w:rPr>
              <w:t>Auditors (Internal / External / Customer / Statutory)</w:t>
            </w:r>
          </w:p>
        </w:tc>
        <w:tc>
          <w:tcPr>
            <w:tcW w:type="dxa" w:w="5760"/>
            <w:vAlign w:val="top"/>
          </w:tcPr>
          <w:p>
            <w:r/>
            <w:r>
              <w:rPr>
                <w:sz w:val="20"/>
              </w:rPr>
              <w:t>Use audit trail and reports as evidence of inspection compliance.</w:t>
            </w:r>
          </w:p>
        </w:tc>
      </w:tr>
      <w:tr>
        <w:tc>
          <w:tcPr>
            <w:tcW w:type="dxa" w:w="576"/>
            <w:vAlign w:val="top"/>
          </w:tcPr>
          <w:p>
            <w:r/>
            <w:r>
              <w:rPr>
                <w:sz w:val="20"/>
              </w:rPr>
              <w:t>13</w:t>
            </w:r>
          </w:p>
        </w:tc>
        <w:tc>
          <w:tcPr>
            <w:tcW w:type="dxa" w:w="3168"/>
            <w:vAlign w:val="top"/>
          </w:tcPr>
          <w:p>
            <w:r/>
            <w:r>
              <w:rPr>
                <w:sz w:val="20"/>
              </w:rPr>
              <w:t>Contract Workforce Representatives</w:t>
            </w:r>
          </w:p>
        </w:tc>
        <w:tc>
          <w:tcPr>
            <w:tcW w:type="dxa" w:w="5760"/>
            <w:vAlign w:val="top"/>
          </w:tcPr>
          <w:p>
            <w:r/>
            <w:r>
              <w:rPr>
                <w:sz w:val="20"/>
              </w:rPr>
              <w:t>Use the system as Initiators / Technicians where authorized.</w:t>
            </w:r>
          </w:p>
        </w:tc>
      </w:tr>
    </w:tbl>
    <w:p>
      <w:pPr>
        <w:pStyle w:val="Heading1"/>
      </w:pPr>
      <w:r>
        <w:rPr>
          <w:color w:val="1F3A5F"/>
        </w:rPr>
        <w:t>6. Roles &amp; Responsibilities (including Admin Roles)</w:t>
      </w:r>
    </w:p>
    <w:p>
      <w:r>
        <w:rPr>
          <w:b w:val="0"/>
          <w:i w:val="0"/>
          <w:sz w:val="22"/>
        </w:rPr>
        <w:t>The system supports the following named roles. Each role has a defined business responsibility and an associated scope of authority. Detailed permission-level mapping for each capability is provided in the companion FDD (Section: Admin Access &amp; RBAC Matrix).</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160"/>
            <w:shd w:val="clear" w:color="auto" w:fill="1F3A5F"/>
            <w:vAlign w:val="center"/>
          </w:tcPr>
          <w:p>
            <w:r/>
            <w:r>
              <w:rPr>
                <w:b/>
                <w:color w:val="FFFFFF"/>
                <w:sz w:val="20"/>
              </w:rPr>
              <w:t>Role</w:t>
            </w:r>
          </w:p>
        </w:tc>
        <w:tc>
          <w:tcPr>
            <w:tcW w:type="dxa" w:w="5040"/>
            <w:shd w:val="clear" w:color="auto" w:fill="1F3A5F"/>
            <w:vAlign w:val="center"/>
          </w:tcPr>
          <w:p>
            <w:r/>
            <w:r>
              <w:rPr>
                <w:b/>
                <w:color w:val="FFFFFF"/>
                <w:sz w:val="20"/>
              </w:rPr>
              <w:t>Primary Responsibilities</w:t>
            </w:r>
          </w:p>
        </w:tc>
        <w:tc>
          <w:tcPr>
            <w:tcW w:type="dxa" w:w="2304"/>
            <w:shd w:val="clear" w:color="auto" w:fill="1F3A5F"/>
            <w:vAlign w:val="center"/>
          </w:tcPr>
          <w:p>
            <w:r/>
            <w:r>
              <w:rPr>
                <w:b/>
                <w:color w:val="FFFFFF"/>
                <w:sz w:val="20"/>
              </w:rPr>
              <w:t>Scope</w:t>
            </w:r>
          </w:p>
        </w:tc>
      </w:tr>
      <w:tr>
        <w:tc>
          <w:tcPr>
            <w:tcW w:type="dxa" w:w="2160"/>
            <w:vAlign w:val="top"/>
          </w:tcPr>
          <w:p>
            <w:r/>
            <w:r>
              <w:rPr>
                <w:sz w:val="20"/>
              </w:rPr>
              <w:t>Initiator (Shop User)</w:t>
            </w:r>
          </w:p>
        </w:tc>
        <w:tc>
          <w:tcPr>
            <w:tcW w:type="dxa" w:w="5040"/>
            <w:vAlign w:val="top"/>
          </w:tcPr>
          <w:p>
            <w:r/>
            <w:r>
              <w:rPr>
                <w:sz w:val="20"/>
              </w:rPr>
              <w:t>Create, save as draft, submit RT intimations; attach drawings/photos; respond to clarifications; view own intimations.</w:t>
            </w:r>
          </w:p>
        </w:tc>
        <w:tc>
          <w:tcPr>
            <w:tcW w:type="dxa" w:w="2304"/>
            <w:vAlign w:val="top"/>
          </w:tcPr>
          <w:p>
            <w:r/>
            <w:r>
              <w:rPr>
                <w:sz w:val="20"/>
              </w:rPr>
              <w:t>Own intimations within own shop(s).</w:t>
            </w:r>
          </w:p>
        </w:tc>
      </w:tr>
      <w:tr>
        <w:tc>
          <w:tcPr>
            <w:tcW w:type="dxa" w:w="2160"/>
            <w:vAlign w:val="top"/>
          </w:tcPr>
          <w:p>
            <w:r/>
            <w:r>
              <w:rPr>
                <w:sz w:val="20"/>
              </w:rPr>
              <w:t>Shop Reviewer</w:t>
            </w:r>
          </w:p>
        </w:tc>
        <w:tc>
          <w:tcPr>
            <w:tcW w:type="dxa" w:w="5040"/>
            <w:vAlign w:val="top"/>
          </w:tcPr>
          <w:p>
            <w:r/>
            <w:r>
              <w:rPr>
                <w:sz w:val="20"/>
              </w:rPr>
              <w:t>Review submitted intimations for completeness/correctness before forwarding to RT; return for correction if needed.</w:t>
            </w:r>
          </w:p>
        </w:tc>
        <w:tc>
          <w:tcPr>
            <w:tcW w:type="dxa" w:w="2304"/>
            <w:vAlign w:val="top"/>
          </w:tcPr>
          <w:p>
            <w:r/>
            <w:r>
              <w:rPr>
                <w:sz w:val="20"/>
              </w:rPr>
              <w:t>All intimations within assigned shop(s).</w:t>
            </w:r>
          </w:p>
        </w:tc>
      </w:tr>
      <w:tr>
        <w:tc>
          <w:tcPr>
            <w:tcW w:type="dxa" w:w="2160"/>
            <w:vAlign w:val="top"/>
          </w:tcPr>
          <w:p>
            <w:r/>
            <w:r>
              <w:rPr>
                <w:sz w:val="20"/>
              </w:rPr>
              <w:t>Shop Admin</w:t>
            </w:r>
          </w:p>
        </w:tc>
        <w:tc>
          <w:tcPr>
            <w:tcW w:type="dxa" w:w="5040"/>
            <w:vAlign w:val="top"/>
          </w:tcPr>
          <w:p>
            <w:r/>
            <w:r>
              <w:rPr>
                <w:sz w:val="20"/>
              </w:rPr>
              <w:t>Manage shop-level user assignments, shop-specific master data, monitor shop intimations and SLAs.</w:t>
            </w:r>
          </w:p>
        </w:tc>
        <w:tc>
          <w:tcPr>
            <w:tcW w:type="dxa" w:w="2304"/>
            <w:vAlign w:val="top"/>
          </w:tcPr>
          <w:p>
            <w:r/>
            <w:r>
              <w:rPr>
                <w:sz w:val="20"/>
              </w:rPr>
              <w:t>Assigned shop(s) only.</w:t>
            </w:r>
          </w:p>
        </w:tc>
      </w:tr>
      <w:tr>
        <w:tc>
          <w:tcPr>
            <w:tcW w:type="dxa" w:w="2160"/>
            <w:vAlign w:val="top"/>
          </w:tcPr>
          <w:p>
            <w:r/>
            <w:r>
              <w:rPr>
                <w:sz w:val="20"/>
              </w:rPr>
              <w:t>NDT/RT Admin</w:t>
            </w:r>
          </w:p>
        </w:tc>
        <w:tc>
          <w:tcPr>
            <w:tcW w:type="dxa" w:w="5040"/>
            <w:vAlign w:val="top"/>
          </w:tcPr>
          <w:p>
            <w:r/>
            <w:r>
              <w:rPr>
                <w:sz w:val="20"/>
              </w:rPr>
              <w:t>Manage RT master data (technicians, procedures, sources, rejection reasons); configure SLAs, priorities, and notification rules; approve technician onboarding.</w:t>
            </w:r>
          </w:p>
        </w:tc>
        <w:tc>
          <w:tcPr>
            <w:tcW w:type="dxa" w:w="2304"/>
            <w:vAlign w:val="top"/>
          </w:tcPr>
          <w:p>
            <w:r/>
            <w:r>
              <w:rPr>
                <w:sz w:val="20"/>
              </w:rPr>
              <w:t>Plant-wide RT scope.</w:t>
            </w:r>
          </w:p>
        </w:tc>
      </w:tr>
      <w:tr>
        <w:tc>
          <w:tcPr>
            <w:tcW w:type="dxa" w:w="2160"/>
            <w:vAlign w:val="top"/>
          </w:tcPr>
          <w:p>
            <w:r/>
            <w:r>
              <w:rPr>
                <w:sz w:val="20"/>
              </w:rPr>
              <w:t>RT Engineer / Approver</w:t>
            </w:r>
          </w:p>
        </w:tc>
        <w:tc>
          <w:tcPr>
            <w:tcW w:type="dxa" w:w="5040"/>
            <w:vAlign w:val="top"/>
          </w:tcPr>
          <w:p>
            <w:r/>
            <w:r>
              <w:rPr>
                <w:sz w:val="20"/>
              </w:rPr>
              <w:t>Validate, prioritize, approve/reject intimations; assign technician; reschedule; reopen; close.</w:t>
            </w:r>
          </w:p>
        </w:tc>
        <w:tc>
          <w:tcPr>
            <w:tcW w:type="dxa" w:w="2304"/>
            <w:vAlign w:val="top"/>
          </w:tcPr>
          <w:p>
            <w:r/>
            <w:r>
              <w:rPr>
                <w:sz w:val="20"/>
              </w:rPr>
              <w:t>All intimations across shops in plant.</w:t>
            </w:r>
          </w:p>
        </w:tc>
      </w:tr>
      <w:tr>
        <w:tc>
          <w:tcPr>
            <w:tcW w:type="dxa" w:w="2160"/>
            <w:vAlign w:val="top"/>
          </w:tcPr>
          <w:p>
            <w:r/>
            <w:r>
              <w:rPr>
                <w:sz w:val="20"/>
              </w:rPr>
              <w:t>RT Technician</w:t>
            </w:r>
          </w:p>
        </w:tc>
        <w:tc>
          <w:tcPr>
            <w:tcW w:type="dxa" w:w="5040"/>
            <w:vAlign w:val="top"/>
          </w:tcPr>
          <w:p>
            <w:r/>
            <w:r>
              <w:rPr>
                <w:sz w:val="20"/>
              </w:rPr>
              <w:t>Acknowledge assignment; update execution status (in progress, completed, on hold); record outcome (Accept/Reject/Rework); upload report.</w:t>
            </w:r>
          </w:p>
        </w:tc>
        <w:tc>
          <w:tcPr>
            <w:tcW w:type="dxa" w:w="2304"/>
            <w:vAlign w:val="top"/>
          </w:tcPr>
          <w:p>
            <w:r/>
            <w:r>
              <w:rPr>
                <w:sz w:val="20"/>
              </w:rPr>
              <w:t>Assigned intimations only.</w:t>
            </w:r>
          </w:p>
        </w:tc>
      </w:tr>
      <w:tr>
        <w:tc>
          <w:tcPr>
            <w:tcW w:type="dxa" w:w="2160"/>
            <w:vAlign w:val="top"/>
          </w:tcPr>
          <w:p>
            <w:r/>
            <w:r>
              <w:rPr>
                <w:sz w:val="20"/>
              </w:rPr>
              <w:t>QA/QC Reviewer</w:t>
            </w:r>
          </w:p>
        </w:tc>
        <w:tc>
          <w:tcPr>
            <w:tcW w:type="dxa" w:w="5040"/>
            <w:vAlign w:val="top"/>
          </w:tcPr>
          <w:p>
            <w:r/>
            <w:r>
              <w:rPr>
                <w:sz w:val="20"/>
              </w:rPr>
              <w:t>Review outcome, trigger rework or closure, monitor RT KPIs, ensure compliance.</w:t>
            </w:r>
          </w:p>
        </w:tc>
        <w:tc>
          <w:tcPr>
            <w:tcW w:type="dxa" w:w="2304"/>
            <w:vAlign w:val="top"/>
          </w:tcPr>
          <w:p>
            <w:r/>
            <w:r>
              <w:rPr>
                <w:sz w:val="20"/>
              </w:rPr>
              <w:t>Plant-wide.</w:t>
            </w:r>
          </w:p>
        </w:tc>
      </w:tr>
      <w:tr>
        <w:tc>
          <w:tcPr>
            <w:tcW w:type="dxa" w:w="2160"/>
            <w:vAlign w:val="top"/>
          </w:tcPr>
          <w:p>
            <w:r/>
            <w:r>
              <w:rPr>
                <w:sz w:val="20"/>
              </w:rPr>
              <w:t>IT Admin</w:t>
            </w:r>
          </w:p>
        </w:tc>
        <w:tc>
          <w:tcPr>
            <w:tcW w:type="dxa" w:w="5040"/>
            <w:vAlign w:val="top"/>
          </w:tcPr>
          <w:p>
            <w:r/>
            <w:r>
              <w:rPr>
                <w:sz w:val="20"/>
              </w:rPr>
              <w:t>Manage platform, AD/SSO integration, role-to-group mapping, contract-user accounts, audit log access, environment configuration, integrations, backups.</w:t>
            </w:r>
          </w:p>
        </w:tc>
        <w:tc>
          <w:tcPr>
            <w:tcW w:type="dxa" w:w="2304"/>
            <w:vAlign w:val="top"/>
          </w:tcPr>
          <w:p>
            <w:r/>
            <w:r>
              <w:rPr>
                <w:sz w:val="20"/>
              </w:rPr>
              <w:t>Plant-wide / system-wide.</w:t>
            </w:r>
          </w:p>
        </w:tc>
      </w:tr>
      <w:tr>
        <w:tc>
          <w:tcPr>
            <w:tcW w:type="dxa" w:w="2160"/>
            <w:vAlign w:val="top"/>
          </w:tcPr>
          <w:p>
            <w:r/>
            <w:r>
              <w:rPr>
                <w:sz w:val="20"/>
              </w:rPr>
              <w:t>Viewer (Read-Only)</w:t>
            </w:r>
          </w:p>
        </w:tc>
        <w:tc>
          <w:tcPr>
            <w:tcW w:type="dxa" w:w="5040"/>
            <w:vAlign w:val="top"/>
          </w:tcPr>
          <w:p>
            <w:r/>
            <w:r>
              <w:rPr>
                <w:sz w:val="20"/>
              </w:rPr>
              <w:t>View intimations, dashboards, and reports for assigned scope; export within permission.</w:t>
            </w:r>
          </w:p>
        </w:tc>
        <w:tc>
          <w:tcPr>
            <w:tcW w:type="dxa" w:w="2304"/>
            <w:vAlign w:val="top"/>
          </w:tcPr>
          <w:p>
            <w:r/>
            <w:r>
              <w:rPr>
                <w:sz w:val="20"/>
              </w:rPr>
              <w:t>Configured scope (shop/plant).</w:t>
            </w:r>
          </w:p>
        </w:tc>
      </w:tr>
      <w:tr>
        <w:tc>
          <w:tcPr>
            <w:tcW w:type="dxa" w:w="2160"/>
            <w:vAlign w:val="top"/>
          </w:tcPr>
          <w:p>
            <w:r/>
            <w:r>
              <w:rPr>
                <w:sz w:val="20"/>
              </w:rPr>
              <w:t>Auditor</w:t>
            </w:r>
          </w:p>
        </w:tc>
        <w:tc>
          <w:tcPr>
            <w:tcW w:type="dxa" w:w="5040"/>
            <w:vAlign w:val="top"/>
          </w:tcPr>
          <w:p>
            <w:r/>
            <w:r>
              <w:rPr>
                <w:sz w:val="20"/>
              </w:rPr>
              <w:t>Access historical records, audit trail, and reports in read-only mode; cannot modify data.</w:t>
            </w:r>
          </w:p>
        </w:tc>
        <w:tc>
          <w:tcPr>
            <w:tcW w:type="dxa" w:w="2304"/>
            <w:vAlign w:val="top"/>
          </w:tcPr>
          <w:p>
            <w:r/>
            <w:r>
              <w:rPr>
                <w:sz w:val="20"/>
              </w:rPr>
              <w:t>Plant-wide read-only.</w:t>
            </w:r>
          </w:p>
        </w:tc>
      </w:tr>
    </w:tbl>
    <w:p>
      <w:pPr>
        <w:pStyle w:val="Heading1"/>
      </w:pPr>
      <w:r>
        <w:rPr>
          <w:color w:val="1F3A5F"/>
        </w:rPr>
        <w:t>7. Business Requirements (BR IDs)</w:t>
      </w:r>
    </w:p>
    <w:p>
      <w:r>
        <w:rPr>
          <w:b w:val="0"/>
          <w:i w:val="0"/>
          <w:sz w:val="22"/>
        </w:rPr>
        <w:t>The table below captures the business-level requirements that drive the solution. Each BR ID is traced into detailed Functional Requirements (FR IDs) in the companion FDD.</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1008"/>
            <w:shd w:val="clear" w:color="auto" w:fill="1F3A5F"/>
            <w:vAlign w:val="center"/>
          </w:tcPr>
          <w:p>
            <w:r/>
            <w:r>
              <w:rPr>
                <w:b/>
                <w:color w:val="FFFFFF"/>
                <w:sz w:val="20"/>
              </w:rPr>
              <w:t>BR ID</w:t>
            </w:r>
          </w:p>
        </w:tc>
        <w:tc>
          <w:tcPr>
            <w:tcW w:type="dxa" w:w="7200"/>
            <w:shd w:val="clear" w:color="auto" w:fill="1F3A5F"/>
            <w:vAlign w:val="center"/>
          </w:tcPr>
          <w:p>
            <w:r/>
            <w:r>
              <w:rPr>
                <w:b/>
                <w:color w:val="FFFFFF"/>
                <w:sz w:val="20"/>
              </w:rPr>
              <w:t>Business Requirement</w:t>
            </w:r>
          </w:p>
        </w:tc>
        <w:tc>
          <w:tcPr>
            <w:tcW w:type="dxa" w:w="1008"/>
            <w:shd w:val="clear" w:color="auto" w:fill="1F3A5F"/>
            <w:vAlign w:val="center"/>
          </w:tcPr>
          <w:p>
            <w:r/>
            <w:r>
              <w:rPr>
                <w:b/>
                <w:color w:val="FFFFFF"/>
                <w:sz w:val="20"/>
              </w:rPr>
              <w:t>Priority</w:t>
            </w:r>
          </w:p>
        </w:tc>
      </w:tr>
      <w:tr>
        <w:tc>
          <w:tcPr>
            <w:tcW w:type="dxa" w:w="1008"/>
            <w:vAlign w:val="top"/>
          </w:tcPr>
          <w:p>
            <w:r/>
            <w:r>
              <w:rPr>
                <w:sz w:val="20"/>
              </w:rPr>
              <w:t>BR-01</w:t>
            </w:r>
          </w:p>
        </w:tc>
        <w:tc>
          <w:tcPr>
            <w:tcW w:type="dxa" w:w="7200"/>
            <w:vAlign w:val="top"/>
          </w:tcPr>
          <w:p>
            <w:r/>
            <w:r>
              <w:rPr>
                <w:sz w:val="20"/>
              </w:rPr>
              <w:t>The organization shall have a single, centralized digital system to raise, track, and close all Shop-to-RT intimations.</w:t>
            </w:r>
          </w:p>
        </w:tc>
        <w:tc>
          <w:tcPr>
            <w:tcW w:type="dxa" w:w="1008"/>
            <w:vAlign w:val="top"/>
          </w:tcPr>
          <w:p>
            <w:r/>
            <w:r>
              <w:rPr>
                <w:sz w:val="20"/>
              </w:rPr>
              <w:t>Must</w:t>
            </w:r>
          </w:p>
        </w:tc>
      </w:tr>
      <w:tr>
        <w:tc>
          <w:tcPr>
            <w:tcW w:type="dxa" w:w="1008"/>
            <w:vAlign w:val="top"/>
          </w:tcPr>
          <w:p>
            <w:r/>
            <w:r>
              <w:rPr>
                <w:sz w:val="20"/>
              </w:rPr>
              <w:t>BR-02</w:t>
            </w:r>
          </w:p>
        </w:tc>
        <w:tc>
          <w:tcPr>
            <w:tcW w:type="dxa" w:w="7200"/>
            <w:vAlign w:val="top"/>
          </w:tcPr>
          <w:p>
            <w:r/>
            <w:r>
              <w:rPr>
                <w:sz w:val="20"/>
              </w:rPr>
              <w:t>The system shall provide complete traceability of each intimation from creation to closure, including all state changes and actors.</w:t>
            </w:r>
          </w:p>
        </w:tc>
        <w:tc>
          <w:tcPr>
            <w:tcW w:type="dxa" w:w="1008"/>
            <w:vAlign w:val="top"/>
          </w:tcPr>
          <w:p>
            <w:r/>
            <w:r>
              <w:rPr>
                <w:sz w:val="20"/>
              </w:rPr>
              <w:t>Must</w:t>
            </w:r>
          </w:p>
        </w:tc>
      </w:tr>
      <w:tr>
        <w:tc>
          <w:tcPr>
            <w:tcW w:type="dxa" w:w="1008"/>
            <w:vAlign w:val="top"/>
          </w:tcPr>
          <w:p>
            <w:r/>
            <w:r>
              <w:rPr>
                <w:sz w:val="20"/>
              </w:rPr>
              <w:t>BR-03</w:t>
            </w:r>
          </w:p>
        </w:tc>
        <w:tc>
          <w:tcPr>
            <w:tcW w:type="dxa" w:w="7200"/>
            <w:vAlign w:val="top"/>
          </w:tcPr>
          <w:p>
            <w:r/>
            <w:r>
              <w:rPr>
                <w:sz w:val="20"/>
              </w:rPr>
              <w:t>The system shall enforce role-based access control (RBAC) across all user types.</w:t>
            </w:r>
          </w:p>
        </w:tc>
        <w:tc>
          <w:tcPr>
            <w:tcW w:type="dxa" w:w="1008"/>
            <w:vAlign w:val="top"/>
          </w:tcPr>
          <w:p>
            <w:r/>
            <w:r>
              <w:rPr>
                <w:sz w:val="20"/>
              </w:rPr>
              <w:t>Must</w:t>
            </w:r>
          </w:p>
        </w:tc>
      </w:tr>
      <w:tr>
        <w:tc>
          <w:tcPr>
            <w:tcW w:type="dxa" w:w="1008"/>
            <w:vAlign w:val="top"/>
          </w:tcPr>
          <w:p>
            <w:r/>
            <w:r>
              <w:rPr>
                <w:sz w:val="20"/>
              </w:rPr>
              <w:t>BR-04</w:t>
            </w:r>
          </w:p>
        </w:tc>
        <w:tc>
          <w:tcPr>
            <w:tcW w:type="dxa" w:w="7200"/>
            <w:vAlign w:val="top"/>
          </w:tcPr>
          <w:p>
            <w:r/>
            <w:r>
              <w:rPr>
                <w:sz w:val="20"/>
              </w:rPr>
              <w:t>The system shall be accessible from the shop floor on mobile and tablet devices, including in low-connectivity zones.</w:t>
            </w:r>
          </w:p>
        </w:tc>
        <w:tc>
          <w:tcPr>
            <w:tcW w:type="dxa" w:w="1008"/>
            <w:vAlign w:val="top"/>
          </w:tcPr>
          <w:p>
            <w:r/>
            <w:r>
              <w:rPr>
                <w:sz w:val="20"/>
              </w:rPr>
              <w:t>Must</w:t>
            </w:r>
          </w:p>
        </w:tc>
      </w:tr>
      <w:tr>
        <w:tc>
          <w:tcPr>
            <w:tcW w:type="dxa" w:w="1008"/>
            <w:vAlign w:val="top"/>
          </w:tcPr>
          <w:p>
            <w:r/>
            <w:r>
              <w:rPr>
                <w:sz w:val="20"/>
              </w:rPr>
              <w:t>BR-05</w:t>
            </w:r>
          </w:p>
        </w:tc>
        <w:tc>
          <w:tcPr>
            <w:tcW w:type="dxa" w:w="7200"/>
            <w:vAlign w:val="top"/>
          </w:tcPr>
          <w:p>
            <w:r/>
            <w:r>
              <w:rPr>
                <w:sz w:val="20"/>
              </w:rPr>
              <w:t>The system shall integrate with corporate Active Directory and SSO for employee authentication.</w:t>
            </w:r>
          </w:p>
        </w:tc>
        <w:tc>
          <w:tcPr>
            <w:tcW w:type="dxa" w:w="1008"/>
            <w:vAlign w:val="top"/>
          </w:tcPr>
          <w:p>
            <w:r/>
            <w:r>
              <w:rPr>
                <w:sz w:val="20"/>
              </w:rPr>
              <w:t>Must</w:t>
            </w:r>
          </w:p>
        </w:tc>
      </w:tr>
      <w:tr>
        <w:tc>
          <w:tcPr>
            <w:tcW w:type="dxa" w:w="1008"/>
            <w:vAlign w:val="top"/>
          </w:tcPr>
          <w:p>
            <w:r/>
            <w:r>
              <w:rPr>
                <w:sz w:val="20"/>
              </w:rPr>
              <w:t>BR-06</w:t>
            </w:r>
          </w:p>
        </w:tc>
        <w:tc>
          <w:tcPr>
            <w:tcW w:type="dxa" w:w="7200"/>
            <w:vAlign w:val="top"/>
          </w:tcPr>
          <w:p>
            <w:r/>
            <w:r>
              <w:rPr>
                <w:sz w:val="20"/>
              </w:rPr>
              <w:t>The system shall support contract (non-AD) users via an admin-controlled local identity store.</w:t>
            </w:r>
          </w:p>
        </w:tc>
        <w:tc>
          <w:tcPr>
            <w:tcW w:type="dxa" w:w="1008"/>
            <w:vAlign w:val="top"/>
          </w:tcPr>
          <w:p>
            <w:r/>
            <w:r>
              <w:rPr>
                <w:sz w:val="20"/>
              </w:rPr>
              <w:t>Must</w:t>
            </w:r>
          </w:p>
        </w:tc>
      </w:tr>
      <w:tr>
        <w:tc>
          <w:tcPr>
            <w:tcW w:type="dxa" w:w="1008"/>
            <w:vAlign w:val="top"/>
          </w:tcPr>
          <w:p>
            <w:r/>
            <w:r>
              <w:rPr>
                <w:sz w:val="20"/>
              </w:rPr>
              <w:t>BR-07</w:t>
            </w:r>
          </w:p>
        </w:tc>
        <w:tc>
          <w:tcPr>
            <w:tcW w:type="dxa" w:w="7200"/>
            <w:vAlign w:val="top"/>
          </w:tcPr>
          <w:p>
            <w:r/>
            <w:r>
              <w:rPr>
                <w:sz w:val="20"/>
              </w:rPr>
              <w:t>The system shall enforce a defined approval workflow before an intimation reaches RT execution.</w:t>
            </w:r>
          </w:p>
        </w:tc>
        <w:tc>
          <w:tcPr>
            <w:tcW w:type="dxa" w:w="1008"/>
            <w:vAlign w:val="top"/>
          </w:tcPr>
          <w:p>
            <w:r/>
            <w:r>
              <w:rPr>
                <w:sz w:val="20"/>
              </w:rPr>
              <w:t>Must</w:t>
            </w:r>
          </w:p>
        </w:tc>
      </w:tr>
      <w:tr>
        <w:tc>
          <w:tcPr>
            <w:tcW w:type="dxa" w:w="1008"/>
            <w:vAlign w:val="top"/>
          </w:tcPr>
          <w:p>
            <w:r/>
            <w:r>
              <w:rPr>
                <w:sz w:val="20"/>
              </w:rPr>
              <w:t>BR-08</w:t>
            </w:r>
          </w:p>
        </w:tc>
        <w:tc>
          <w:tcPr>
            <w:tcW w:type="dxa" w:w="7200"/>
            <w:vAlign w:val="top"/>
          </w:tcPr>
          <w:p>
            <w:r/>
            <w:r>
              <w:rPr>
                <w:sz w:val="20"/>
              </w:rPr>
              <w:t>The system shall capture RT execution outcome (Accept/Reject/Rework) and required evidence.</w:t>
            </w:r>
          </w:p>
        </w:tc>
        <w:tc>
          <w:tcPr>
            <w:tcW w:type="dxa" w:w="1008"/>
            <w:vAlign w:val="top"/>
          </w:tcPr>
          <w:p>
            <w:r/>
            <w:r>
              <w:rPr>
                <w:sz w:val="20"/>
              </w:rPr>
              <w:t>Must</w:t>
            </w:r>
          </w:p>
        </w:tc>
      </w:tr>
      <w:tr>
        <w:tc>
          <w:tcPr>
            <w:tcW w:type="dxa" w:w="1008"/>
            <w:vAlign w:val="top"/>
          </w:tcPr>
          <w:p>
            <w:r/>
            <w:r>
              <w:rPr>
                <w:sz w:val="20"/>
              </w:rPr>
              <w:t>BR-09</w:t>
            </w:r>
          </w:p>
        </w:tc>
        <w:tc>
          <w:tcPr>
            <w:tcW w:type="dxa" w:w="7200"/>
            <w:vAlign w:val="top"/>
          </w:tcPr>
          <w:p>
            <w:r/>
            <w:r>
              <w:rPr>
                <w:sz w:val="20"/>
              </w:rPr>
              <w:t>The system shall send timely notifications to all relevant stakeholders on every key event.</w:t>
            </w:r>
          </w:p>
        </w:tc>
        <w:tc>
          <w:tcPr>
            <w:tcW w:type="dxa" w:w="1008"/>
            <w:vAlign w:val="top"/>
          </w:tcPr>
          <w:p>
            <w:r/>
            <w:r>
              <w:rPr>
                <w:sz w:val="20"/>
              </w:rPr>
              <w:t>Must</w:t>
            </w:r>
          </w:p>
        </w:tc>
      </w:tr>
      <w:tr>
        <w:tc>
          <w:tcPr>
            <w:tcW w:type="dxa" w:w="1008"/>
            <w:vAlign w:val="top"/>
          </w:tcPr>
          <w:p>
            <w:r/>
            <w:r>
              <w:rPr>
                <w:sz w:val="20"/>
              </w:rPr>
              <w:t>BR-10</w:t>
            </w:r>
          </w:p>
        </w:tc>
        <w:tc>
          <w:tcPr>
            <w:tcW w:type="dxa" w:w="7200"/>
            <w:vAlign w:val="top"/>
          </w:tcPr>
          <w:p>
            <w:r/>
            <w:r>
              <w:rPr>
                <w:sz w:val="20"/>
              </w:rPr>
              <w:t>The system shall provide dashboards, KPIs, and exportable MIS reports for management.</w:t>
            </w:r>
          </w:p>
        </w:tc>
        <w:tc>
          <w:tcPr>
            <w:tcW w:type="dxa" w:w="1008"/>
            <w:vAlign w:val="top"/>
          </w:tcPr>
          <w:p>
            <w:r/>
            <w:r>
              <w:rPr>
                <w:sz w:val="20"/>
              </w:rPr>
              <w:t>Must</w:t>
            </w:r>
          </w:p>
        </w:tc>
      </w:tr>
      <w:tr>
        <w:tc>
          <w:tcPr>
            <w:tcW w:type="dxa" w:w="1008"/>
            <w:vAlign w:val="top"/>
          </w:tcPr>
          <w:p>
            <w:r/>
            <w:r>
              <w:rPr>
                <w:sz w:val="20"/>
              </w:rPr>
              <w:t>BR-11</w:t>
            </w:r>
          </w:p>
        </w:tc>
        <w:tc>
          <w:tcPr>
            <w:tcW w:type="dxa" w:w="7200"/>
            <w:vAlign w:val="top"/>
          </w:tcPr>
          <w:p>
            <w:r/>
            <w:r>
              <w:rPr>
                <w:sz w:val="20"/>
              </w:rPr>
              <w:t>The system shall maintain a tamper-evident audit log of all critical actions.</w:t>
            </w:r>
          </w:p>
        </w:tc>
        <w:tc>
          <w:tcPr>
            <w:tcW w:type="dxa" w:w="1008"/>
            <w:vAlign w:val="top"/>
          </w:tcPr>
          <w:p>
            <w:r/>
            <w:r>
              <w:rPr>
                <w:sz w:val="20"/>
              </w:rPr>
              <w:t>Must</w:t>
            </w:r>
          </w:p>
        </w:tc>
      </w:tr>
      <w:tr>
        <w:tc>
          <w:tcPr>
            <w:tcW w:type="dxa" w:w="1008"/>
            <w:vAlign w:val="top"/>
          </w:tcPr>
          <w:p>
            <w:r/>
            <w:r>
              <w:rPr>
                <w:sz w:val="20"/>
              </w:rPr>
              <w:t>BR-12</w:t>
            </w:r>
          </w:p>
        </w:tc>
        <w:tc>
          <w:tcPr>
            <w:tcW w:type="dxa" w:w="7200"/>
            <w:vAlign w:val="top"/>
          </w:tcPr>
          <w:p>
            <w:r/>
            <w:r>
              <w:rPr>
                <w:sz w:val="20"/>
              </w:rPr>
              <w:t>The system shall support shop selection through both auto-derivation from user profile and manual selection from authorized list.</w:t>
            </w:r>
          </w:p>
        </w:tc>
        <w:tc>
          <w:tcPr>
            <w:tcW w:type="dxa" w:w="1008"/>
            <w:vAlign w:val="top"/>
          </w:tcPr>
          <w:p>
            <w:r/>
            <w:r>
              <w:rPr>
                <w:sz w:val="20"/>
              </w:rPr>
              <w:t>Must</w:t>
            </w:r>
          </w:p>
        </w:tc>
      </w:tr>
      <w:tr>
        <w:tc>
          <w:tcPr>
            <w:tcW w:type="dxa" w:w="1008"/>
            <w:vAlign w:val="top"/>
          </w:tcPr>
          <w:p>
            <w:r/>
            <w:r>
              <w:rPr>
                <w:sz w:val="20"/>
              </w:rPr>
              <w:t>BR-13</w:t>
            </w:r>
          </w:p>
        </w:tc>
        <w:tc>
          <w:tcPr>
            <w:tcW w:type="dxa" w:w="7200"/>
            <w:vAlign w:val="top"/>
          </w:tcPr>
          <w:p>
            <w:r/>
            <w:r>
              <w:rPr>
                <w:sz w:val="20"/>
              </w:rPr>
              <w:t>The system shall handle rework, rejection, cancellation, and reopening without breaking traceability.</w:t>
            </w:r>
          </w:p>
        </w:tc>
        <w:tc>
          <w:tcPr>
            <w:tcW w:type="dxa" w:w="1008"/>
            <w:vAlign w:val="top"/>
          </w:tcPr>
          <w:p>
            <w:r/>
            <w:r>
              <w:rPr>
                <w:sz w:val="20"/>
              </w:rPr>
              <w:t>Must</w:t>
            </w:r>
          </w:p>
        </w:tc>
      </w:tr>
      <w:tr>
        <w:tc>
          <w:tcPr>
            <w:tcW w:type="dxa" w:w="1008"/>
            <w:vAlign w:val="top"/>
          </w:tcPr>
          <w:p>
            <w:r/>
            <w:r>
              <w:rPr>
                <w:sz w:val="20"/>
              </w:rPr>
              <w:t>BR-14</w:t>
            </w:r>
          </w:p>
        </w:tc>
        <w:tc>
          <w:tcPr>
            <w:tcW w:type="dxa" w:w="7200"/>
            <w:vAlign w:val="top"/>
          </w:tcPr>
          <w:p>
            <w:r/>
            <w:r>
              <w:rPr>
                <w:sz w:val="20"/>
              </w:rPr>
              <w:t>The system shall comply with the organization's information security and data retention standards.</w:t>
            </w:r>
          </w:p>
        </w:tc>
        <w:tc>
          <w:tcPr>
            <w:tcW w:type="dxa" w:w="1008"/>
            <w:vAlign w:val="top"/>
          </w:tcPr>
          <w:p>
            <w:r/>
            <w:r>
              <w:rPr>
                <w:sz w:val="20"/>
              </w:rPr>
              <w:t>Must</w:t>
            </w:r>
          </w:p>
        </w:tc>
      </w:tr>
      <w:tr>
        <w:tc>
          <w:tcPr>
            <w:tcW w:type="dxa" w:w="1008"/>
            <w:vAlign w:val="top"/>
          </w:tcPr>
          <w:p>
            <w:r/>
            <w:r>
              <w:rPr>
                <w:sz w:val="20"/>
              </w:rPr>
              <w:t>BR-15</w:t>
            </w:r>
          </w:p>
        </w:tc>
        <w:tc>
          <w:tcPr>
            <w:tcW w:type="dxa" w:w="7200"/>
            <w:vAlign w:val="top"/>
          </w:tcPr>
          <w:p>
            <w:r/>
            <w:r>
              <w:rPr>
                <w:sz w:val="20"/>
              </w:rPr>
              <w:t>The system shall support concurrent users across multiple shops without performance degradation.</w:t>
            </w:r>
          </w:p>
        </w:tc>
        <w:tc>
          <w:tcPr>
            <w:tcW w:type="dxa" w:w="1008"/>
            <w:vAlign w:val="top"/>
          </w:tcPr>
          <w:p>
            <w:r/>
            <w:r>
              <w:rPr>
                <w:sz w:val="20"/>
              </w:rPr>
              <w:t>Must</w:t>
            </w:r>
          </w:p>
        </w:tc>
      </w:tr>
      <w:tr>
        <w:tc>
          <w:tcPr>
            <w:tcW w:type="dxa" w:w="1008"/>
            <w:vAlign w:val="top"/>
          </w:tcPr>
          <w:p>
            <w:r/>
            <w:r>
              <w:rPr>
                <w:sz w:val="20"/>
              </w:rPr>
              <w:t>BR-16</w:t>
            </w:r>
          </w:p>
        </w:tc>
        <w:tc>
          <w:tcPr>
            <w:tcW w:type="dxa" w:w="7200"/>
            <w:vAlign w:val="top"/>
          </w:tcPr>
          <w:p>
            <w:r/>
            <w:r>
              <w:rPr>
                <w:sz w:val="20"/>
              </w:rPr>
              <w:t>The system shall provide an admin console to manage users, roles, master data, and configuration.</w:t>
            </w:r>
          </w:p>
        </w:tc>
        <w:tc>
          <w:tcPr>
            <w:tcW w:type="dxa" w:w="1008"/>
            <w:vAlign w:val="top"/>
          </w:tcPr>
          <w:p>
            <w:r/>
            <w:r>
              <w:rPr>
                <w:sz w:val="20"/>
              </w:rPr>
              <w:t>Must</w:t>
            </w:r>
          </w:p>
        </w:tc>
      </w:tr>
      <w:tr>
        <w:tc>
          <w:tcPr>
            <w:tcW w:type="dxa" w:w="1008"/>
            <w:vAlign w:val="top"/>
          </w:tcPr>
          <w:p>
            <w:r/>
            <w:r>
              <w:rPr>
                <w:sz w:val="20"/>
              </w:rPr>
              <w:t>BR-17</w:t>
            </w:r>
          </w:p>
        </w:tc>
        <w:tc>
          <w:tcPr>
            <w:tcW w:type="dxa" w:w="7200"/>
            <w:vAlign w:val="top"/>
          </w:tcPr>
          <w:p>
            <w:r/>
            <w:r>
              <w:rPr>
                <w:sz w:val="20"/>
              </w:rPr>
              <w:t>The system shall allow attachments (drawings, isos, photos, RT reports) within configured limits.</w:t>
            </w:r>
          </w:p>
        </w:tc>
        <w:tc>
          <w:tcPr>
            <w:tcW w:type="dxa" w:w="1008"/>
            <w:vAlign w:val="top"/>
          </w:tcPr>
          <w:p>
            <w:r/>
            <w:r>
              <w:rPr>
                <w:sz w:val="20"/>
              </w:rPr>
              <w:t>Should</w:t>
            </w:r>
          </w:p>
        </w:tc>
      </w:tr>
      <w:tr>
        <w:tc>
          <w:tcPr>
            <w:tcW w:type="dxa" w:w="1008"/>
            <w:vAlign w:val="top"/>
          </w:tcPr>
          <w:p>
            <w:r/>
            <w:r>
              <w:rPr>
                <w:sz w:val="20"/>
              </w:rPr>
              <w:t>BR-18</w:t>
            </w:r>
          </w:p>
        </w:tc>
        <w:tc>
          <w:tcPr>
            <w:tcW w:type="dxa" w:w="7200"/>
            <w:vAlign w:val="top"/>
          </w:tcPr>
          <w:p>
            <w:r/>
            <w:r>
              <w:rPr>
                <w:sz w:val="20"/>
              </w:rPr>
              <w:t>The system shall support offline drafting of intimations and automatic sync upon reconnection.</w:t>
            </w:r>
          </w:p>
        </w:tc>
        <w:tc>
          <w:tcPr>
            <w:tcW w:type="dxa" w:w="1008"/>
            <w:vAlign w:val="top"/>
          </w:tcPr>
          <w:p>
            <w:r/>
            <w:r>
              <w:rPr>
                <w:sz w:val="20"/>
              </w:rPr>
              <w:t>Should</w:t>
            </w:r>
          </w:p>
        </w:tc>
      </w:tr>
      <w:tr>
        <w:tc>
          <w:tcPr>
            <w:tcW w:type="dxa" w:w="1008"/>
            <w:vAlign w:val="top"/>
          </w:tcPr>
          <w:p>
            <w:r/>
            <w:r>
              <w:rPr>
                <w:sz w:val="20"/>
              </w:rPr>
              <w:t>BR-19</w:t>
            </w:r>
          </w:p>
        </w:tc>
        <w:tc>
          <w:tcPr>
            <w:tcW w:type="dxa" w:w="7200"/>
            <w:vAlign w:val="top"/>
          </w:tcPr>
          <w:p>
            <w:r/>
            <w:r>
              <w:rPr>
                <w:sz w:val="20"/>
              </w:rPr>
              <w:t>The system shall be extensible to additional NDT methods in future releases.</w:t>
            </w:r>
          </w:p>
        </w:tc>
        <w:tc>
          <w:tcPr>
            <w:tcW w:type="dxa" w:w="1008"/>
            <w:vAlign w:val="top"/>
          </w:tcPr>
          <w:p>
            <w:r/>
            <w:r>
              <w:rPr>
                <w:sz w:val="20"/>
              </w:rPr>
              <w:t>Should</w:t>
            </w:r>
          </w:p>
        </w:tc>
      </w:tr>
      <w:tr>
        <w:tc>
          <w:tcPr>
            <w:tcW w:type="dxa" w:w="1008"/>
            <w:vAlign w:val="top"/>
          </w:tcPr>
          <w:p>
            <w:r/>
            <w:r>
              <w:rPr>
                <w:sz w:val="20"/>
              </w:rPr>
              <w:t>BR-20</w:t>
            </w:r>
          </w:p>
        </w:tc>
        <w:tc>
          <w:tcPr>
            <w:tcW w:type="dxa" w:w="7200"/>
            <w:vAlign w:val="top"/>
          </w:tcPr>
          <w:p>
            <w:r/>
            <w:r>
              <w:rPr>
                <w:sz w:val="20"/>
              </w:rPr>
              <w:t>The system shall provide configurable SLAs and escalation rules.</w:t>
            </w:r>
          </w:p>
        </w:tc>
        <w:tc>
          <w:tcPr>
            <w:tcW w:type="dxa" w:w="1008"/>
            <w:vAlign w:val="top"/>
          </w:tcPr>
          <w:p>
            <w:r/>
            <w:r>
              <w:rPr>
                <w:sz w:val="20"/>
              </w:rPr>
              <w:t>Should</w:t>
            </w:r>
          </w:p>
        </w:tc>
      </w:tr>
    </w:tbl>
    <w:p>
      <w:pPr>
        <w:pStyle w:val="Heading1"/>
      </w:pPr>
      <w:r>
        <w:rPr>
          <w:color w:val="1F3A5F"/>
        </w:rPr>
        <w:t>8. Non-Functional Requirements (Business View)</w:t>
      </w:r>
    </w:p>
    <w:p>
      <w:r>
        <w:rPr>
          <w:b w:val="0"/>
          <w:i w:val="0"/>
          <w:sz w:val="22"/>
        </w:rPr>
        <w:t>This section captures non-functional expectations at a business level. Technical thresholds, design choices and test criteria are detailed in the companion FDD.</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1152"/>
            <w:shd w:val="clear" w:color="auto" w:fill="1F3A5F"/>
            <w:vAlign w:val="center"/>
          </w:tcPr>
          <w:p>
            <w:r/>
            <w:r>
              <w:rPr>
                <w:b/>
                <w:color w:val="FFFFFF"/>
                <w:sz w:val="20"/>
              </w:rPr>
              <w:t>NFR ID</w:t>
            </w:r>
          </w:p>
        </w:tc>
        <w:tc>
          <w:tcPr>
            <w:tcW w:type="dxa" w:w="1728"/>
            <w:shd w:val="clear" w:color="auto" w:fill="1F3A5F"/>
            <w:vAlign w:val="center"/>
          </w:tcPr>
          <w:p>
            <w:r/>
            <w:r>
              <w:rPr>
                <w:b/>
                <w:color w:val="FFFFFF"/>
                <w:sz w:val="20"/>
              </w:rPr>
              <w:t>Category</w:t>
            </w:r>
          </w:p>
        </w:tc>
        <w:tc>
          <w:tcPr>
            <w:tcW w:type="dxa" w:w="6336"/>
            <w:shd w:val="clear" w:color="auto" w:fill="1F3A5F"/>
            <w:vAlign w:val="center"/>
          </w:tcPr>
          <w:p>
            <w:r/>
            <w:r>
              <w:rPr>
                <w:b/>
                <w:color w:val="FFFFFF"/>
                <w:sz w:val="20"/>
              </w:rPr>
              <w:t>Requirement</w:t>
            </w:r>
          </w:p>
        </w:tc>
      </w:tr>
      <w:tr>
        <w:tc>
          <w:tcPr>
            <w:tcW w:type="dxa" w:w="1152"/>
            <w:vAlign w:val="top"/>
          </w:tcPr>
          <w:p>
            <w:r/>
            <w:r>
              <w:rPr>
                <w:sz w:val="20"/>
              </w:rPr>
              <w:t>NFR-01</w:t>
            </w:r>
          </w:p>
        </w:tc>
        <w:tc>
          <w:tcPr>
            <w:tcW w:type="dxa" w:w="1728"/>
            <w:vAlign w:val="top"/>
          </w:tcPr>
          <w:p>
            <w:r/>
            <w:r>
              <w:rPr>
                <w:sz w:val="20"/>
              </w:rPr>
              <w:t>Performance</w:t>
            </w:r>
          </w:p>
        </w:tc>
        <w:tc>
          <w:tcPr>
            <w:tcW w:type="dxa" w:w="6336"/>
            <w:vAlign w:val="top"/>
          </w:tcPr>
          <w:p>
            <w:r/>
            <w:r>
              <w:rPr>
                <w:sz w:val="20"/>
              </w:rPr>
              <w:t>Page response time ≤ 2 seconds for 95% of transactions under nominal load.</w:t>
            </w:r>
          </w:p>
        </w:tc>
      </w:tr>
      <w:tr>
        <w:tc>
          <w:tcPr>
            <w:tcW w:type="dxa" w:w="1152"/>
            <w:vAlign w:val="top"/>
          </w:tcPr>
          <w:p>
            <w:r/>
            <w:r>
              <w:rPr>
                <w:sz w:val="20"/>
              </w:rPr>
              <w:t>NFR-02</w:t>
            </w:r>
          </w:p>
        </w:tc>
        <w:tc>
          <w:tcPr>
            <w:tcW w:type="dxa" w:w="1728"/>
            <w:vAlign w:val="top"/>
          </w:tcPr>
          <w:p>
            <w:r/>
            <w:r>
              <w:rPr>
                <w:sz w:val="20"/>
              </w:rPr>
              <w:t>Performance</w:t>
            </w:r>
          </w:p>
        </w:tc>
        <w:tc>
          <w:tcPr>
            <w:tcW w:type="dxa" w:w="6336"/>
            <w:vAlign w:val="top"/>
          </w:tcPr>
          <w:p>
            <w:r/>
            <w:r>
              <w:rPr>
                <w:sz w:val="20"/>
              </w:rPr>
              <w:t>System shall support 500 concurrent users with no degradation; peak load 1,000 users.</w:t>
            </w:r>
          </w:p>
        </w:tc>
      </w:tr>
      <w:tr>
        <w:tc>
          <w:tcPr>
            <w:tcW w:type="dxa" w:w="1152"/>
            <w:vAlign w:val="top"/>
          </w:tcPr>
          <w:p>
            <w:r/>
            <w:r>
              <w:rPr>
                <w:sz w:val="20"/>
              </w:rPr>
              <w:t>NFR-03</w:t>
            </w:r>
          </w:p>
        </w:tc>
        <w:tc>
          <w:tcPr>
            <w:tcW w:type="dxa" w:w="1728"/>
            <w:vAlign w:val="top"/>
          </w:tcPr>
          <w:p>
            <w:r/>
            <w:r>
              <w:rPr>
                <w:sz w:val="20"/>
              </w:rPr>
              <w:t>Availability</w:t>
            </w:r>
          </w:p>
        </w:tc>
        <w:tc>
          <w:tcPr>
            <w:tcW w:type="dxa" w:w="6336"/>
            <w:vAlign w:val="top"/>
          </w:tcPr>
          <w:p>
            <w:r/>
            <w:r>
              <w:rPr>
                <w:sz w:val="20"/>
              </w:rPr>
              <w:t>System uptime ≥ 99.5% on a monthly basis, excluding planned maintenance.</w:t>
            </w:r>
          </w:p>
        </w:tc>
      </w:tr>
      <w:tr>
        <w:tc>
          <w:tcPr>
            <w:tcW w:type="dxa" w:w="1152"/>
            <w:vAlign w:val="top"/>
          </w:tcPr>
          <w:p>
            <w:r/>
            <w:r>
              <w:rPr>
                <w:sz w:val="20"/>
              </w:rPr>
              <w:t>NFR-04</w:t>
            </w:r>
          </w:p>
        </w:tc>
        <w:tc>
          <w:tcPr>
            <w:tcW w:type="dxa" w:w="1728"/>
            <w:vAlign w:val="top"/>
          </w:tcPr>
          <w:p>
            <w:r/>
            <w:r>
              <w:rPr>
                <w:sz w:val="20"/>
              </w:rPr>
              <w:t>Scalability</w:t>
            </w:r>
          </w:p>
        </w:tc>
        <w:tc>
          <w:tcPr>
            <w:tcW w:type="dxa" w:w="6336"/>
            <w:vAlign w:val="top"/>
          </w:tcPr>
          <w:p>
            <w:r/>
            <w:r>
              <w:rPr>
                <w:sz w:val="20"/>
              </w:rPr>
              <w:t>Architecture shall scale horizontally to support additional plants/shops.</w:t>
            </w:r>
          </w:p>
        </w:tc>
      </w:tr>
      <w:tr>
        <w:tc>
          <w:tcPr>
            <w:tcW w:type="dxa" w:w="1152"/>
            <w:vAlign w:val="top"/>
          </w:tcPr>
          <w:p>
            <w:r/>
            <w:r>
              <w:rPr>
                <w:sz w:val="20"/>
              </w:rPr>
              <w:t>NFR-05</w:t>
            </w:r>
          </w:p>
        </w:tc>
        <w:tc>
          <w:tcPr>
            <w:tcW w:type="dxa" w:w="1728"/>
            <w:vAlign w:val="top"/>
          </w:tcPr>
          <w:p>
            <w:r/>
            <w:r>
              <w:rPr>
                <w:sz w:val="20"/>
              </w:rPr>
              <w:t>Security</w:t>
            </w:r>
          </w:p>
        </w:tc>
        <w:tc>
          <w:tcPr>
            <w:tcW w:type="dxa" w:w="6336"/>
            <w:vAlign w:val="top"/>
          </w:tcPr>
          <w:p>
            <w:r/>
            <w:r>
              <w:rPr>
                <w:sz w:val="20"/>
              </w:rPr>
              <w:t>All traffic over HTTPS (TLS 1.2+); data at rest encrypted (AES-256).</w:t>
            </w:r>
          </w:p>
        </w:tc>
      </w:tr>
      <w:tr>
        <w:tc>
          <w:tcPr>
            <w:tcW w:type="dxa" w:w="1152"/>
            <w:vAlign w:val="top"/>
          </w:tcPr>
          <w:p>
            <w:r/>
            <w:r>
              <w:rPr>
                <w:sz w:val="20"/>
              </w:rPr>
              <w:t>NFR-06</w:t>
            </w:r>
          </w:p>
        </w:tc>
        <w:tc>
          <w:tcPr>
            <w:tcW w:type="dxa" w:w="1728"/>
            <w:vAlign w:val="top"/>
          </w:tcPr>
          <w:p>
            <w:r/>
            <w:r>
              <w:rPr>
                <w:sz w:val="20"/>
              </w:rPr>
              <w:t>Security</w:t>
            </w:r>
          </w:p>
        </w:tc>
        <w:tc>
          <w:tcPr>
            <w:tcW w:type="dxa" w:w="6336"/>
            <w:vAlign w:val="top"/>
          </w:tcPr>
          <w:p>
            <w:r/>
            <w:r>
              <w:rPr>
                <w:sz w:val="20"/>
              </w:rPr>
              <w:t>Role-based access control enforced on every API call (server-side authorization).</w:t>
            </w:r>
          </w:p>
        </w:tc>
      </w:tr>
      <w:tr>
        <w:tc>
          <w:tcPr>
            <w:tcW w:type="dxa" w:w="1152"/>
            <w:vAlign w:val="top"/>
          </w:tcPr>
          <w:p>
            <w:r/>
            <w:r>
              <w:rPr>
                <w:sz w:val="20"/>
              </w:rPr>
              <w:t>NFR-07</w:t>
            </w:r>
          </w:p>
        </w:tc>
        <w:tc>
          <w:tcPr>
            <w:tcW w:type="dxa" w:w="1728"/>
            <w:vAlign w:val="top"/>
          </w:tcPr>
          <w:p>
            <w:r/>
            <w:r>
              <w:rPr>
                <w:sz w:val="20"/>
              </w:rPr>
              <w:t>Security</w:t>
            </w:r>
          </w:p>
        </w:tc>
        <w:tc>
          <w:tcPr>
            <w:tcW w:type="dxa" w:w="6336"/>
            <w:vAlign w:val="top"/>
          </w:tcPr>
          <w:p>
            <w:r/>
            <w:r>
              <w:rPr>
                <w:sz w:val="20"/>
              </w:rPr>
              <w:t>OWASP Top 10 controls implemented; periodic VAPT before each major release.</w:t>
            </w:r>
          </w:p>
        </w:tc>
      </w:tr>
      <w:tr>
        <w:tc>
          <w:tcPr>
            <w:tcW w:type="dxa" w:w="1152"/>
            <w:vAlign w:val="top"/>
          </w:tcPr>
          <w:p>
            <w:r/>
            <w:r>
              <w:rPr>
                <w:sz w:val="20"/>
              </w:rPr>
              <w:t>NFR-08</w:t>
            </w:r>
          </w:p>
        </w:tc>
        <w:tc>
          <w:tcPr>
            <w:tcW w:type="dxa" w:w="1728"/>
            <w:vAlign w:val="top"/>
          </w:tcPr>
          <w:p>
            <w:r/>
            <w:r>
              <w:rPr>
                <w:sz w:val="20"/>
              </w:rPr>
              <w:t>Usability</w:t>
            </w:r>
          </w:p>
        </w:tc>
        <w:tc>
          <w:tcPr>
            <w:tcW w:type="dxa" w:w="6336"/>
            <w:vAlign w:val="top"/>
          </w:tcPr>
          <w:p>
            <w:r/>
            <w:r>
              <w:rPr>
                <w:sz w:val="20"/>
              </w:rPr>
              <w:t>Mobile-first responsive UI; usable on screens ≥ 5 inches; complies with WCAG 2.1 AA where feasible.</w:t>
            </w:r>
          </w:p>
        </w:tc>
      </w:tr>
      <w:tr>
        <w:tc>
          <w:tcPr>
            <w:tcW w:type="dxa" w:w="1152"/>
            <w:vAlign w:val="top"/>
          </w:tcPr>
          <w:p>
            <w:r/>
            <w:r>
              <w:rPr>
                <w:sz w:val="20"/>
              </w:rPr>
              <w:t>NFR-09</w:t>
            </w:r>
          </w:p>
        </w:tc>
        <w:tc>
          <w:tcPr>
            <w:tcW w:type="dxa" w:w="1728"/>
            <w:vAlign w:val="top"/>
          </w:tcPr>
          <w:p>
            <w:r/>
            <w:r>
              <w:rPr>
                <w:sz w:val="20"/>
              </w:rPr>
              <w:t>Compatibility</w:t>
            </w:r>
          </w:p>
        </w:tc>
        <w:tc>
          <w:tcPr>
            <w:tcW w:type="dxa" w:w="6336"/>
            <w:vAlign w:val="top"/>
          </w:tcPr>
          <w:p>
            <w:r/>
            <w:r>
              <w:rPr>
                <w:sz w:val="20"/>
              </w:rPr>
              <w:t>Latest two major versions of Chrome, Edge, Firefox, and Safari supported.</w:t>
            </w:r>
          </w:p>
        </w:tc>
      </w:tr>
      <w:tr>
        <w:tc>
          <w:tcPr>
            <w:tcW w:type="dxa" w:w="1152"/>
            <w:vAlign w:val="top"/>
          </w:tcPr>
          <w:p>
            <w:r/>
            <w:r>
              <w:rPr>
                <w:sz w:val="20"/>
              </w:rPr>
              <w:t>NFR-10</w:t>
            </w:r>
          </w:p>
        </w:tc>
        <w:tc>
          <w:tcPr>
            <w:tcW w:type="dxa" w:w="1728"/>
            <w:vAlign w:val="top"/>
          </w:tcPr>
          <w:p>
            <w:r/>
            <w:r>
              <w:rPr>
                <w:sz w:val="20"/>
              </w:rPr>
              <w:t>Offline</w:t>
            </w:r>
          </w:p>
        </w:tc>
        <w:tc>
          <w:tcPr>
            <w:tcW w:type="dxa" w:w="6336"/>
            <w:vAlign w:val="top"/>
          </w:tcPr>
          <w:p>
            <w:r/>
            <w:r>
              <w:rPr>
                <w:sz w:val="20"/>
              </w:rPr>
              <w:t>PWA shall support offline drafting of intimations and automatic sync upon reconnection.</w:t>
            </w:r>
          </w:p>
        </w:tc>
      </w:tr>
      <w:tr>
        <w:tc>
          <w:tcPr>
            <w:tcW w:type="dxa" w:w="1152"/>
            <w:vAlign w:val="top"/>
          </w:tcPr>
          <w:p>
            <w:r/>
            <w:r>
              <w:rPr>
                <w:sz w:val="20"/>
              </w:rPr>
              <w:t>NFR-11</w:t>
            </w:r>
          </w:p>
        </w:tc>
        <w:tc>
          <w:tcPr>
            <w:tcW w:type="dxa" w:w="1728"/>
            <w:vAlign w:val="top"/>
          </w:tcPr>
          <w:p>
            <w:r/>
            <w:r>
              <w:rPr>
                <w:sz w:val="20"/>
              </w:rPr>
              <w:t>Auditability</w:t>
            </w:r>
          </w:p>
        </w:tc>
        <w:tc>
          <w:tcPr>
            <w:tcW w:type="dxa" w:w="6336"/>
            <w:vAlign w:val="top"/>
          </w:tcPr>
          <w:p>
            <w:r/>
            <w:r>
              <w:rPr>
                <w:sz w:val="20"/>
              </w:rPr>
              <w:t>All critical actions logged with actor, timestamp, source IP, and before/after values.</w:t>
            </w:r>
          </w:p>
        </w:tc>
      </w:tr>
      <w:tr>
        <w:tc>
          <w:tcPr>
            <w:tcW w:type="dxa" w:w="1152"/>
            <w:vAlign w:val="top"/>
          </w:tcPr>
          <w:p>
            <w:r/>
            <w:r>
              <w:rPr>
                <w:sz w:val="20"/>
              </w:rPr>
              <w:t>NFR-12</w:t>
            </w:r>
          </w:p>
        </w:tc>
        <w:tc>
          <w:tcPr>
            <w:tcW w:type="dxa" w:w="1728"/>
            <w:vAlign w:val="top"/>
          </w:tcPr>
          <w:p>
            <w:r/>
            <w:r>
              <w:rPr>
                <w:sz w:val="20"/>
              </w:rPr>
              <w:t>Maintainability</w:t>
            </w:r>
          </w:p>
        </w:tc>
        <w:tc>
          <w:tcPr>
            <w:tcW w:type="dxa" w:w="6336"/>
            <w:vAlign w:val="top"/>
          </w:tcPr>
          <w:p>
            <w:r/>
            <w:r>
              <w:rPr>
                <w:sz w:val="20"/>
              </w:rPr>
              <w:t>Modular architecture; configuration changes shall not require code release where feasible.</w:t>
            </w:r>
          </w:p>
        </w:tc>
      </w:tr>
      <w:tr>
        <w:tc>
          <w:tcPr>
            <w:tcW w:type="dxa" w:w="1152"/>
            <w:vAlign w:val="top"/>
          </w:tcPr>
          <w:p>
            <w:r/>
            <w:r>
              <w:rPr>
                <w:sz w:val="20"/>
              </w:rPr>
              <w:t>NFR-13</w:t>
            </w:r>
          </w:p>
        </w:tc>
        <w:tc>
          <w:tcPr>
            <w:tcW w:type="dxa" w:w="1728"/>
            <w:vAlign w:val="top"/>
          </w:tcPr>
          <w:p>
            <w:r/>
            <w:r>
              <w:rPr>
                <w:sz w:val="20"/>
              </w:rPr>
              <w:t>Backup &amp; DR</w:t>
            </w:r>
          </w:p>
        </w:tc>
        <w:tc>
          <w:tcPr>
            <w:tcW w:type="dxa" w:w="6336"/>
            <w:vAlign w:val="top"/>
          </w:tcPr>
          <w:p>
            <w:r/>
            <w:r>
              <w:rPr>
                <w:sz w:val="20"/>
              </w:rPr>
              <w:t>Daily automated backup; RPO ≤ 24 hours; RTO ≤ 4 hours.</w:t>
            </w:r>
          </w:p>
        </w:tc>
      </w:tr>
      <w:tr>
        <w:tc>
          <w:tcPr>
            <w:tcW w:type="dxa" w:w="1152"/>
            <w:vAlign w:val="top"/>
          </w:tcPr>
          <w:p>
            <w:r/>
            <w:r>
              <w:rPr>
                <w:sz w:val="20"/>
              </w:rPr>
              <w:t>NFR-14</w:t>
            </w:r>
          </w:p>
        </w:tc>
        <w:tc>
          <w:tcPr>
            <w:tcW w:type="dxa" w:w="1728"/>
            <w:vAlign w:val="top"/>
          </w:tcPr>
          <w:p>
            <w:r/>
            <w:r>
              <w:rPr>
                <w:sz w:val="20"/>
              </w:rPr>
              <w:t>Localization</w:t>
            </w:r>
          </w:p>
        </w:tc>
        <w:tc>
          <w:tcPr>
            <w:tcW w:type="dxa" w:w="6336"/>
            <w:vAlign w:val="top"/>
          </w:tcPr>
          <w:p>
            <w:r/>
            <w:r>
              <w:rPr>
                <w:sz w:val="20"/>
              </w:rPr>
              <w:t>UI shall be in English; date/time displayed in local plant timezone with UTC stored internally.</w:t>
            </w:r>
          </w:p>
        </w:tc>
      </w:tr>
      <w:tr>
        <w:tc>
          <w:tcPr>
            <w:tcW w:type="dxa" w:w="1152"/>
            <w:vAlign w:val="top"/>
          </w:tcPr>
          <w:p>
            <w:r/>
            <w:r>
              <w:rPr>
                <w:sz w:val="20"/>
              </w:rPr>
              <w:t>NFR-15</w:t>
            </w:r>
          </w:p>
        </w:tc>
        <w:tc>
          <w:tcPr>
            <w:tcW w:type="dxa" w:w="1728"/>
            <w:vAlign w:val="top"/>
          </w:tcPr>
          <w:p>
            <w:r/>
            <w:r>
              <w:rPr>
                <w:sz w:val="20"/>
              </w:rPr>
              <w:t>Compliance</w:t>
            </w:r>
          </w:p>
        </w:tc>
        <w:tc>
          <w:tcPr>
            <w:tcW w:type="dxa" w:w="6336"/>
            <w:vAlign w:val="top"/>
          </w:tcPr>
          <w:p>
            <w:r/>
            <w:r>
              <w:rPr>
                <w:sz w:val="20"/>
              </w:rPr>
              <w:t>System shall align with ISO 27001 controls and applicable customer/statutory inspection standards.</w:t>
            </w:r>
          </w:p>
        </w:tc>
      </w:tr>
    </w:tbl>
    <w:p>
      <w:pPr>
        <w:pStyle w:val="Heading1"/>
      </w:pPr>
      <w:r>
        <w:rPr>
          <w:color w:val="1F3A5F"/>
        </w:rPr>
        <w:t>9. Constraints</w:t>
      </w:r>
    </w:p>
    <w:p>
      <w:pPr>
        <w:pStyle w:val="ListBullet"/>
      </w:pPr>
      <w:r>
        <w:rPr>
          <w:sz w:val="22"/>
        </w:rPr>
        <w:t>Must integrate with the existing corporate AD and SSO; no parallel identity provider for employees.</w:t>
      </w:r>
    </w:p>
    <w:p>
      <w:pPr>
        <w:pStyle w:val="ListBullet"/>
      </w:pPr>
      <w:r>
        <w:rPr>
          <w:sz w:val="22"/>
        </w:rPr>
        <w:t>Must be hosted within the corporate network/approved cloud; cross-border data transfer is not permitted.</w:t>
      </w:r>
    </w:p>
    <w:p>
      <w:pPr>
        <w:pStyle w:val="ListBullet"/>
      </w:pPr>
      <w:r>
        <w:rPr>
          <w:sz w:val="22"/>
        </w:rPr>
        <w:t>Delivery is exclusively via PWA in this release; native mobile apps are not in scope.</w:t>
      </w:r>
    </w:p>
    <w:p>
      <w:pPr>
        <w:pStyle w:val="ListBullet"/>
      </w:pPr>
      <w:r>
        <w:rPr>
          <w:sz w:val="22"/>
        </w:rPr>
        <w:t>Must comply with corporate ISMS, password policy, encryption standards, and data retention policy.</w:t>
      </w:r>
    </w:p>
    <w:p>
      <w:pPr>
        <w:pStyle w:val="ListBullet"/>
      </w:pPr>
      <w:r>
        <w:rPr>
          <w:sz w:val="22"/>
        </w:rPr>
        <w:t>Browsers older than the latest two major versions are not supported.</w:t>
      </w:r>
    </w:p>
    <w:p>
      <w:pPr>
        <w:pStyle w:val="ListBullet"/>
      </w:pPr>
      <w:r>
        <w:rPr>
          <w:sz w:val="22"/>
        </w:rPr>
        <w:t>No direct database access for end users; all interactions occur via the application APIs.</w:t>
      </w:r>
    </w:p>
    <w:p>
      <w:pPr>
        <w:pStyle w:val="ListBullet"/>
      </w:pPr>
      <w:r>
        <w:rPr>
          <w:sz w:val="22"/>
        </w:rPr>
        <w:t>Interfaces with ERP/MES/QMS, if any, are limited to read-only references in this phase.</w:t>
      </w:r>
    </w:p>
    <w:p>
      <w:pPr>
        <w:pStyle w:val="ListBullet"/>
      </w:pPr>
      <w:r>
        <w:rPr>
          <w:sz w:val="22"/>
        </w:rPr>
        <w:t>Project budget and timeline are fixed; out-of-scope items will be considered for Phase 2.</w:t>
      </w:r>
    </w:p>
    <w:p>
      <w:pPr>
        <w:pStyle w:val="Heading1"/>
      </w:pPr>
      <w:r>
        <w:rPr>
          <w:color w:val="1F3A5F"/>
        </w:rPr>
        <w:t>10. Assumptions</w:t>
      </w:r>
    </w:p>
    <w:p>
      <w:pPr>
        <w:pStyle w:val="ListBullet"/>
      </w:pPr>
      <w:r>
        <w:rPr>
          <w:sz w:val="22"/>
        </w:rPr>
        <w:t>AD groups for the required roles can be created and maintained by IT.</w:t>
      </w:r>
    </w:p>
    <w:p>
      <w:pPr>
        <w:pStyle w:val="ListBullet"/>
      </w:pPr>
      <w:r>
        <w:rPr>
          <w:sz w:val="22"/>
        </w:rPr>
        <w:t>Master data (shops, welders, procedures, RT methods, drawings) will be made available before UAT.</w:t>
      </w:r>
    </w:p>
    <w:p>
      <w:pPr>
        <w:pStyle w:val="ListBullet"/>
      </w:pPr>
      <w:r>
        <w:rPr>
          <w:sz w:val="22"/>
        </w:rPr>
        <w:t>Sufficient Wi-Fi/4G coverage is available across the shop floor for typical operations; offline mode handles intermittent gaps.</w:t>
      </w:r>
    </w:p>
    <w:p>
      <w:pPr>
        <w:pStyle w:val="ListBullet"/>
      </w:pPr>
      <w:r>
        <w:rPr>
          <w:sz w:val="22"/>
        </w:rPr>
        <w:t>Devices used on the shop floor (tablets/phones) meet the minimum browser and OS requirements.</w:t>
      </w:r>
    </w:p>
    <w:p>
      <w:pPr>
        <w:pStyle w:val="ListBullet"/>
      </w:pPr>
      <w:r>
        <w:rPr>
          <w:sz w:val="22"/>
        </w:rPr>
        <w:t>Stakeholders will be available for SIT/UAT, training, and sign-off as per project plan.</w:t>
      </w:r>
    </w:p>
    <w:p>
      <w:pPr>
        <w:pStyle w:val="ListBullet"/>
      </w:pPr>
      <w:r>
        <w:rPr>
          <w:sz w:val="22"/>
        </w:rPr>
        <w:t>Email/SMTP and (optional) SMS/Teams gateways will be provisioned by IT for notifications.</w:t>
      </w:r>
    </w:p>
    <w:p>
      <w:pPr>
        <w:pStyle w:val="ListBullet"/>
      </w:pPr>
      <w:r>
        <w:rPr>
          <w:sz w:val="22"/>
        </w:rPr>
        <w:t>Backup, DR, monitoring, and security operations will leverage existing corporate services.</w:t>
      </w:r>
    </w:p>
    <w:p>
      <w:pPr>
        <w:pStyle w:val="ListBullet"/>
      </w:pPr>
      <w:r>
        <w:rPr>
          <w:sz w:val="22"/>
        </w:rPr>
        <w:t>A change-management plan will accompany rollout (training, SOP updates, communication).</w:t>
      </w:r>
    </w:p>
    <w:p>
      <w:pPr>
        <w:pStyle w:val="Heading1"/>
      </w:pPr>
      <w:r>
        <w:rPr>
          <w:color w:val="1F3A5F"/>
        </w:rPr>
        <w:t>11. Risks &amp; Mitigation</w:t>
      </w:r>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432"/>
            <w:shd w:val="clear" w:color="auto" w:fill="1F3A5F"/>
            <w:vAlign w:val="center"/>
          </w:tcPr>
          <w:p>
            <w:r/>
            <w:r>
              <w:rPr>
                <w:b/>
                <w:color w:val="FFFFFF"/>
                <w:sz w:val="20"/>
              </w:rPr>
              <w:t>#</w:t>
            </w:r>
          </w:p>
        </w:tc>
        <w:tc>
          <w:tcPr>
            <w:tcW w:type="dxa" w:w="2880"/>
            <w:shd w:val="clear" w:color="auto" w:fill="1F3A5F"/>
            <w:vAlign w:val="center"/>
          </w:tcPr>
          <w:p>
            <w:r/>
            <w:r>
              <w:rPr>
                <w:b/>
                <w:color w:val="FFFFFF"/>
                <w:sz w:val="20"/>
              </w:rPr>
              <w:t>Risk</w:t>
            </w:r>
          </w:p>
        </w:tc>
        <w:tc>
          <w:tcPr>
            <w:tcW w:type="dxa" w:w="1008"/>
            <w:shd w:val="clear" w:color="auto" w:fill="1F3A5F"/>
            <w:vAlign w:val="center"/>
          </w:tcPr>
          <w:p>
            <w:r/>
            <w:r>
              <w:rPr>
                <w:b/>
                <w:color w:val="FFFFFF"/>
                <w:sz w:val="20"/>
              </w:rPr>
              <w:t>Impact</w:t>
            </w:r>
          </w:p>
        </w:tc>
        <w:tc>
          <w:tcPr>
            <w:tcW w:type="dxa" w:w="1152"/>
            <w:shd w:val="clear" w:color="auto" w:fill="1F3A5F"/>
            <w:vAlign w:val="center"/>
          </w:tcPr>
          <w:p>
            <w:r/>
            <w:r>
              <w:rPr>
                <w:b/>
                <w:color w:val="FFFFFF"/>
                <w:sz w:val="20"/>
              </w:rPr>
              <w:t>Likelihood</w:t>
            </w:r>
          </w:p>
        </w:tc>
        <w:tc>
          <w:tcPr>
            <w:tcW w:type="dxa" w:w="4032"/>
            <w:shd w:val="clear" w:color="auto" w:fill="1F3A5F"/>
            <w:vAlign w:val="center"/>
          </w:tcPr>
          <w:p>
            <w:r/>
            <w:r>
              <w:rPr>
                <w:b/>
                <w:color w:val="FFFFFF"/>
                <w:sz w:val="20"/>
              </w:rPr>
              <w:t>Mitigation</w:t>
            </w:r>
          </w:p>
        </w:tc>
      </w:tr>
      <w:tr>
        <w:tc>
          <w:tcPr>
            <w:tcW w:type="dxa" w:w="432"/>
            <w:vAlign w:val="top"/>
          </w:tcPr>
          <w:p>
            <w:r/>
            <w:r>
              <w:rPr>
                <w:sz w:val="20"/>
              </w:rPr>
              <w:t>1</w:t>
            </w:r>
          </w:p>
        </w:tc>
        <w:tc>
          <w:tcPr>
            <w:tcW w:type="dxa" w:w="2880"/>
            <w:vAlign w:val="top"/>
          </w:tcPr>
          <w:p>
            <w:r/>
            <w:r>
              <w:rPr>
                <w:sz w:val="20"/>
              </w:rPr>
              <w:t>Low user adoption due to change resistance</w:t>
            </w:r>
          </w:p>
        </w:tc>
        <w:tc>
          <w:tcPr>
            <w:tcW w:type="dxa" w:w="1008"/>
            <w:vAlign w:val="top"/>
          </w:tcPr>
          <w:p>
            <w:r/>
            <w:r>
              <w:rPr>
                <w:sz w:val="20"/>
              </w:rPr>
              <w:t>High</w:t>
            </w:r>
          </w:p>
        </w:tc>
        <w:tc>
          <w:tcPr>
            <w:tcW w:type="dxa" w:w="1152"/>
            <w:vAlign w:val="top"/>
          </w:tcPr>
          <w:p>
            <w:r/>
            <w:r>
              <w:rPr>
                <w:sz w:val="20"/>
              </w:rPr>
              <w:t>Medium</w:t>
            </w:r>
          </w:p>
        </w:tc>
        <w:tc>
          <w:tcPr>
            <w:tcW w:type="dxa" w:w="4032"/>
            <w:vAlign w:val="top"/>
          </w:tcPr>
          <w:p>
            <w:r/>
            <w:r>
              <w:rPr>
                <w:sz w:val="20"/>
              </w:rPr>
              <w:t>Early user involvement, training, super-users per shop, phased rollout, leadership sponsorship.</w:t>
            </w:r>
          </w:p>
        </w:tc>
      </w:tr>
      <w:tr>
        <w:tc>
          <w:tcPr>
            <w:tcW w:type="dxa" w:w="432"/>
            <w:vAlign w:val="top"/>
          </w:tcPr>
          <w:p>
            <w:r/>
            <w:r>
              <w:rPr>
                <w:sz w:val="20"/>
              </w:rPr>
              <w:t>2</w:t>
            </w:r>
          </w:p>
        </w:tc>
        <w:tc>
          <w:tcPr>
            <w:tcW w:type="dxa" w:w="2880"/>
            <w:vAlign w:val="top"/>
          </w:tcPr>
          <w:p>
            <w:r/>
            <w:r>
              <w:rPr>
                <w:sz w:val="20"/>
              </w:rPr>
              <w:t>Poor connectivity on shop floor</w:t>
            </w:r>
          </w:p>
        </w:tc>
        <w:tc>
          <w:tcPr>
            <w:tcW w:type="dxa" w:w="1008"/>
            <w:vAlign w:val="top"/>
          </w:tcPr>
          <w:p>
            <w:r/>
            <w:r>
              <w:rPr>
                <w:sz w:val="20"/>
              </w:rPr>
              <w:t>Medium</w:t>
            </w:r>
          </w:p>
        </w:tc>
        <w:tc>
          <w:tcPr>
            <w:tcW w:type="dxa" w:w="1152"/>
            <w:vAlign w:val="top"/>
          </w:tcPr>
          <w:p>
            <w:r/>
            <w:r>
              <w:rPr>
                <w:sz w:val="20"/>
              </w:rPr>
              <w:t>High</w:t>
            </w:r>
          </w:p>
        </w:tc>
        <w:tc>
          <w:tcPr>
            <w:tcW w:type="dxa" w:w="4032"/>
            <w:vAlign w:val="top"/>
          </w:tcPr>
          <w:p>
            <w:r/>
            <w:r>
              <w:rPr>
                <w:sz w:val="20"/>
              </w:rPr>
              <w:t>PWA offline drafting + queued sync; Wi-Fi survey; ruggedized devices.</w:t>
            </w:r>
          </w:p>
        </w:tc>
      </w:tr>
      <w:tr>
        <w:tc>
          <w:tcPr>
            <w:tcW w:type="dxa" w:w="432"/>
            <w:vAlign w:val="top"/>
          </w:tcPr>
          <w:p>
            <w:r/>
            <w:r>
              <w:rPr>
                <w:sz w:val="20"/>
              </w:rPr>
              <w:t>3</w:t>
            </w:r>
          </w:p>
        </w:tc>
        <w:tc>
          <w:tcPr>
            <w:tcW w:type="dxa" w:w="2880"/>
            <w:vAlign w:val="top"/>
          </w:tcPr>
          <w:p>
            <w:r/>
            <w:r>
              <w:rPr>
                <w:sz w:val="20"/>
              </w:rPr>
              <w:t>Master data quality (welders, procedures) is poor</w:t>
            </w:r>
          </w:p>
        </w:tc>
        <w:tc>
          <w:tcPr>
            <w:tcW w:type="dxa" w:w="1008"/>
            <w:vAlign w:val="top"/>
          </w:tcPr>
          <w:p>
            <w:r/>
            <w:r>
              <w:rPr>
                <w:sz w:val="20"/>
              </w:rPr>
              <w:t>High</w:t>
            </w:r>
          </w:p>
        </w:tc>
        <w:tc>
          <w:tcPr>
            <w:tcW w:type="dxa" w:w="1152"/>
            <w:vAlign w:val="top"/>
          </w:tcPr>
          <w:p>
            <w:r/>
            <w:r>
              <w:rPr>
                <w:sz w:val="20"/>
              </w:rPr>
              <w:t>High</w:t>
            </w:r>
          </w:p>
        </w:tc>
        <w:tc>
          <w:tcPr>
            <w:tcW w:type="dxa" w:w="4032"/>
            <w:vAlign w:val="top"/>
          </w:tcPr>
          <w:p>
            <w:r/>
            <w:r>
              <w:rPr>
                <w:sz w:val="20"/>
              </w:rPr>
              <w:t>Data cleansing workstream; data owners assigned; validation rules in master data module.</w:t>
            </w:r>
          </w:p>
        </w:tc>
      </w:tr>
      <w:tr>
        <w:tc>
          <w:tcPr>
            <w:tcW w:type="dxa" w:w="432"/>
            <w:vAlign w:val="top"/>
          </w:tcPr>
          <w:p>
            <w:r/>
            <w:r>
              <w:rPr>
                <w:sz w:val="20"/>
              </w:rPr>
              <w:t>4</w:t>
            </w:r>
          </w:p>
        </w:tc>
        <w:tc>
          <w:tcPr>
            <w:tcW w:type="dxa" w:w="2880"/>
            <w:vAlign w:val="top"/>
          </w:tcPr>
          <w:p>
            <w:r/>
            <w:r>
              <w:rPr>
                <w:sz w:val="20"/>
              </w:rPr>
              <w:t>AD/SSO integration delays</w:t>
            </w:r>
          </w:p>
        </w:tc>
        <w:tc>
          <w:tcPr>
            <w:tcW w:type="dxa" w:w="1008"/>
            <w:vAlign w:val="top"/>
          </w:tcPr>
          <w:p>
            <w:r/>
            <w:r>
              <w:rPr>
                <w:sz w:val="20"/>
              </w:rPr>
              <w:t>High</w:t>
            </w:r>
          </w:p>
        </w:tc>
        <w:tc>
          <w:tcPr>
            <w:tcW w:type="dxa" w:w="1152"/>
            <w:vAlign w:val="top"/>
          </w:tcPr>
          <w:p>
            <w:r/>
            <w:r>
              <w:rPr>
                <w:sz w:val="20"/>
              </w:rPr>
              <w:t>Medium</w:t>
            </w:r>
          </w:p>
        </w:tc>
        <w:tc>
          <w:tcPr>
            <w:tcW w:type="dxa" w:w="4032"/>
            <w:vAlign w:val="top"/>
          </w:tcPr>
          <w:p>
            <w:r/>
            <w:r>
              <w:rPr>
                <w:sz w:val="20"/>
              </w:rPr>
              <w:t>Engage IT/IAM early; staging environment with test SSO; fallback test plan.</w:t>
            </w:r>
          </w:p>
        </w:tc>
      </w:tr>
      <w:tr>
        <w:tc>
          <w:tcPr>
            <w:tcW w:type="dxa" w:w="432"/>
            <w:vAlign w:val="top"/>
          </w:tcPr>
          <w:p>
            <w:r/>
            <w:r>
              <w:rPr>
                <w:sz w:val="20"/>
              </w:rPr>
              <w:t>5</w:t>
            </w:r>
          </w:p>
        </w:tc>
        <w:tc>
          <w:tcPr>
            <w:tcW w:type="dxa" w:w="2880"/>
            <w:vAlign w:val="top"/>
          </w:tcPr>
          <w:p>
            <w:r/>
            <w:r>
              <w:rPr>
                <w:sz w:val="20"/>
              </w:rPr>
              <w:t>Contract user account misuse</w:t>
            </w:r>
          </w:p>
        </w:tc>
        <w:tc>
          <w:tcPr>
            <w:tcW w:type="dxa" w:w="1008"/>
            <w:vAlign w:val="top"/>
          </w:tcPr>
          <w:p>
            <w:r/>
            <w:r>
              <w:rPr>
                <w:sz w:val="20"/>
              </w:rPr>
              <w:t>High</w:t>
            </w:r>
          </w:p>
        </w:tc>
        <w:tc>
          <w:tcPr>
            <w:tcW w:type="dxa" w:w="1152"/>
            <w:vAlign w:val="top"/>
          </w:tcPr>
          <w:p>
            <w:r/>
            <w:r>
              <w:rPr>
                <w:sz w:val="20"/>
              </w:rPr>
              <w:t>Medium</w:t>
            </w:r>
          </w:p>
        </w:tc>
        <w:tc>
          <w:tcPr>
            <w:tcW w:type="dxa" w:w="4032"/>
            <w:vAlign w:val="top"/>
          </w:tcPr>
          <w:p>
            <w:r/>
            <w:r>
              <w:rPr>
                <w:sz w:val="20"/>
              </w:rPr>
              <w:t>Mandatory expiry, MFA outside network, sponsor approval, periodic access review.</w:t>
            </w:r>
          </w:p>
        </w:tc>
      </w:tr>
      <w:tr>
        <w:tc>
          <w:tcPr>
            <w:tcW w:type="dxa" w:w="432"/>
            <w:vAlign w:val="top"/>
          </w:tcPr>
          <w:p>
            <w:r/>
            <w:r>
              <w:rPr>
                <w:sz w:val="20"/>
              </w:rPr>
              <w:t>6</w:t>
            </w:r>
          </w:p>
        </w:tc>
        <w:tc>
          <w:tcPr>
            <w:tcW w:type="dxa" w:w="2880"/>
            <w:vAlign w:val="top"/>
          </w:tcPr>
          <w:p>
            <w:r/>
            <w:r>
              <w:rPr>
                <w:sz w:val="20"/>
              </w:rPr>
              <w:t>Performance degradation under peak load</w:t>
            </w:r>
          </w:p>
        </w:tc>
        <w:tc>
          <w:tcPr>
            <w:tcW w:type="dxa" w:w="1008"/>
            <w:vAlign w:val="top"/>
          </w:tcPr>
          <w:p>
            <w:r/>
            <w:r>
              <w:rPr>
                <w:sz w:val="20"/>
              </w:rPr>
              <w:t>Medium</w:t>
            </w:r>
          </w:p>
        </w:tc>
        <w:tc>
          <w:tcPr>
            <w:tcW w:type="dxa" w:w="1152"/>
            <w:vAlign w:val="top"/>
          </w:tcPr>
          <w:p>
            <w:r/>
            <w:r>
              <w:rPr>
                <w:sz w:val="20"/>
              </w:rPr>
              <w:t>Medium</w:t>
            </w:r>
          </w:p>
        </w:tc>
        <w:tc>
          <w:tcPr>
            <w:tcW w:type="dxa" w:w="4032"/>
            <w:vAlign w:val="top"/>
          </w:tcPr>
          <w:p>
            <w:r/>
            <w:r>
              <w:rPr>
                <w:sz w:val="20"/>
              </w:rPr>
              <w:t>Load testing per NFR-02; horizontal scaling; query optimization.</w:t>
            </w:r>
          </w:p>
        </w:tc>
      </w:tr>
      <w:tr>
        <w:tc>
          <w:tcPr>
            <w:tcW w:type="dxa" w:w="432"/>
            <w:vAlign w:val="top"/>
          </w:tcPr>
          <w:p>
            <w:r/>
            <w:r>
              <w:rPr>
                <w:sz w:val="20"/>
              </w:rPr>
              <w:t>7</w:t>
            </w:r>
          </w:p>
        </w:tc>
        <w:tc>
          <w:tcPr>
            <w:tcW w:type="dxa" w:w="2880"/>
            <w:vAlign w:val="top"/>
          </w:tcPr>
          <w:p>
            <w:r/>
            <w:r>
              <w:rPr>
                <w:sz w:val="20"/>
              </w:rPr>
              <w:t>Security vulnerabilities (OWASP)</w:t>
            </w:r>
          </w:p>
        </w:tc>
        <w:tc>
          <w:tcPr>
            <w:tcW w:type="dxa" w:w="1008"/>
            <w:vAlign w:val="top"/>
          </w:tcPr>
          <w:p>
            <w:r/>
            <w:r>
              <w:rPr>
                <w:sz w:val="20"/>
              </w:rPr>
              <w:t>High</w:t>
            </w:r>
          </w:p>
        </w:tc>
        <w:tc>
          <w:tcPr>
            <w:tcW w:type="dxa" w:w="1152"/>
            <w:vAlign w:val="top"/>
          </w:tcPr>
          <w:p>
            <w:r/>
            <w:r>
              <w:rPr>
                <w:sz w:val="20"/>
              </w:rPr>
              <w:t>Medium</w:t>
            </w:r>
          </w:p>
        </w:tc>
        <w:tc>
          <w:tcPr>
            <w:tcW w:type="dxa" w:w="4032"/>
            <w:vAlign w:val="top"/>
          </w:tcPr>
          <w:p>
            <w:r/>
            <w:r>
              <w:rPr>
                <w:sz w:val="20"/>
              </w:rPr>
              <w:t>Secure SDLC, code review, SAST/DAST, VAPT before each major release.</w:t>
            </w:r>
          </w:p>
        </w:tc>
      </w:tr>
      <w:tr>
        <w:tc>
          <w:tcPr>
            <w:tcW w:type="dxa" w:w="432"/>
            <w:vAlign w:val="top"/>
          </w:tcPr>
          <w:p>
            <w:r/>
            <w:r>
              <w:rPr>
                <w:sz w:val="20"/>
              </w:rPr>
              <w:t>8</w:t>
            </w:r>
          </w:p>
        </w:tc>
        <w:tc>
          <w:tcPr>
            <w:tcW w:type="dxa" w:w="2880"/>
            <w:vAlign w:val="top"/>
          </w:tcPr>
          <w:p>
            <w:r/>
            <w:r>
              <w:rPr>
                <w:sz w:val="20"/>
              </w:rPr>
              <w:t>Incorrect shop selection causing routing errors</w:t>
            </w:r>
          </w:p>
        </w:tc>
        <w:tc>
          <w:tcPr>
            <w:tcW w:type="dxa" w:w="1008"/>
            <w:vAlign w:val="top"/>
          </w:tcPr>
          <w:p>
            <w:r/>
            <w:r>
              <w:rPr>
                <w:sz w:val="20"/>
              </w:rPr>
              <w:t>Medium</w:t>
            </w:r>
          </w:p>
        </w:tc>
        <w:tc>
          <w:tcPr>
            <w:tcW w:type="dxa" w:w="1152"/>
            <w:vAlign w:val="top"/>
          </w:tcPr>
          <w:p>
            <w:r/>
            <w:r>
              <w:rPr>
                <w:sz w:val="20"/>
              </w:rPr>
              <w:t>Medium</w:t>
            </w:r>
          </w:p>
        </w:tc>
        <w:tc>
          <w:tcPr>
            <w:tcW w:type="dxa" w:w="4032"/>
            <w:vAlign w:val="top"/>
          </w:tcPr>
          <w:p>
            <w:r/>
            <w:r>
              <w:rPr>
                <w:sz w:val="20"/>
              </w:rPr>
              <w:t>Auto-derivation, restricted dropdown, audit logging, supervisory dashboards.</w:t>
            </w:r>
          </w:p>
        </w:tc>
      </w:tr>
      <w:tr>
        <w:tc>
          <w:tcPr>
            <w:tcW w:type="dxa" w:w="432"/>
            <w:vAlign w:val="top"/>
          </w:tcPr>
          <w:p>
            <w:r/>
            <w:r>
              <w:rPr>
                <w:sz w:val="20"/>
              </w:rPr>
              <w:t>9</w:t>
            </w:r>
          </w:p>
        </w:tc>
        <w:tc>
          <w:tcPr>
            <w:tcW w:type="dxa" w:w="2880"/>
            <w:vAlign w:val="top"/>
          </w:tcPr>
          <w:p>
            <w:r/>
            <w:r>
              <w:rPr>
                <w:sz w:val="20"/>
              </w:rPr>
              <w:t>Notification fatigue / missed alerts</w:t>
            </w:r>
          </w:p>
        </w:tc>
        <w:tc>
          <w:tcPr>
            <w:tcW w:type="dxa" w:w="1008"/>
            <w:vAlign w:val="top"/>
          </w:tcPr>
          <w:p>
            <w:r/>
            <w:r>
              <w:rPr>
                <w:sz w:val="20"/>
              </w:rPr>
              <w:t>Medium</w:t>
            </w:r>
          </w:p>
        </w:tc>
        <w:tc>
          <w:tcPr>
            <w:tcW w:type="dxa" w:w="1152"/>
            <w:vAlign w:val="top"/>
          </w:tcPr>
          <w:p>
            <w:r/>
            <w:r>
              <w:rPr>
                <w:sz w:val="20"/>
              </w:rPr>
              <w:t>Medium</w:t>
            </w:r>
          </w:p>
        </w:tc>
        <w:tc>
          <w:tcPr>
            <w:tcW w:type="dxa" w:w="4032"/>
            <w:vAlign w:val="top"/>
          </w:tcPr>
          <w:p>
            <w:r/>
            <w:r>
              <w:rPr>
                <w:sz w:val="20"/>
              </w:rPr>
              <w:t>User-managed preferences within admin policy; in-app inbox as source of truth; digest options.</w:t>
            </w:r>
          </w:p>
        </w:tc>
      </w:tr>
      <w:tr>
        <w:tc>
          <w:tcPr>
            <w:tcW w:type="dxa" w:w="432"/>
            <w:vAlign w:val="top"/>
          </w:tcPr>
          <w:p>
            <w:r/>
            <w:r>
              <w:rPr>
                <w:sz w:val="20"/>
              </w:rPr>
              <w:t>10</w:t>
            </w:r>
          </w:p>
        </w:tc>
        <w:tc>
          <w:tcPr>
            <w:tcW w:type="dxa" w:w="2880"/>
            <w:vAlign w:val="top"/>
          </w:tcPr>
          <w:p>
            <w:r/>
            <w:r>
              <w:rPr>
                <w:sz w:val="20"/>
              </w:rPr>
              <w:t>Audit/compliance gaps</w:t>
            </w:r>
          </w:p>
        </w:tc>
        <w:tc>
          <w:tcPr>
            <w:tcW w:type="dxa" w:w="1008"/>
            <w:vAlign w:val="top"/>
          </w:tcPr>
          <w:p>
            <w:r/>
            <w:r>
              <w:rPr>
                <w:sz w:val="20"/>
              </w:rPr>
              <w:t>High</w:t>
            </w:r>
          </w:p>
        </w:tc>
        <w:tc>
          <w:tcPr>
            <w:tcW w:type="dxa" w:w="1152"/>
            <w:vAlign w:val="top"/>
          </w:tcPr>
          <w:p>
            <w:r/>
            <w:r>
              <w:rPr>
                <w:sz w:val="20"/>
              </w:rPr>
              <w:t>Low</w:t>
            </w:r>
          </w:p>
        </w:tc>
        <w:tc>
          <w:tcPr>
            <w:tcW w:type="dxa" w:w="4032"/>
            <w:vAlign w:val="top"/>
          </w:tcPr>
          <w:p>
            <w:r/>
            <w:r>
              <w:rPr>
                <w:sz w:val="20"/>
              </w:rPr>
              <w:t>Immutable audit log; periodic compliance audits; documented retention policy.</w:t>
            </w:r>
          </w:p>
        </w:tc>
      </w:tr>
      <w:tr>
        <w:tc>
          <w:tcPr>
            <w:tcW w:type="dxa" w:w="432"/>
            <w:vAlign w:val="top"/>
          </w:tcPr>
          <w:p>
            <w:r/>
            <w:r>
              <w:rPr>
                <w:sz w:val="20"/>
              </w:rPr>
              <w:t>11</w:t>
            </w:r>
          </w:p>
        </w:tc>
        <w:tc>
          <w:tcPr>
            <w:tcW w:type="dxa" w:w="2880"/>
            <w:vAlign w:val="top"/>
          </w:tcPr>
          <w:p>
            <w:r/>
            <w:r>
              <w:rPr>
                <w:sz w:val="20"/>
              </w:rPr>
              <w:t>Vendor / contractor lifecycle not synced</w:t>
            </w:r>
          </w:p>
        </w:tc>
        <w:tc>
          <w:tcPr>
            <w:tcW w:type="dxa" w:w="1008"/>
            <w:vAlign w:val="top"/>
          </w:tcPr>
          <w:p>
            <w:r/>
            <w:r>
              <w:rPr>
                <w:sz w:val="20"/>
              </w:rPr>
              <w:t>Medium</w:t>
            </w:r>
          </w:p>
        </w:tc>
        <w:tc>
          <w:tcPr>
            <w:tcW w:type="dxa" w:w="1152"/>
            <w:vAlign w:val="top"/>
          </w:tcPr>
          <w:p>
            <w:r/>
            <w:r>
              <w:rPr>
                <w:sz w:val="20"/>
              </w:rPr>
              <w:t>Medium</w:t>
            </w:r>
          </w:p>
        </w:tc>
        <w:tc>
          <w:tcPr>
            <w:tcW w:type="dxa" w:w="4032"/>
            <w:vAlign w:val="top"/>
          </w:tcPr>
          <w:p>
            <w:r/>
            <w:r>
              <w:rPr>
                <w:sz w:val="20"/>
              </w:rPr>
              <w:t>Mandatory expiry, monthly review reports, sponsor accountability.</w:t>
            </w:r>
          </w:p>
        </w:tc>
      </w:tr>
      <w:tr>
        <w:tc>
          <w:tcPr>
            <w:tcW w:type="dxa" w:w="432"/>
            <w:vAlign w:val="top"/>
          </w:tcPr>
          <w:p>
            <w:r/>
            <w:r>
              <w:rPr>
                <w:sz w:val="20"/>
              </w:rPr>
              <w:t>12</w:t>
            </w:r>
          </w:p>
        </w:tc>
        <w:tc>
          <w:tcPr>
            <w:tcW w:type="dxa" w:w="2880"/>
            <w:vAlign w:val="top"/>
          </w:tcPr>
          <w:p>
            <w:r/>
            <w:r>
              <w:rPr>
                <w:sz w:val="20"/>
              </w:rPr>
              <w:t>Scope creep into other NDT methods</w:t>
            </w:r>
          </w:p>
        </w:tc>
        <w:tc>
          <w:tcPr>
            <w:tcW w:type="dxa" w:w="1008"/>
            <w:vAlign w:val="top"/>
          </w:tcPr>
          <w:p>
            <w:r/>
            <w:r>
              <w:rPr>
                <w:sz w:val="20"/>
              </w:rPr>
              <w:t>Medium</w:t>
            </w:r>
          </w:p>
        </w:tc>
        <w:tc>
          <w:tcPr>
            <w:tcW w:type="dxa" w:w="1152"/>
            <w:vAlign w:val="top"/>
          </w:tcPr>
          <w:p>
            <w:r/>
            <w:r>
              <w:rPr>
                <w:sz w:val="20"/>
              </w:rPr>
              <w:t>High</w:t>
            </w:r>
          </w:p>
        </w:tc>
        <w:tc>
          <w:tcPr>
            <w:tcW w:type="dxa" w:w="4032"/>
            <w:vAlign w:val="top"/>
          </w:tcPr>
          <w:p>
            <w:r/>
            <w:r>
              <w:rPr>
                <w:sz w:val="20"/>
              </w:rPr>
              <w:t>Strict change-control board; defer to Phase 2 with documented backlog.</w:t>
            </w:r>
          </w:p>
        </w:tc>
      </w:tr>
    </w:tbl>
    <w:p>
      <w:pPr>
        <w:pStyle w:val="Heading1"/>
      </w:pPr>
      <w:r>
        <w:rPr>
          <w:color w:val="1F3A5F"/>
        </w:rPr>
        <w:t>12. Open Questions</w:t>
      </w:r>
    </w:p>
    <w:p>
      <w:pPr>
        <w:pStyle w:val="ListNumber"/>
      </w:pPr>
      <w:r>
        <w:rPr>
          <w:sz w:val="22"/>
        </w:rPr>
        <w:t>Will MS Teams and SMS be enabled at go-live, or only Email + In-App + Push?</w:t>
      </w:r>
    </w:p>
    <w:p>
      <w:pPr>
        <w:pStyle w:val="ListNumber"/>
      </w:pPr>
      <w:r>
        <w:rPr>
          <w:sz w:val="22"/>
        </w:rPr>
        <w:t>What is the final retention period mandated by Compliance (≥ 7 years assumed)?</w:t>
      </w:r>
    </w:p>
    <w:p>
      <w:pPr>
        <w:pStyle w:val="ListNumber"/>
      </w:pPr>
      <w:r>
        <w:rPr>
          <w:sz w:val="22"/>
        </w:rPr>
        <w:t>Does any customer/statutory standard require digital signatures on the RT report upload?</w:t>
      </w:r>
    </w:p>
    <w:p>
      <w:pPr>
        <w:pStyle w:val="ListNumber"/>
      </w:pPr>
      <w:r>
        <w:rPr>
          <w:sz w:val="22"/>
        </w:rPr>
        <w:t>Should QA closure be mandatory for every intimation, or auto-closure permitted for 'Accept' after N days without dispute?</w:t>
      </w:r>
    </w:p>
    <w:p>
      <w:pPr>
        <w:pStyle w:val="ListNumber"/>
      </w:pPr>
      <w:r>
        <w:rPr>
          <w:sz w:val="22"/>
        </w:rPr>
        <w:t>Is there a need for offline outcome capture by technicians, or only offline drafting by initiators?</w:t>
      </w:r>
    </w:p>
    <w:p>
      <w:pPr>
        <w:pStyle w:val="ListNumber"/>
      </w:pPr>
      <w:r>
        <w:rPr>
          <w:sz w:val="22"/>
        </w:rPr>
        <w:t>Will Phase 2 explicitly include UT/MT/PT/ECT, and within what timeline?</w:t>
      </w:r>
    </w:p>
    <w:p>
      <w:pPr>
        <w:pStyle w:val="ListNumber"/>
      </w:pPr>
      <w:r>
        <w:rPr>
          <w:sz w:val="22"/>
        </w:rPr>
        <w:t>What is the preferred integration mode with ERP/MES (event-driven vs. batch)?</w:t>
      </w:r>
    </w:p>
    <w:p>
      <w:pPr>
        <w:pStyle w:val="ListNumber"/>
      </w:pPr>
      <w:r>
        <w:rPr>
          <w:sz w:val="22"/>
        </w:rPr>
        <w:t>Should contract users be allowed to hold the RT Technician role, and under what additional controls?</w:t>
      </w:r>
    </w:p>
    <w:p>
      <w:pPr>
        <w:pStyle w:val="ListNumber"/>
      </w:pPr>
      <w:r>
        <w:rPr>
          <w:sz w:val="22"/>
        </w:rPr>
        <w:t>Will a printable PDF version of every intimation be required for shop-floor display?</w:t>
      </w:r>
    </w:p>
    <w:p>
      <w:pPr>
        <w:pStyle w:val="ListNumber"/>
      </w:pPr>
      <w:r>
        <w:rPr>
          <w:sz w:val="22"/>
        </w:rPr>
        <w:t>Are there any plant-specific shift definitions or time windows that must be encoded as defaults?</w:t>
      </w:r>
    </w:p>
    <w:p/>
    <w:p>
      <w:pPr>
        <w:jc w:val="center"/>
      </w:pPr>
      <w:r>
        <w:rPr>
          <w:i/>
          <w:sz w:val="20"/>
        </w:rPr>
        <w:t>— End of BRD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