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Requirements Table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Telemedicine Slot Booking &amp; Prescription Portal</w:t>
      </w:r>
    </w:p>
    <w:p>
      <w:pPr>
        <w:spacing w:after="200"/>
      </w:pPr>
      <w:r>
        <w:rPr>
          <w:sz w:val="20"/>
          <w:szCs w:val="20"/>
        </w:rPr>
        <w:t xml:space="preserve">Actors: Patient, Attending Physician, Payment Gateway (external system).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50"/>
        <w:gridCol w:w="2850"/>
        <w:gridCol w:w="780"/>
        <w:gridCol w:w="2450"/>
        <w:gridCol w:w="1820"/>
        <w:gridCol w:w="950"/>
      </w:tblGrid>
      <w:tr>
        <w:trPr>
          <w:tblHeader/>
        </w:trPr>
        <w:tc>
          <w:tcPr>
            <w:tcW w:type="dxa" w:w="8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 ID</w:t>
            </w:r>
          </w:p>
        </w:tc>
        <w:tc>
          <w:tcPr>
            <w:tcW w:type="dxa" w:w="11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8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4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82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95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1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8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enable physicians to author and digitally sign structured prescriptions that are automatically compiled into downloadable PDF records.</w:t>
            </w:r>
          </w:p>
        </w:tc>
        <w:tc>
          <w:tcPr>
            <w:tcW w:type="dxa" w:w="78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Valid cryptographic signature attached to prescription PDF.
Fail: Prescription generated without doctor license validation.</w:t>
            </w:r>
          </w:p>
        </w:tc>
        <w:tc>
          <w:tcPr>
            <w:tcW w:type="dxa" w:w="182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Ensures prescriptions are legally valid, tamper-evident, and traceable to a licensed physician.</w:t>
            </w:r>
          </w:p>
        </w:tc>
        <w:tc>
          <w:tcPr>
            <w:tcW w:type="dxa" w:w="9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4</w:t>
            </w:r>
          </w:p>
        </w:tc>
      </w:tr>
      <w:tr>
        <w:tc>
          <w:tcPr>
            <w:tcW w:type="dxa" w:w="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1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8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a patient to search and filter available physicians by medical specialty and real-time slot availability.</w:t>
            </w:r>
          </w:p>
        </w:tc>
        <w:tc>
          <w:tcPr>
            <w:tcW w:type="dxa" w:w="78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Results show only physicians with ≥ 1 open slot in the next 7 days, correctly filtered by specialty.
Fail: Results include unavailable or wrong-specialty physicians.</w:t>
            </w:r>
          </w:p>
        </w:tc>
        <w:tc>
          <w:tcPr>
            <w:tcW w:type="dxa" w:w="182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 discovery function patients need before booking; reduces failed booking attempts.</w:t>
            </w:r>
          </w:p>
        </w:tc>
        <w:tc>
          <w:tcPr>
            <w:tcW w:type="dxa" w:w="9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1</w:t>
            </w:r>
          </w:p>
        </w:tc>
      </w:tr>
      <w:tr>
        <w:tc>
          <w:tcPr>
            <w:tcW w:type="dxa" w:w="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1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8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a patient to book a specific video consultation slot, reserving it exclusively for that patient once payment is confirmed.</w:t>
            </w:r>
          </w:p>
        </w:tc>
        <w:tc>
          <w:tcPr>
            <w:tcW w:type="dxa" w:w="78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The booked slot disappears from all other patients' availability lists within 2 seconds.
Fail: The same slot can be booked by two different patients.</w:t>
            </w:r>
          </w:p>
        </w:tc>
        <w:tc>
          <w:tcPr>
            <w:tcW w:type="dxa" w:w="182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double-booking and guarantees the integrity of the appointment schedule.</w:t>
            </w:r>
          </w:p>
        </w:tc>
        <w:tc>
          <w:tcPr>
            <w:tcW w:type="dxa" w:w="9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Sets 1, 2</w:t>
            </w:r>
          </w:p>
        </w:tc>
      </w:tr>
      <w:tr>
        <w:tc>
          <w:tcPr>
            <w:tcW w:type="dxa" w:w="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1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8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automatically generate and transmit a unique, encrypted video-consultation room link to both patient and physician no later than 10 minutes before the scheduled appointment.</w:t>
            </w:r>
          </w:p>
        </w:tc>
        <w:tc>
          <w:tcPr>
            <w:tcW w:type="dxa" w:w="78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Both parties receive a working, single-use encrypted link ≥ 10 minutes before start time.
Fail: Link is missing, reused across sessions, or delivered late.</w:t>
            </w:r>
          </w:p>
        </w:tc>
        <w:tc>
          <w:tcPr>
            <w:tcW w:type="dxa" w:w="182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Ensures secure, timely, and private access to the tele-consultation room.</w:t>
            </w:r>
          </w:p>
        </w:tc>
        <w:tc>
          <w:tcPr>
            <w:tcW w:type="dxa" w:w="9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3</w:t>
            </w:r>
          </w:p>
        </w:tc>
      </w:tr>
      <w:tr>
        <w:tc>
          <w:tcPr>
            <w:tcW w:type="dxa" w:w="80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1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8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allow a patient to download their digitally signed prescription as a PDF from their account within 24 hours of consultation completion.</w:t>
            </w:r>
          </w:p>
        </w:tc>
        <w:tc>
          <w:tcPr>
            <w:tcW w:type="dxa" w:w="78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4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Patient downloads a valid, signed PDF from the dashboard within 24 hours of consultation end.
Fail: PDF is unavailable, unsigned, or late.</w:t>
            </w:r>
          </w:p>
        </w:tc>
        <w:tc>
          <w:tcPr>
            <w:tcW w:type="dxa" w:w="182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Gives patients timely access to prescriptions required for pharmacy fulfillment.</w:t>
            </w:r>
          </w:p>
        </w:tc>
        <w:tc>
          <w:tcPr>
            <w:tcW w:type="dxa" w:w="950"/>
            <w:shd w:fill="F2F7FC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4</w:t>
            </w:r>
          </w:p>
        </w:tc>
      </w:tr>
      <w:tr>
        <w:tc>
          <w:tcPr>
            <w:tcW w:type="dxa" w:w="80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1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Security)</w:t>
            </w:r>
          </w:p>
        </w:tc>
        <w:tc>
          <w:tcPr>
            <w:tcW w:type="dxa" w:w="28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video-session metadata and patient clinical notes must be encrypted in transit using TLS 1.3 and at rest using AES-256.</w:t>
            </w:r>
          </w:p>
        </w:tc>
        <w:tc>
          <w:tcPr>
            <w:tcW w:type="dxa" w:w="78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Benchmarking confirms target latency and security standards under simulated peak load.
Fail: Any data found unencrypted in transit or at rest.</w:t>
            </w:r>
          </w:p>
        </w:tc>
        <w:tc>
          <w:tcPr>
            <w:tcW w:type="dxa" w:w="182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Protects sensitive patient health data (PHI) and satisfies healthcare data-protection obligations.</w:t>
            </w:r>
          </w:p>
        </w:tc>
        <w:tc>
          <w:tcPr>
            <w:tcW w:type="dxa" w:w="9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sets</w:t>
            </w:r>
          </w:p>
        </w:tc>
      </w:tr>
      <w:tr>
        <w:tc>
          <w:tcPr>
            <w:tcW w:type="dxa" w:w="80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1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(Performance &amp; Scalability)</w:t>
            </w:r>
          </w:p>
        </w:tc>
        <w:tc>
          <w:tcPr>
            <w:tcW w:type="dxa" w:w="28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support at least 500 concurrent video-consultation sessions with end-to-end video latency under 300 ms.</w:t>
            </w:r>
          </w:p>
        </w:tc>
        <w:tc>
          <w:tcPr>
            <w:tcW w:type="dxa" w:w="78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Load test at 500 concurrent sessions shows average latency &lt; 300 ms with zero session drops.
Fail: Latency exceeds 300 ms or sessions fail under peak load.</w:t>
            </w:r>
          </w:p>
        </w:tc>
        <w:tc>
          <w:tcPr>
            <w:tcW w:type="dxa" w:w="182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Guarantees usable, real-time video quality during peak clinic hours.</w:t>
            </w:r>
          </w:p>
        </w:tc>
        <w:tc>
          <w:tcPr>
            <w:tcW w:type="dxa" w:w="9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3</w:t>
            </w:r>
          </w:p>
        </w:tc>
      </w:tr>
      <w:tr>
        <w:tc>
          <w:tcPr>
            <w:tcW w:type="dxa" w:w="80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NFR-003</w:t>
            </w:r>
          </w:p>
        </w:tc>
        <w:tc>
          <w:tcPr>
            <w:tcW w:type="dxa" w:w="11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Nonfunctional (Availability &amp; Reliability)</w:t>
            </w:r>
          </w:p>
        </w:tc>
        <w:tc>
          <w:tcPr>
            <w:tcW w:type="dxa" w:w="28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maintain at least 99.9% uptime during published clinic hours, with no confirmed booking or signed prescription lost during a failover.</w:t>
            </w:r>
          </w:p>
        </w:tc>
        <w:tc>
          <w:tcPr>
            <w:tcW w:type="dxa" w:w="78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4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30-day monitoring shows ≤ 43 min downtime and a failover drill loses zero records.
Fail: Uptime below 99.9% or any record lost.</w:t>
            </w:r>
          </w:p>
        </w:tc>
        <w:tc>
          <w:tcPr>
            <w:tcW w:type="dxa" w:w="182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Missed consultations and lost prescriptions carry direct clinical risk.</w:t>
            </w:r>
          </w:p>
        </w:tc>
        <w:tc>
          <w:tcPr>
            <w:tcW w:type="dxa" w:w="950"/>
            <w:shd w:fill="FDF2E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sets</w:t>
            </w:r>
          </w:p>
        </w:tc>
      </w:tr>
    </w:tbl>
    <w:p>
      <w:pPr>
        <w:pStyle w:val="Heading2"/>
        <w:spacing w:after="120" w:before="300"/>
      </w:pPr>
      <w:r>
        <w:t xml:space="preserve">Module Split &amp; Weightage</w:t>
      </w:r>
    </w:p>
    <w:p>
      <w:pPr>
        <w:spacing w:after="150"/>
      </w:pPr>
      <w:r>
        <w:rPr>
          <w:sz w:val="20"/>
          <w:szCs w:val="20"/>
        </w:rPr>
        <w:t xml:space="preserve">The eight use cases are divided into four equally weighted sets. Each set has its own use-case diagram and its own one-page use-case flow specification.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600"/>
        <w:gridCol w:w="2000"/>
        <w:gridCol w:w="1100"/>
      </w:tblGrid>
      <w:tr>
        <w:trPr>
          <w:tblHeader/>
        </w:trPr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</w:t>
            </w:r>
          </w:p>
        </w:tc>
        <w:tc>
          <w:tcPr>
            <w:tcW w:type="dxa" w:w="3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 Name</w:t>
            </w:r>
          </w:p>
        </w:tc>
        <w:tc>
          <w:tcPr>
            <w:tcW w:type="dxa" w:w="26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 Cases Owned</w:t>
            </w:r>
          </w:p>
        </w:tc>
        <w:tc>
          <w:tcPr>
            <w:tcW w:type="dxa" w:w="20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Relationship Modelled</w:t>
            </w:r>
          </w:p>
        </w:tc>
        <w:tc>
          <w:tcPr>
            <w:tcW w:type="dxa" w:w="11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Weightage</w:t>
            </w:r>
          </w:p>
        </w:tc>
      </w:tr>
      <w:tr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1</w:t>
            </w:r>
          </w:p>
        </w:tc>
        <w:tc>
          <w:tcPr>
            <w:tcW w:type="dxa" w:w="3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Doctor Discovery &amp; Slot Booking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UC-01 Search Doctor by Specialty; UC-02 Book Consultation Slot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UC-02 «include» UC-03</w:t>
            </w:r>
          </w:p>
        </w:tc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2</w:t>
            </w:r>
          </w:p>
        </w:tc>
        <w:tc>
          <w:tcPr>
            <w:tcW w:type="dxa" w:w="3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Payment &amp; Booking Changes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UC-03 Make Payment; UC-08 Cancel / Reschedule Slot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UC-02 «include» UC-03; UC-08 «extend» UC-02</w:t>
            </w:r>
          </w:p>
        </w:tc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3</w:t>
            </w:r>
          </w:p>
        </w:tc>
        <w:tc>
          <w:tcPr>
            <w:tcW w:type="dxa" w:w="3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Tele-Consultation Session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UC-04 Generate Encrypted Video Link; UC-05 Conduct Video Consultation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UC-05 «include» UC-04</w:t>
            </w:r>
          </w:p>
        </w:tc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Set 4</w:t>
            </w:r>
          </w:p>
        </w:tc>
        <w:tc>
          <w:tcPr>
            <w:tcW w:type="dxa" w:w="3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Prescription Lifecycle</w:t>
            </w:r>
          </w:p>
        </w:tc>
        <w:tc>
          <w:tcPr>
            <w:tcW w:type="dxa" w:w="26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UC-06 Author &amp; Digitally Sign Prescription; UC-07 Download Prescription PDF</w:t>
            </w:r>
          </w:p>
        </w:tc>
        <w:tc>
          <w:tcPr>
            <w:tcW w:type="dxa" w:w="20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UC-06 «extend» UC-05</w:t>
            </w:r>
          </w:p>
        </w:tc>
        <w:tc>
          <w:tcPr>
            <w:tcW w:type="dxa" w:w="1100"/>
            <w:shd w:fill="F7F7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</w:tbl>
    <w:sectPr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2026-08-27T07:18:48.822Z</dcterms:created>
  <dcterms:modified xsi:type="dcterms:W3CDTF">2026-08-27T07:18:48.823Z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