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Telemedicine Slot Booking &amp; Prescription Portal</w:t>
      </w:r>
    </w:p>
    <w:p>
      <w:pPr>
        <w:spacing w:after="200"/>
      </w:pPr>
      <w:r>
        <w:rPr>
          <w:sz w:val="20"/>
          <w:szCs w:val="20"/>
        </w:rPr>
        <w:t xml:space="preserve">Stakeholders / Actors: Patient, Attending Physician, Payment Gateway (external system).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300"/>
        <w:gridCol w:w="900"/>
        <w:gridCol w:w="2600"/>
        <w:gridCol w:w="18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enable physicians to author and digitally sign structured prescriptions that are automatically compiled into downloadable PDF records.</w:t>
            </w:r>
          </w:p>
        </w:tc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Valid cryptographic signature attached to prescription PDF.
Fail: Prescription generated without doctor license validation.</w:t>
            </w:r>
          </w:p>
        </w:tc>
        <w:tc>
          <w:tcPr>
            <w:tcW w:type="dxa" w:w="1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Ensures prescriptions are legally valid, tamper-evident, and traceable to a licensed physician.</w:t>
            </w:r>
          </w:p>
        </w:tc>
      </w:tr>
      <w:tr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search and filter available physicians by medical specialty and real-time slot availability.</w:t>
            </w:r>
          </w:p>
        </w:tc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Results show only physicians with ≥ 1 open slot in the next 7 days, correctly filtered by specialty.
Fail: Results include physicians with no availability or the wrong specialty.</w:t>
            </w:r>
          </w:p>
        </w:tc>
        <w:tc>
          <w:tcPr>
            <w:tcW w:type="dxa" w:w="1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discovery function patients need before booking; reduces failed or mismatched booking attempts.</w:t>
            </w:r>
          </w:p>
        </w:tc>
      </w:tr>
      <w:tr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book a specific video consultation slot, reserving it exclusively for that patient once payment is confirmed.</w:t>
            </w:r>
          </w:p>
        </w:tc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The booked slot disappears from all other patients' availability lists within 2 seconds.
Fail: The same slot can be booked by two different patients.</w:t>
            </w:r>
          </w:p>
        </w:tc>
        <w:tc>
          <w:tcPr>
            <w:tcW w:type="dxa" w:w="1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Prevents double-booking and guarantees the integrity of the appointment schedule.</w:t>
            </w:r>
          </w:p>
        </w:tc>
      </w:tr>
      <w:tr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generate and transmit a unique, encrypted video-consultation room link to both patient and physician no later than 10 minutes before the scheduled appointment.</w:t>
            </w:r>
          </w:p>
        </w:tc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Both parties receive a working, single-use encrypted link ≥ 10 minutes before start time.
Fail: Link is missing, reused across sessions, or delivered late.</w:t>
            </w:r>
          </w:p>
        </w:tc>
        <w:tc>
          <w:tcPr>
            <w:tcW w:type="dxa" w:w="1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Ensures secure, timely, and private access to the tele-consultation room.</w:t>
            </w:r>
          </w:p>
        </w:tc>
      </w:tr>
      <w:tr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download their digitally signed prescription as a PDF from their account within 24 hours of consultation completion.</w:t>
            </w:r>
          </w:p>
        </w:tc>
        <w:tc>
          <w:tcPr>
            <w:tcW w:type="dxa" w:w="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Patient downloads a valid, signed PDF from the dashboard within 24 hours of consultation end.
Fail: PDF is unavailable, unsigned, or not downloadable within 24 hours.</w:t>
            </w:r>
          </w:p>
        </w:tc>
        <w:tc>
          <w:tcPr>
            <w:tcW w:type="dxa" w:w="1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Gives patients timely access to prescriptions required for pharmacy fulfillment.</w:t>
            </w:r>
          </w:p>
        </w:tc>
      </w:tr>
      <w:tr>
        <w:tc>
          <w:tcPr>
            <w:tcW w:type="dxa" w:w="9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Nonfunctional (Performance &amp; Security)</w:t>
            </w:r>
          </w:p>
        </w:tc>
        <w:tc>
          <w:tcPr>
            <w:tcW w:type="dxa" w:w="33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video-session metadata and patient clinical notes must be encrypted in transit using TLS 1.3 and at rest using AES-256.</w:t>
            </w:r>
          </w:p>
        </w:tc>
        <w:tc>
          <w:tcPr>
            <w:tcW w:type="dxa" w:w="9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Benchmarking confirms target latency and security standards under simulated peak load.
Fail: Any data found unencrypted in transit or at rest.</w:t>
            </w:r>
          </w:p>
        </w:tc>
        <w:tc>
          <w:tcPr>
            <w:tcW w:type="dxa" w:w="18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Protects sensitive patient health data (PHI) and satisfies healthcare data-protection obligations.</w:t>
            </w:r>
          </w:p>
        </w:tc>
      </w:tr>
      <w:tr>
        <w:tc>
          <w:tcPr>
            <w:tcW w:type="dxa" w:w="9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Nonfunctional (Performance &amp; Scalability)</w:t>
            </w:r>
          </w:p>
        </w:tc>
        <w:tc>
          <w:tcPr>
            <w:tcW w:type="dxa" w:w="33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support at least 500 concurrent video-consultation sessions with end-to-end video latency under 300 ms.</w:t>
            </w:r>
          </w:p>
        </w:tc>
        <w:tc>
          <w:tcPr>
            <w:tcW w:type="dxa" w:w="9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Load test at 500 concurrent sessions shows average latency &lt; 300 ms with zero session drops.
Fail: Latency exceeds 300 ms or sessions fail under peak load.</w:t>
            </w:r>
          </w:p>
        </w:tc>
        <w:tc>
          <w:tcPr>
            <w:tcW w:type="dxa" w:w="1800"/>
            <w:shd w:fill="FD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Guarantees usable, real-time video quality during peak clinic hours.</w:t>
            </w:r>
          </w:p>
        </w:tc>
      </w:tr>
    </w:tbl>
    <w:p>
      <w:pPr>
        <w:spacing w:before="200"/>
      </w:pPr>
      <w:r>
        <w:t xml:space="preserve"/>
      </w:r>
    </w:p>
    <w:p>
      <w:r>
        <w:rPr>
          <w:b/>
          <w:bCs/>
          <w:sz w:val="18"/>
          <w:szCs w:val="18"/>
        </w:rPr>
        <w:t xml:space="preserve">Legend: </w:t>
      </w:r>
      <w:r>
        <w:rPr>
          <w:sz w:val="18"/>
          <w:szCs w:val="18"/>
        </w:rPr>
        <w:t xml:space="preserve">Blue rows = Functional Requirements (FR-001–FR-005). Orange rows = Nonfunctional Requirements (NFR-001–NFR-002).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2026-08-27T05:54:48.367Z</dcterms:created>
  <dcterms:modified xsi:type="dcterms:W3CDTF">2026-08-27T05:54:48.379Z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