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A6E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8C0E8"/>
                <w:spacing w:val="30"/>
                <w:sz w:val="17"/>
                <w:szCs w:val="17"/>
              </w:rPr>
              <w:t xml:space="preserve">THE AUTONOMY LADDER  ·  PRACTITIONER GUIDE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Independent Projects · A Catalogue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8C0E8"/>
                <w:sz w:val="18"/>
                <w:szCs w:val="18"/>
              </w:rPr>
              <w:t xml:space="preserve">The Autonomy Ladder · Project Catalogue</w:t>
            </w:r>
          </w:p>
        </w:tc>
      </w:tr>
    </w:tbl>
    <w:p>
      <w:pPr>
        <w:spacing w:after="120"/>
      </w:pP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Thirty-four projects extracted from the four stage guides, each buildable and assessable on its own.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The stage guides describe four complete systems, sized for a professional: thirty-three engineer-days of platform to reach stage 4. That is the wrong shape for a course, a self-study week, or a two-day exercise.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This catalogue cuts the same material into pieces that can be attempted independently.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Each project states what you build, what must already exist, how long it takes, and — most importantly —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what has to be demonstrably true for it to be finished.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The acceptance criteria are the point: they are countable or checkable by somebody who was not there.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Every project names its 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The build guide section that explains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why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the implementation guide section that gives the code, and — where one exists — the numbered walkthrough that shows it running end to end.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Read the build guide section first, then attempt the project, then read the implementation guide.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Doing it in that order is the difference between building something and copying something.</w:t>
      </w:r>
    </w:p>
    <w:tbl>
      <w:tblPr>
        <w:tblW w:type="dxa" w:w="10080"/>
        <w:tblBorders>
          <w:top w:val="single" w:color="9FB6E4" w:sz="4"/>
          <w:left w:val="single" w:color="1F3A6E" w:sz="22"/>
          <w:bottom w:val="single" w:color="9FB6E4" w:sz="4"/>
          <w:right w:val="single" w:color="9FB6E4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EF4FF" w:val="clear"/>
            <w:tcMar>
              <w:top w:type="dxa" w:w="120"/>
              <w:left w:type="dxa" w:w="180"/>
              <w:bottom w:type="dxa" w:w="120"/>
              <w:right w:type="dxa" w:w="150"/>
            </w:tcMar>
          </w:tcPr>
          <w:p>
            <w:pPr>
              <w:spacing w:after="100" w:before="6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634"/>
                <w:sz w:val="21"/>
                <w:szCs w:val="21"/>
              </w:rPr>
              <w:t xml:space="preserve">On the walkthroughs.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21"/>
                <w:szCs w:val="21"/>
              </w:rPr>
              <w:t xml:space="preserve"> The implementation guides end with numbered end-to-end traces — W1, W2, W3, W4 — showing a complete run with its span tree and ledger entries. Where a project has one, it is the acceptance test: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634"/>
                <w:sz w:val="21"/>
                <w:szCs w:val="21"/>
              </w:rPr>
              <w:t xml:space="preserve">your implementation should produce that trace.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21"/>
                <w:szCs w:val="21"/>
              </w:rPr>
              <w:t xml:space="preserve"> Nine of the thirty-four are anchored this way, and they are the ones to set when you need an unambiguous mark.</w:t>
            </w:r>
          </w:p>
        </w:tc>
      </w:tr>
    </w:tbl>
    <w:p>
      <w:pPr>
        <w:spacing w:after="130"/>
      </w:pPr>
    </w:p>
    <w:p>
      <w:pPr>
        <w:pBdr>
          <w:bottom w:val="single" w:color="C8D0E0" w:sz="6" w:space="2"/>
        </w:pBdr>
        <w:spacing w:after="120" w:before="80"/>
      </w:pPr>
    </w:p>
    <w:p>
      <w:pPr>
        <w:pStyle w:val="Heading2"/>
        <w:pBdr>
          <w:bottom w:val="single" w:color="C8D0E0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B6F6B"/>
          <w:sz w:val="28"/>
          <w:szCs w:val="28"/>
        </w:rPr>
        <w:t xml:space="preserve">How to use this</w:t>
      </w:r>
    </w:p>
    <w:p>
      <w:pPr>
        <w:spacing w:after="160" w:before="140"/>
        <w:jc w:val="center"/>
      </w:pPr>
      <w:r>
        <w:drawing>
          <wp:inline distT="0" distB="0" distL="0" distR="0">
            <wp:extent cx="603885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A project needs everything at levels below it and nothing beside it.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Twelve projects sit at level 0 and require no agent at all — they are components you build and test against fixtures. Those are the ones to attempt first, and the ones to set as coursework, because a student who cannot get a model responding is not blocked from starting.</w:t>
      </w:r>
    </w:p>
    <w:p>
      <w:pPr>
        <w:spacing w:after="160" w:before="140"/>
        <w:jc w:val="center"/>
      </w:pPr>
      <w:r>
        <w:drawing>
          <wp:inline distT="0" distB="0" distL="0" distR="0">
            <wp:extent cx="60388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Effort figures assume somebody learning the material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not somebody who already knows it. Halve them for an experienced engineer; do not halve them for a student who is also learning Python.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The traps are real.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Each project names the mistake most people actually make. They are there because the fix is cheap once you know and expensive once shipped.</w:t>
      </w:r>
    </w:p>
    <w:p>
      <w:pPr>
        <w:pStyle w:val="Heading2"/>
        <w:pBdr>
          <w:bottom w:val="single" w:color="C8D0E0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B6F6B"/>
          <w:sz w:val="28"/>
          <w:szCs w:val="28"/>
        </w:rPr>
        <w:t xml:space="preserve">What each guide yields</w:t>
      </w:r>
    </w:p>
    <w:tbl>
      <w:tblPr>
        <w:tblW w:type="dxa" w:w="10080"/>
        <w:tblBorders>
          <w:top w:val="single" w:color="D6DCE8" w:sz="2"/>
          <w:left w:val="none"/>
          <w:bottom w:val="single" w:color="D6DCE8" w:sz="2"/>
          <w:right w:val="none"/>
          <w:insideH w:val="single" w:color="D6DCE8" w:sz="2"/>
          <w:insideV w:val="single" w:color="D6DCE8" w:sz="2"/>
        </w:tblBorders>
      </w:tblPr>
      <w:tblGrid>
        <w:gridCol w:w="4560"/>
        <w:gridCol w:w="3120"/>
        <w:gridCol w:w="2400"/>
      </w:tblGrid>
      <w:tr>
        <w:trPr>
          <w:tblHeader/>
        </w:trPr>
        <w:tc>
          <w:tcPr>
            <w:tcW w:type="dxa" w:w="4560"/>
            <w:shd w:fill="1F3A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Guide</w:t>
            </w:r>
          </w:p>
        </w:tc>
        <w:tc>
          <w:tcPr>
            <w:tcW w:type="dxa" w:w="3120"/>
            <w:shd w:fill="1F3A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Projects</w:t>
            </w:r>
          </w:p>
        </w:tc>
        <w:tc>
          <w:tcPr>
            <w:tcW w:type="dxa" w:w="2400"/>
            <w:shd w:fill="1F3A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Walkthrough-anchored</w:t>
            </w:r>
          </w:p>
        </w:tc>
      </w:tr>
      <w:tr>
        <w:trPr>
          <w:tblHeader w:val="false"/>
        </w:trPr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Read-Only · Build + Implementation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P01–P05, P11–P16, P18, P19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6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Draft-Writing · Build + Implementation</w:t>
            </w:r>
          </w:p>
        </w:tc>
        <w:tc>
          <w:tcPr>
            <w:tcW w:type="dxa" w:w="312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P10, P20–P23, P25</w:t>
            </w:r>
          </w:p>
        </w:tc>
        <w:tc>
          <w:tcPr>
            <w:tcW w:type="dxa" w:w="24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W1 · W2 · W3</w:t>
            </w:r>
          </w:p>
        </w:tc>
      </w:tr>
      <w:tr>
        <w:trPr>
          <w:tblHeader w:val="false"/>
        </w:trPr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Governed · Build + Implementation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P06–P09, P17, P24, P26–P30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W1 · W2 · W3 · W4</w:t>
            </w:r>
          </w:p>
        </w:tc>
      </w:tr>
      <w:tr>
        <w:trPr>
          <w:tblHeader w:val="false"/>
        </w:trPr>
        <w:tc>
          <w:tcPr>
            <w:tcW w:type="dxa" w:w="456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Federated · Build + Implementation</w:t>
            </w:r>
          </w:p>
        </w:tc>
        <w:tc>
          <w:tcPr>
            <w:tcW w:type="dxa" w:w="312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P31–P34</w:t>
            </w:r>
          </w:p>
        </w:tc>
        <w:tc>
          <w:tcPr>
            <w:tcW w:type="dxa" w:w="24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34"/>
                <w:sz w:val="19"/>
                <w:szCs w:val="19"/>
              </w:rPr>
              <w:t xml:space="preserve">W1 · W2 · W3</w:t>
            </w:r>
          </w:p>
        </w:tc>
      </w:tr>
    </w:tbl>
    <w:p>
      <w:pPr>
        <w:spacing w:after="140"/>
      </w:pP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The read-only guide yields the most projects and has no walkthroughs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which is the right shape: its material is components, and its acceptance criteria are measurements — recall, cost, a resolvable citation — rather than traces.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The governed guide yields the hardest ones.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P26 alone is worth a fortnight, and its walkthrough W3 is the closest thing in the whole set to an unambiguous mark: four attacks, four specific denial codes, no writes.</w:t>
      </w:r>
    </w:p>
    <w:p>
      <w:pPr>
        <w:pBdr>
          <w:bottom w:val="single" w:color="C8D0E0" w:sz="6" w:space="2"/>
        </w:pBdr>
        <w:spacing w:after="120" w:before="80"/>
      </w:pPr>
    </w:p>
    <w:p>
      <w:pPr>
        <w:pBdr>
          <w:bottom w:val="single" w:color="1F3A6E" w:sz="14" w:space="4"/>
        </w:pBdr>
        <w:spacing w:after="0" w:before="460"/>
      </w:pPr>
    </w:p>
    <w:p>
      <w:pPr>
        <w:spacing w:after="24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F3A6E"/>
          <w:sz w:val="30"/>
          <w:szCs w:val="30"/>
        </w:rPr>
        <w:t xml:space="preserve">Level 0 · No agent required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Twelve components, each testable against fixtures with no model call.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The platform (</w:t>
      </w:r>
      <w:r>
        <w:rPr>
          <w:rFonts w:ascii="Consolas" w:cs="Consolas" w:eastAsia="Consolas" w:hAnsi="Consolas"/>
          <w:b/>
          <w:bCs/>
          <w:i w:val="false"/>
          <w:iCs w:val="false"/>
          <w:color w:val="C4582C"/>
          <w:sz w:val="21"/>
          <w:szCs w:val="21"/>
          <w:shd w:fill="F4F6FA" w:val="clear"/>
        </w:rPr>
        <w:t xml:space="preserve">make up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i w:val="false"/>
          <w:iCs w:val="false"/>
          <w:color w:val="C4582C"/>
          <w:sz w:val="21"/>
          <w:szCs w:val="21"/>
          <w:shd w:fill="F4F6FA" w:val="clear"/>
        </w:rPr>
        <w:t xml:space="preserve">make bootstrap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) is the only prerequisite.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P01 · A structural chunker with stable locators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8–12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chunker that splits markdown on headings and clause numbers, falls back to paragraphs above a size limit, treats a fenced code block as atomic whatever its length, and emits locators derived from structure rather than character offsets.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900-token fenced block emerges whole. Editing a paragraph on page 1 leaves every later locator unchanged. A table split across chunks repeats its header in every part.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Build Guide §2.2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Chunking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Three cases the structural splitter gets wrong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Day 1.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Splitting inside a fence. Handle it by merging fenced runs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before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the size loop rather than by adding a branch inside it.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P02 · Contextual retrieval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10–14 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extends P01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preprocessing pass that prepends a generated sentence situating each chunk in its document, embeds the combined text, and stores the original separately for citation.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Retrieval on a query whose terms appear nowhere in the target chunk succeeds. Citations resolve to the original text, not the augmented text. Measured recall improves against a labelled set.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Chunking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— this extends what the guide builds rather than replacing it.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Citing the augmented text. The header is a retrieval aid and must never appear as evidence.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P03 · Hybrid retrieval with rank fusion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10–14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vector arm, a keyword arm, and reciprocal rank fusion over both, with threefold over-fetch and de-duplication by locator.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query containing both a concept and an identifier returns chunks matching each.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test_hybrid_beats_either_arm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passes. Disabling either arm degrades a measured, named query.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Build Guide Day 2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Fusion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Index tuning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Fusing by score. A cosine and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ts_rank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are not commensurable; use ranks.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P04 · A labelled set and a recall harness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6–8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Thirty labelled queries keyed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(source, locator)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each naming the caller, including at least three expected to return nothing. A harness reporting recall@4, @8 and @16 per arm and fused.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The harness runs in under a minute, reports per-query as well as mean recall, and correctly scores a query whose expected result is empty.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Build Guide Day 6 · Implementation Guide §10, the evaluation harness.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Labelling by text. Re-chunk and the whole set is void.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P05 · An entitlement rule engine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6–8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 ordered rule set mapping document paths to entitlement sets, with first-match-wins semantics, no permissive default, and an import-time assertion that rules are ordered most-specific-first.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document matching no rule fails ingestion and lands in a queue. Appending a general rule above a specific one fails the build. A test proves board minutes do not become visible to the whole finance department.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Build Guide §2.4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Assigning entitlements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default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{employee}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Every misfiled document is then published silently.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P06 · A canonical serialiser and payload hasher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6–10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canonicaliser producing byte-identical output for equivalent payloads: sorted keys, decimals as strings, datetimes normalised to UTC, sets sorted, and floats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refused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The same object serialised on two machines hashes identically. Key order does not affect the hash. A float raises with a message naming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Decimal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A round-trip through JSON preserves the hash.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Governed Build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Canonical serialisation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§4.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Allowing floats "just this once". The mismatch appears later, is unreproducible, and the tempting fix deletes the control.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P07 · A hash-chained ledger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8–12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 append-only table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prev_hash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entry_hash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an append function taking a lock on the head read, a verifier reporting the first divergence, and an anchoring job publishing the head to storage under a different credential.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Seed 2,000 entries; alter one; the verifier names the exact sequence and the count invalidated. Recompute the whole chain; verification passes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the anchor comparison fails.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Governed Build Guide §2.6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ledger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§6.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Omitting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FOR UPDATE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on the head read. The chain forks under concurrency and verification fails at an apparently random point — reported as "the ledger is flaky".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P08 · A schema fuzzer with a canary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6–8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property-based harness generating a thousand payloads per tool, asserting that no input reaches a handler without conforming to the declared schema — plus a deliberately-permissive canary tool proving the harness can fail.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The canary produces bypasses. Real tools produce none, or the ones it finds are fixed and become named regression tests. The seed is printed on failure.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Governed Build Guide §2.7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harness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days 10–11.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Believing a clean first run. Add the canary before believing anything.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P09 · A permission matrix generator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5–7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generator producing the role × tool matrix by simulation, a differ against a committed expectation, and a CI check that fails on an unacknowledged cell.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Adding a tool fails the build until the matrix is updated. The rendered matrix fits on one page. The diff appears in the pull request body, not only in a log.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Governed Build Guide §2.7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permission matrix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Running it and not reading it. A diff nobody sees is not a control.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P10 · An idempotency store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6–8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two-phase key store — mark attempted before the call, mark completed after — with a recovery path that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queries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the target system rather than assuming, and a key derived from intent rather than from the attempt.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Killing the process between the call and the completion mark, then retrying, produces one effect and not two. A key containing a timestamp is rejected by a test.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Draft-Writing Build Guide §2.4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Two-phase writes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(elaborated in the Governed guide).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No external reference in the target system. Without it, recovery cannot ask whether the effect happened, and the honest answer becomes an operator decision.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P11 · A cost meter with per-step attribution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5–7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Span attributes for role, model, tokens in and out, and cost; a per-node breakdown; and a counterfactual computing what a run would have cost with every step on one model.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run's cost is attributable to a node, not just a total. The counterfactual runs nightly against a fixed fixture. Local inference is priced at an amortised rate rather than zero.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Cost meter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Span shape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Pricing local inference at zero. A structurally zero column makes every comparison meaningless.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P12 · A prompt loader with expiry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4–6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Prompts as versioned files with front matter — version, role, owner, last regression date, changelog — loaded by role, with a staleness check that fails the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warns at runtime.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prompt not regressed in ninety days fails CI. The version appears in every trace. A prompt change is a reviewable diff.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Implementation Guide §8.1,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Prompts are versioned artifacts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Failing at runtime rather than at build. An import-time failure during an incident is an outage for an unrelated reason.</w:t>
      </w:r>
    </w:p>
    <w:p>
      <w:pPr>
        <w:pBdr>
          <w:bottom w:val="single" w:color="C8D0E0" w:sz="6" w:space="2"/>
        </w:pBdr>
        <w:spacing w:after="120" w:before="80"/>
      </w:pPr>
    </w:p>
    <w:p>
      <w:pPr>
        <w:pBdr>
          <w:bottom w:val="single" w:color="1F3A6E" w:sz="14" w:space="4"/>
        </w:pBdr>
        <w:spacing w:after="0" w:before="460"/>
      </w:pPr>
    </w:p>
    <w:p>
      <w:pPr>
        <w:spacing w:after="24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F3A6E"/>
          <w:sz w:val="30"/>
          <w:szCs w:val="30"/>
        </w:rPr>
        <w:t xml:space="preserve">Level 1 · Needs a read-only agent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Seven projects assuming retrieval, typed read tools, and an answer contract already work.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P13 · A typed tool set and a manifest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10–14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Three read tools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extra="forbid"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input models, pattern-constrained identifiers, row limits with truncation flags, and a decorator performing five checks at import. Plus a manifest generated from the registry and diffed in CI.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tool without a description or a row limit cannot be registered.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make manifest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fails if the committed file differs. A malformed argument never reaches a handler.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Build Guide §2.1, §2.6 and Day 4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Adapters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\d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in an identifier pattern. It matches Devanagari and fullwidth digits;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[0-9]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P14 · The answer contract with a declined path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8–12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typed answer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kind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findings each carrying at least one evidence reference,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considered_and_rejected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scope_limits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written by code,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truncated_sources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missing_sources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— plus validators making inconsistent shapes unrepresentable.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question the corpus cannot answer produces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declined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with an empty findings list and a populated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missing_sources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kind="answered"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with truncation raises.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Build Guide §2.7 and Day 3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Provenance 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§8.2.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Letting the model write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scope_limits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It will invent plausible limitations, indistinguishable from real ones.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P15 · A citation resolver and aligner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6–8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resolver turning an evidence reference back into the chunk it cites, a test asserting every citation in a sample resolves, and an aligner correcting near-misses against the offered set while raising on inventions.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locator shortened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§2.1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§2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is corrected. A locator naming a document that was never retrieved raises. Re-chunking the corpus is followed by a re-run over recent answers.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Build Guide §2.3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Provenance 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§8.4, the entailment prompt.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Treating a near-miss as a failure. It is the commonest case and it is correctable.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P16 · Safe follow-up handling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8–10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Follow-up rewriting into standalone questions, a two-turn history cap,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is_followup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pass-through, and per-turn caller identity in the session store.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In a shared session, a second user's follow-up returns nothing the first user's entitlements uniquely permitted. The rewritten question is shown to the user.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Build Guide Day 5 and Day 6 · Implementation Guide §9.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Carrying the previous turn's retrieved chunks forward. It is faster, users prefer it, and it is an access-control defect.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P17 · A graph executor with reducers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12–16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sixty-line executor over declared nodes and edges, with typed state, per-key reducers, compile-time rejection of multi-writer keys lacking one, a runtime recursion limit, and checkpointing after each node.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Three concurrent workers writing one key produce the same count across twenty runs. A graph with an unreduced multi-writer key fails to compile. A killed process resumes from its last checkpoint.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Governed Build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Checkpointing and the crash window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§5.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Testing once. Without a reducer the correct answer appears roughly one run in five.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P18 · A router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6–8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classification into a closed set, a routing table mapping each category to a workflow, and a low-confidence path to human review.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 unrecognised category is unrepresentable rather than handled. The routing table is readable by somebody who cannot read Python. Classification accuracy is measured against a labelled set.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Build Guide Day 5 · Implementation Guide §8.3, the planning prompt.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Letting the model compose the plan instead of selecting from a table.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P19 · A model profile switcher and portability benchmark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10–14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Role-to-model profiles with no node naming a model, and a benchmark reporting governance assertions, functional assertions, latency and cost across three profiles.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Governance assertions are identical across all three. The report prints its own failures. Swapping the entire cognitive layer is one file.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Read-Only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Model configuration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Governed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five metrics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benchmark with no failures. Plant a known-hard case and confirm it fails.</w:t>
      </w:r>
    </w:p>
    <w:p>
      <w:pPr>
        <w:pBdr>
          <w:bottom w:val="single" w:color="C8D0E0" w:sz="6" w:space="2"/>
        </w:pBdr>
        <w:spacing w:after="120" w:before="80"/>
      </w:pPr>
    </w:p>
    <w:p>
      <w:pPr>
        <w:pBdr>
          <w:bottom w:val="single" w:color="1F3A6E" w:sz="14" w:space="4"/>
        </w:pBdr>
        <w:spacing w:after="0" w:before="460"/>
      </w:pPr>
    </w:p>
    <w:p>
      <w:pPr>
        <w:spacing w:after="24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F3A6E"/>
          <w:sz w:val="30"/>
          <w:szCs w:val="30"/>
        </w:rPr>
        <w:t xml:space="preserve">Level 2 · Needs a draft-writing agent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P20 · The three draft tests, per system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8–12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parameterised harness verifying, for each target system, that a human action is required, that discarding leaves no audit footprint, and that nothing downstream fired.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The suite runs against two systems.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audit_footprint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captures sequence numbers, audit rows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and outbound events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A fixture that emits an event fails test 3.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Draft-Writing Build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three tests applied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Verifying the three draft tests, per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Checking the object's state rather than its side effects. A vendor upgrade that shares drafts with a portal passes a state check and fails reality.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P21 · A semantic verification layer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8–10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Read-back verification asserting the object exists, is in the expected state, holds the requested values, and is attached to the right parent — with a bounded poll for eventually-consistent backends.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Three stubbed misbehaviours are caught: returns an id and stores nothing, creates in the wrong state, coerces an amount. The consistency window is declared per backend.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Draft-Writing Build Guide §2.3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Semantic checks, and the state assertion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assert result is not None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That tests your client library, not the world.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P22 · A draft lifecycle tracker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10–14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draft table with terminal states, a reconciliation poller against each target system, a diff between what was proposed and what was converted, and time-to-convert metrics.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draft converted with edits is recorded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converted_edited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with the field-level diff. An abandoned draft expires rather than sitting open forever.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Draft-Writing Build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Recording the draft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Detecting conversion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Capturing the edit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webhook 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diff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Recording only conversions. The discards and the edits are the signal.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P23 · Conversion metrics that detect rubber-stamping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5–7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The metric pair: conversion rate alongside time-to-convert and edit rate, with an assertion that median time-to-convert exceeds a floor.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simulated queue-clearing pattern fails the assertion while the conversion rate still looks healthy.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Draft-Writing Build Guide §2.6,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Conversion as the control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Metrics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Reporting the rate alone. It is identical for excellent drafts and for nobody reading them.</w:t>
      </w:r>
    </w:p>
    <w:p>
      <w:pPr>
        <w:pBdr>
          <w:bottom w:val="single" w:color="C8D0E0" w:sz="6" w:space="2"/>
        </w:pBdr>
        <w:spacing w:after="120" w:before="80"/>
      </w:pPr>
    </w:p>
    <w:p>
      <w:pPr>
        <w:pBdr>
          <w:bottom w:val="single" w:color="1F3A6E" w:sz="14" w:space="4"/>
        </w:pBdr>
        <w:spacing w:after="0" w:before="460"/>
      </w:pPr>
    </w:p>
    <w:p>
      <w:pPr>
        <w:spacing w:after="24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F3A6E"/>
          <w:sz w:val="30"/>
          <w:szCs w:val="30"/>
        </w:rPr>
        <w:t xml:space="preserve">Level 3 · Needs a governed agent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P24 · A risk rubric and classifier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12–16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Scope × reversibility × persistence with both overrides, a policy-pin registry with expiry, dynamic rubrics that vary by payload, and obligation fields checked after the rubric resolves.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Every route to category 4 has a test. A pin past its review date appears in a report. Two engineers scoring the same operation independently agree, or the disagreement is recorded as a note.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Governed Build Guide §2.1–2.3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rubric in 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Dynamic classification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Policy pins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Static and dynamic rubrics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Pins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Checking obligation fields during schema validation. They must be checked after the rubric decides which apply.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P25 · Boundary functions with policy provenance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8–12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Boundaries reading limits from policy at call time, returning both the denial and its citation, with a gap record where no policy exists and a report counting gaps by firing frequency.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denial names a clause and an effective date. A boundary with no policy cites a gap naming its owner. No limit is a constant in code.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Draft-Writing Build Guide §2.2,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Boundaries, with provenance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Policy loading, so boundaries never hold constants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Inventing a limit and shipping it as though it were policy.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P26 · The approval protocol, attacked four ways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16–20 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strongest single project in the catalogue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Canonicalisation, hashing, suspension with checkpointing, notification by claim, a token carrying both the payload hash and the approval id, resume with a row lock and two hash comparisons, four-eyes enforcement, and boundaries re-run at resume.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All four attacks are demonstrated and refused: tamper, replay across two identical approvals, expiry, self-approval. Two simultaneous approvals produce one effect. An approval valid on Monday is refused on Thursday because the world moved.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Governed Build Guide §2.4,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Suspend and resume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Plan-as-payload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Batch presentation is not batch governance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walkthrough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W3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the approval protocol under attack.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Binding only the payload hash. Two genuinely identical actions then share a signature, which is exactly the shape of a duplicate-payment fraud.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P27 · Durable execution and suspension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12–16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workflow that suspends for human approval and survives process restarts and deployments, with a bounded time-to-live and an expiry path.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Restarting every service while a workflow waits does not lose the suspension. An approval arriving after the TTL is refused with a distinct code.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Governed Build Guide §2.5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Checkpointing and the crash window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walkthrough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W2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Holding the wait in memory. It works in development and loses every pending approval on the first deployment.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P28 · A compensation engine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10–14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Sagas with per-step compensators, applied in reverse order,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declaration per workflow of whether partial completion is worse than rollback.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provisioning workflow failing at step four leaves zero residual artifacts. A revocation workflow failing at step three does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roll back, reports partial completion, and names the residual.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Governed Build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Multi-system writes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When a compensator fails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Sagas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Compensating a revocation. Rolling back re-grants the access you were removing.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P29 · An injection suite asserting on effects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12–16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Fixtures for eight injection families as data rather than code, planted in seeded records, asserting no unauthorised effect and that the hostile text remains visible in the trace.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Disabling each defence layer in turn shows a different layer catching the same injection. The suite asserts effects, never refusals. Every tool has at least one fixture.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Governed Build Guide §2.7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injection suite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days 10–11.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Asserting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model_refused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It fails on the next model upgrade for reasons unrelated to safety.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P30 · Progressive exposure with evidence packs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10–14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Five stages with checkable gates, a promotion command refusing without a linked evidence run, automatic demotion on any harness failure, and generated evidence packs.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Promotion without evidence is refused with a message naming the unmet gate. A simulated harness failure demotes one stage automatically. The pack includes denials, approval decision times, and an approver survey.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Governed Build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exposure ladder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day 12 · Implementation Guide walkthrough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W4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Requiring approval to demote. The whole asymmetry is that demotion is automatic and the argument happens afterwards.</w:t>
      </w:r>
    </w:p>
    <w:p>
      <w:pPr>
        <w:pBdr>
          <w:bottom w:val="single" w:color="C8D0E0" w:sz="6" w:space="2"/>
        </w:pBdr>
        <w:spacing w:after="120" w:before="80"/>
      </w:pPr>
    </w:p>
    <w:p>
      <w:pPr>
        <w:pBdr>
          <w:bottom w:val="single" w:color="1F3A6E" w:sz="14" w:space="4"/>
        </w:pBdr>
        <w:spacing w:after="0" w:before="460"/>
      </w:pPr>
    </w:p>
    <w:p>
      <w:pPr>
        <w:spacing w:after="24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F3A6E"/>
          <w:sz w:val="30"/>
          <w:szCs w:val="30"/>
        </w:rPr>
        <w:t xml:space="preserve">Level 4 · Federated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P31 · An agent capability registry with will-not enforcement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10–14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Versioned capability declarations per domain,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will_not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list, a resolver detecting staleness, and a test asserting every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will_not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entry maps to a check the domain actually runs.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coordinator plans against declared capabilities rather than discovering refusals at execution.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will_not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entry with no corresponding check fails the build.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Federated Build Guide §2.2–2.3,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registry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C4582C"/>
          <w:sz w:val="21"/>
          <w:szCs w:val="21"/>
          <w:shd w:fill="F4F6FA" w:val="clear"/>
        </w:rPr>
        <w:t xml:space="preserve">will_not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 is enforced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Serving and fetching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C4582C"/>
          <w:sz w:val="21"/>
          <w:szCs w:val="21"/>
          <w:shd w:fill="F4F6FA" w:val="clear"/>
        </w:rPr>
        <w:t xml:space="preserve">will_not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 checks read only the domain's own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Treating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82C"/>
          <w:sz w:val="21"/>
          <w:szCs w:val="21"/>
          <w:shd w:fill="F4F6FA" w:val="clear"/>
        </w:rPr>
        <w:t xml:space="preserve">will_not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as documentation. It is enforced, or it is a lie with a version number.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P32 · Token exchange and the delegation chain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10–14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Per-domain, per-call token exchange producing tokens whose subject is the user and whose actor is the coordinator, with the domain verifying both.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token exchanged for domain A is rejected by domain B. A domain refuses a request whose actor is not permitted to act for that subject, even when the subject is entitled.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Federated Build Guide §2.4,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Token 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Two-sided verification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Domain-side verification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walkthrough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W1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Forwarding the original token. That is a confused deputy, and it is one line to prevent.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P33 · Cross-domain planning with one approval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14–18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dry-run plan phase across domains, a consolidated plan hashed as one object, a single human approval covering all of it, and fan-out execution bound to that approval.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One approver signs once for a four-domain operation. A domain still refuses at execution if its policy changed after approval — and the refusal is reported rather than overridden.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Federated Build Guide §2.5–2.6,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envelope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One human gate over many domains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Envelope verification, domain side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walkthrough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W2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Approving per domain. The approver then cannot see the whole operation, which is the thing they were asked to judge.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P34 · Two-perimeter evidence and honest partial reporting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10–12 h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Build.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correlation identifier propagated across every domain, evidence assembled from several ledgers, and a report stating precisely what completed, what did not, and why.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Done 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run touching four domains reconstructs across four ledgers. A partial completion names the residual with its citation and schedules a follow-up. Nothing is claimed that did not happen.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Source.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Federated Build Guide §2.7,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Partial completion across domains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Five metrics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· Implementation Guide walkthrough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W3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Trap.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Reporting success when three of four domains succeeded.</w:t>
      </w:r>
    </w:p>
    <w:p>
      <w:pPr>
        <w:pBdr>
          <w:bottom w:val="single" w:color="C8D0E0" w:sz="6" w:space="2"/>
        </w:pBdr>
        <w:spacing w:after="120" w:before="80"/>
      </w:pPr>
    </w:p>
    <w:p>
      <w:pPr>
        <w:pBdr>
          <w:bottom w:val="single" w:color="1F3A6E" w:sz="14" w:space="4"/>
        </w:pBdr>
        <w:spacing w:after="0" w:before="460"/>
      </w:pPr>
    </w:p>
    <w:p>
      <w:pPr>
        <w:spacing w:after="24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F3A6E"/>
          <w:sz w:val="30"/>
          <w:szCs w:val="30"/>
        </w:rPr>
        <w:t xml:space="preserve">Assessment notes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Every acceptance criterion above is checkable by somebody who was not present.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That is deliberate, and it is what makes these assessable at scale.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Suggested weighting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for a project used as coursework:</w:t>
      </w:r>
    </w:p>
    <w:p>
      <w:pPr>
        <w:spacing w:after="160" w:before="140"/>
        <w:jc w:val="center"/>
      </w:pPr>
      <w:r>
        <w:drawing>
          <wp:inline distT="0" distB="0" distL="0" distR="0">
            <wp:extent cx="367665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The third line matters more than its weight suggests.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 student who built P26 and can explain why the approval token binds two values rather than one has learned the thing; a student who copied a working implementation has not, and the rationale is where the difference shows.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On the trap in each project: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name it in the brief, or do not. Naming it turns the project into an exercise in following instructions; withholding it turns the same project into an exercise in debugging, and the second is more valuable if the marking scheme forgives it.</w:t>
      </w:r>
    </w:p>
    <w:p>
      <w:pPr>
        <w:pBdr>
          <w:bottom w:val="single" w:color="1F3A6E" w:sz="14" w:space="4"/>
        </w:pBdr>
        <w:spacing w:after="0" w:before="460"/>
      </w:pPr>
    </w:p>
    <w:p>
      <w:pPr>
        <w:spacing w:after="24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F3A6E"/>
          <w:sz w:val="30"/>
          <w:szCs w:val="30"/>
        </w:rPr>
        <w:t xml:space="preserve">Appendix · Coverage by guide section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What this is for.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If you are setting coursework from one guide, this tells you which of its sections have a project attached and which do not.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A section with no project is not an oversight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— some are argument rather than construction — but it is worth knowing which parts of a guide a student will not have built.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Read-Only</w:t>
      </w:r>
    </w:p>
    <w:p>
      <w:pPr>
        <w:spacing w:after="160" w:before="140"/>
        <w:jc w:val="center"/>
      </w:pPr>
      <w:r>
        <w:drawing>
          <wp:inline distT="0" distB="0" distL="0" distR="0">
            <wp:extent cx="5172075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Draft-Writing</w:t>
      </w:r>
    </w:p>
    <w:p>
      <w:pPr>
        <w:spacing w:after="160" w:before="140"/>
        <w:jc w:val="center"/>
      </w:pPr>
      <w:r>
        <w:drawing>
          <wp:inline distT="0" distB="0" distL="0" distR="0">
            <wp:extent cx="47244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Governed</w:t>
      </w:r>
    </w:p>
    <w:p>
      <w:pPr>
        <w:spacing w:after="160" w:before="140"/>
        <w:jc w:val="center"/>
      </w:pPr>
      <w:r>
        <w:drawing>
          <wp:inline distT="0" distB="0" distL="0" distR="0">
            <wp:extent cx="5172075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4A3888"/>
          <w:sz w:val="24"/>
          <w:szCs w:val="24"/>
        </w:rPr>
        <w:t xml:space="preserve">Federated</w:t>
      </w:r>
    </w:p>
    <w:p>
      <w:pPr>
        <w:spacing w:after="160" w:before="140"/>
        <w:jc w:val="center"/>
      </w:pPr>
      <w:r>
        <w:drawing>
          <wp:inline distT="0" distB="0" distL="0" distR="0">
            <wp:extent cx="603885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One observation from assembling this.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The sections without projects are, almost without exception, the ones arguing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whether to build the stage at 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— the introduction's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where to stop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the read-only guide's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what is deliberately absent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the federated guide's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test for whether you need 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That is deliberate on the guides' part and worth preserving. </w:t>
      </w:r>
      <w:r>
        <w:rPr>
          <w:rFonts w:ascii="Calibri" w:cs="Calibri" w:eastAsia="Calibri" w:hAnsi="Calibri"/>
          <w:b/>
          <w:bCs/>
          <w:i w:val="false"/>
          <w:iCs w:val="false"/>
          <w:color w:val="202634"/>
          <w:sz w:val="21"/>
          <w:szCs w:val="21"/>
        </w:rPr>
        <w:t xml:space="preserve">A student who builds every project and skips those sections will know how and not whether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, and the second judgement is the harder one. Set at least one of those sections as reading alongside whichever project you assign.</w:t>
      </w:r>
    </w:p>
    <w:p>
      <w:pPr>
        <w:pStyle w:val="Heading2"/>
        <w:pBdr>
          <w:bottom w:val="single" w:color="C8D0E0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B6F6B"/>
          <w:sz w:val="28"/>
          <w:szCs w:val="28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50" w:before="30" w:line="270"/>
      </w:pP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Building a Read-Only Enterprise 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Read-Only Agent — Implementation Guide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The Autonomy Ladder, stage 1.</w:t>
      </w:r>
    </w:p>
    <w:p>
      <w:pPr>
        <w:pStyle w:val="ListParagraph"/>
        <w:numPr>
          <w:ilvl w:val="0"/>
          <w:numId w:val="2"/>
        </w:numPr>
        <w:spacing w:after="50" w:before="30" w:line="270"/>
      </w:pP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Building a Draft-Writing Enterprise 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Draft-Writing Agent — Implementation Guide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Stage 2.</w:t>
      </w:r>
    </w:p>
    <w:p>
      <w:pPr>
        <w:pStyle w:val="ListParagraph"/>
        <w:numPr>
          <w:ilvl w:val="0"/>
          <w:numId w:val="2"/>
        </w:numPr>
        <w:spacing w:after="50" w:before="30" w:line="270"/>
      </w:pP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Building a Governed Enterprise 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Governed Agent — Implementation Guide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Stage 3.</w:t>
      </w:r>
    </w:p>
    <w:p>
      <w:pPr>
        <w:pStyle w:val="ListParagraph"/>
        <w:numPr>
          <w:ilvl w:val="0"/>
          <w:numId w:val="2"/>
        </w:numPr>
        <w:spacing w:after="50" w:before="30" w:line="270"/>
      </w:pP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Building a Federated Enterprise 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Federated Agent — Implementation Guide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Stage 4.</w:t>
      </w:r>
    </w:p>
    <w:p>
      <w:pPr>
        <w:pStyle w:val="ListParagraph"/>
        <w:numPr>
          <w:ilvl w:val="0"/>
          <w:numId w:val="2"/>
        </w:numPr>
        <w:spacing w:after="50" w:before="30" w:line="270"/>
      </w:pPr>
      <w:r>
        <w:rPr>
          <w:rFonts w:ascii="Calibri" w:cs="Calibri" w:eastAsia="Calibri" w:hAnsi="Calibri"/>
          <w:b w:val="false"/>
          <w:bCs w:val="false"/>
          <w:i/>
          <w:iCs/>
          <w:color w:val="202634"/>
          <w:sz w:val="21"/>
          <w:szCs w:val="21"/>
        </w:rPr>
        <w:t xml:space="preserve">The Autonomy Ladder: An Introduction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34"/>
          <w:sz w:val="21"/>
          <w:szCs w:val="21"/>
        </w:rPr>
        <w:t xml:space="preserve">. — read before selecting a project, particularly §10, where to stop.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E68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0E0" w:sz="4" w:space="3"/>
      </w:pBdr>
      <w:jc w:val="right"/>
    </w:pPr>
    <w:r>
      <w:rPr>
        <w:rFonts w:ascii="Calibri" w:cs="Calibri" w:eastAsia="Calibri" w:hAnsi="Calibri"/>
        <w:color w:val="5E6880"/>
        <w:sz w:val="16"/>
        <w:szCs w:val="16"/>
      </w:rPr>
      <w:t xml:space="preserve">The Autonomy Ladder · Project Catalogue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6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239cb79d3b56d258a30d3aacb178ebb76295c6.png"/><Relationship Id="rId10" Type="http://schemas.openxmlformats.org/officeDocument/2006/relationships/image" Target="media/6900fd0dc6c6058399ab0763d2de46a2d1a48f95.png"/><Relationship Id="rId11" Type="http://schemas.openxmlformats.org/officeDocument/2006/relationships/image" Target="media/4ae8406bc294a1ed5111db88eabbdf5de309ec60.png"/><Relationship Id="rId12" Type="http://schemas.openxmlformats.org/officeDocument/2006/relationships/image" Target="media/832b111ccbf3cb1ee4d3d93d3e291992ef58e3b7.png"/><Relationship Id="rId13" Type="http://schemas.openxmlformats.org/officeDocument/2006/relationships/image" Target="media/266614502582bf2a1452c4d47bbb8f6c6f727136.png"/><Relationship Id="rId14" Type="http://schemas.openxmlformats.org/officeDocument/2006/relationships/image" Target="media/2b0e080801587f8b5a543c0ae4daad3fcb017b9b.png"/><Relationship Id="rId15" Type="http://schemas.openxmlformats.org/officeDocument/2006/relationships/image" Target="media/39f461cb4345ffc4b467e9f2932511ce31af6f1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 Independent Projects · A Catalogue</dc:title>
  <dc:creator>Building AI Agents</dc:creator>
  <cp:lastModifiedBy>Un-named</cp:lastModifiedBy>
  <cp:revision>1</cp:revision>
  <dcterms:created xsi:type="dcterms:W3CDTF">2026-08-17T09:14:41.481Z</dcterms:created>
  <dcterms:modified xsi:type="dcterms:W3CDTF">2026-08-17T09:14:41.481Z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