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color w:val="595959"/>
          <w:spacing w:val="40"/>
          <w:sz w:val="20"/>
          <w:szCs w:val="20"/>
        </w:rPr>
        <w:t xml:space="preserve">IMPERIAL SCHOOL OF BANKING AND MANAGEMENT STUDIES, PUNE</w:t>
      </w:r>
    </w:p>
    <w:p>
      <w:pPr>
        <w:spacing w:after="600"/>
        <w:jc w:val="center"/>
      </w:pPr>
      <w:r>
        <w:rPr>
          <w:color w:val="595959"/>
          <w:sz w:val="20"/>
          <w:szCs w:val="20"/>
        </w:rPr>
        <w:t xml:space="preserve">PGDM (Financial Management) · Agentic AI &amp; Advanced Analytics in Finance · Capstone, Group 14</w:t>
      </w:r>
    </w:p>
    <w:p>
      <w:pPr>
        <w:spacing w:after="200"/>
        <w:jc w:val="center"/>
      </w:pPr>
      <w:r>
        <w:rPr>
          <w:b/>
          <w:bCs/>
          <w:color w:val="1F3864"/>
          <w:sz w:val="64"/>
          <w:szCs w:val="64"/>
        </w:rPr>
        <w:t xml:space="preserve">SpreadWatch</w:t>
      </w:r>
    </w:p>
    <w:p>
      <w:pPr>
        <w:spacing w:after="200"/>
        <w:jc w:val="center"/>
      </w:pPr>
      <w:r>
        <w:rPr>
          <w:color w:val="1F3864"/>
          <w:sz w:val="40"/>
          <w:szCs w:val="40"/>
        </w:rPr>
        <w:t xml:space="preserve">Data &amp; Operations Guidebook</w:t>
      </w:r>
    </w:p>
    <w:p>
      <w:pPr>
        <w:pBdr>
          <w:bottom w:val="single" w:color="C9A227" w:sz="12" w:space="12"/>
        </w:pBdr>
        <w:spacing w:after="800"/>
        <w:jc w:val="center"/>
      </w:pPr>
      <w:r>
        <w:rPr>
          <w:i/>
          <w:iCs/>
          <w:sz w:val="26"/>
          <w:szCs w:val="26"/>
        </w:rPr>
        <w:t xml:space="preserve">AI-Based Corporate Bond Credit Spread &amp; Rating Migration Analyser</w:t>
      </w:r>
    </w:p>
    <w:p>
      <w:pPr>
        <w:spacing w:after="120"/>
        <w:jc w:val="center"/>
      </w:pPr>
      <w:r>
        <w:rPr>
          <w:sz w:val="22"/>
          <w:szCs w:val="22"/>
        </w:rPr>
        <w:t xml:space="preserve">How the model works · exactly which data to download · which companies · from where · how to run it on real data</w:t>
      </w:r>
    </w:p>
    <w:p>
      <w:pPr>
        <w:spacing w:after="120"/>
        <w:jc w:val="center"/>
      </w:pPr>
      <w:r>
        <w:rPr>
          <w:b/>
          <w:bCs/>
          <w:sz w:val="22"/>
          <w:szCs w:val="22"/>
        </w:rPr>
        <w:t xml:space="preserve">Gupta Sejal Rajkumar · Abhinav Panchal</w:t>
      </w:r>
    </w:p>
    <w:p>
      <w:pPr>
        <w:spacing w:before="1600"/>
        <w:jc w:val="center"/>
      </w:pPr>
      <w:r>
        <w:rPr>
          <w:color w:val="595959"/>
          <w:sz w:val="18"/>
          <w:szCs w:val="18"/>
        </w:rPr>
        <w:t xml:space="preserve">Version 1.0 · 18 October 2026 · For internal use by the project group</w:t>
      </w:r>
    </w:p>
    <w:p>
      <w:pPr>
        <w:pageBreakBefore/>
        <w:spacing w:after="200"/>
      </w:pPr>
      <w:r>
        <w:rPr>
          <w:b/>
          <w:bCs/>
          <w:color w:val="1F3864"/>
          <w:sz w:val="32"/>
          <w:szCs w:val="32"/>
        </w:rPr>
        <w:t xml:space="preserve">Contents</w:t>
      </w:r>
    </w:p>
    <w:sdt>
      <w:sdtPr>
        <w:alias w:val="Contents"/>
      </w:sdtPr>
      <w:sdtContent>
        <w:p>
          <w:pPr>
            <w:pStyle w:val="TOC1"/>
            <w:tabs>
              <w:tab w:val="right" w:pos="9026" w:leader="dot"/>
            </w:tabs>
          </w:pPr>
          <w:r>
            <w:fldChar w:fldCharType="begin" w:dirty="true"/>
            <w:instrText xml:space="preserve">TOC \h \o "1-2"</w:instrText>
            <w:fldChar w:fldCharType="separate"/>
          </w:r>
          <w:hyperlink w:history="1" w:anchor="_Toc1">
            <w:r>
              <w:t xml:space="preserve">1. Read this first</w:t>
            </w:r>
            <w:r>
              <w:tab/>
            </w:r>
            <w:r>
              <w:fldChar w:fldCharType="begin" w:dirty="true"/>
              <w:instrText xml:space="preserve">PAGEREF _Toc1 \h</w:instrText>
              <w:fldChar w:fldCharType="separate"/>
              <w:fldChar w:fldCharType="end"/>
            </w:r>
          </w:hyperlink>
        </w:p>
        <w:p>
          <w:pPr>
            <w:pStyle w:val="TOC2"/>
            <w:tabs>
              <w:tab w:val="right" w:pos="9026" w:leader="dot"/>
            </w:tabs>
            <w:ind w:left="220"/>
          </w:pPr>
          <w:hyperlink w:history="1" w:anchor="_Toc2">
            <w:r>
              <w:t xml:space="preserve">1.1 Short answers to your questions</w:t>
            </w:r>
            <w:r>
              <w:tab/>
            </w:r>
            <w:r>
              <w:fldChar w:fldCharType="begin" w:dirty="true"/>
              <w:instrText xml:space="preserve">PAGEREF _Toc2 \h</w:instrText>
              <w:fldChar w:fldCharType="separate"/>
              <w:fldChar w:fldCharType="end"/>
            </w:r>
          </w:hyperlink>
        </w:p>
        <w:p>
          <w:pPr>
            <w:pStyle w:val="TOC2"/>
            <w:tabs>
              <w:tab w:val="right" w:pos="9026" w:leader="dot"/>
            </w:tabs>
            <w:ind w:left="220"/>
          </w:pPr>
          <w:hyperlink w:history="1" w:anchor="_Toc3">
            <w:r>
              <w:t xml:space="preserve">1.2 What would get the project disqualified, and how this guide prevents it</w:t>
            </w:r>
            <w:r>
              <w:tab/>
            </w:r>
            <w:r>
              <w:fldChar w:fldCharType="begin" w:dirty="true"/>
              <w:instrText xml:space="preserve">PAGEREF _Toc3 \h</w:instrText>
              <w:fldChar w:fldCharType="separate"/>
              <w:fldChar w:fldCharType="end"/>
            </w:r>
          </w:hyperlink>
        </w:p>
        <w:p>
          <w:pPr>
            <w:pStyle w:val="TOC1"/>
            <w:tabs>
              <w:tab w:val="right" w:pos="9026" w:leader="dot"/>
            </w:tabs>
          </w:pPr>
          <w:hyperlink w:history="1" w:anchor="_Toc4">
            <w:r>
              <w:t xml:space="preserve">2. The two-day plan</w:t>
            </w:r>
            <w:r>
              <w:tab/>
            </w:r>
            <w:r>
              <w:fldChar w:fldCharType="begin" w:dirty="true"/>
              <w:instrText xml:space="preserve">PAGEREF _Toc4 \h</w:instrText>
              <w:fldChar w:fldCharType="separate"/>
              <w:fldChar w:fldCharType="end"/>
            </w:r>
          </w:hyperlink>
        </w:p>
        <w:p>
          <w:pPr>
            <w:pStyle w:val="TOC1"/>
            <w:tabs>
              <w:tab w:val="right" w:pos="9026" w:leader="dot"/>
            </w:tabs>
          </w:pPr>
          <w:hyperlink w:history="1" w:anchor="_Toc5">
            <w:r>
              <w:t xml:space="preserve">3. How the model works</w:t>
            </w:r>
            <w:r>
              <w:tab/>
            </w:r>
            <w:r>
              <w:fldChar w:fldCharType="begin" w:dirty="true"/>
              <w:instrText xml:space="preserve">PAGEREF _Toc5 \h</w:instrText>
              <w:fldChar w:fldCharType="separate"/>
              <w:fldChar w:fldCharType="end"/>
            </w:r>
          </w:hyperlink>
        </w:p>
        <w:p>
          <w:pPr>
            <w:pStyle w:val="TOC2"/>
            <w:tabs>
              <w:tab w:val="right" w:pos="9026" w:leader="dot"/>
            </w:tabs>
            <w:ind w:left="220"/>
          </w:pPr>
          <w:hyperlink w:history="1" w:anchor="_Toc6">
            <w:r>
              <w:t xml:space="preserve">3.1 The idea in one paragraph</w:t>
            </w:r>
            <w:r>
              <w:tab/>
            </w:r>
            <w:r>
              <w:fldChar w:fldCharType="begin" w:dirty="true"/>
              <w:instrText xml:space="preserve">PAGEREF _Toc6 \h</w:instrText>
              <w:fldChar w:fldCharType="separate"/>
              <w:fldChar w:fldCharType="end"/>
            </w:r>
          </w:hyperlink>
        </w:p>
        <w:p>
          <w:pPr>
            <w:pStyle w:val="TOC2"/>
            <w:tabs>
              <w:tab w:val="right" w:pos="9026" w:leader="dot"/>
            </w:tabs>
            <w:ind w:left="220"/>
          </w:pPr>
          <w:hyperlink w:history="1" w:anchor="_Toc7">
            <w:r>
              <w:t xml:space="preserve">3.2 The five layers</w:t>
            </w:r>
            <w:r>
              <w:tab/>
            </w:r>
            <w:r>
              <w:fldChar w:fldCharType="begin" w:dirty="true"/>
              <w:instrText xml:space="preserve">PAGEREF _Toc7 \h</w:instrText>
              <w:fldChar w:fldCharType="separate"/>
              <w:fldChar w:fldCharType="end"/>
            </w:r>
          </w:hyperlink>
        </w:p>
        <w:p>
          <w:pPr>
            <w:pStyle w:val="TOC2"/>
            <w:tabs>
              <w:tab w:val="right" w:pos="9026" w:leader="dot"/>
            </w:tabs>
            <w:ind w:left="220"/>
          </w:pPr>
          <w:hyperlink w:history="1" w:anchor="_Toc8">
            <w:r>
              <w:t xml:space="preserve">3.3 What happens when you press run</w:t>
            </w:r>
            <w:r>
              <w:tab/>
            </w:r>
            <w:r>
              <w:fldChar w:fldCharType="begin" w:dirty="true"/>
              <w:instrText xml:space="preserve">PAGEREF _Toc8 \h</w:instrText>
              <w:fldChar w:fldCharType="separate"/>
              <w:fldChar w:fldCharType="end"/>
            </w:r>
          </w:hyperlink>
        </w:p>
        <w:p>
          <w:pPr>
            <w:pStyle w:val="TOC2"/>
            <w:tabs>
              <w:tab w:val="right" w:pos="9026" w:leader="dot"/>
            </w:tabs>
            <w:ind w:left="220"/>
          </w:pPr>
          <w:hyperlink w:history="1" w:anchor="_Toc9">
            <w:r>
              <w:t xml:space="preserve">3.4 The key calculations, with worked numbers</w:t>
            </w:r>
            <w:r>
              <w:tab/>
            </w:r>
            <w:r>
              <w:fldChar w:fldCharType="begin" w:dirty="true"/>
              <w:instrText xml:space="preserve">PAGEREF _Toc9 \h</w:instrText>
              <w:fldChar w:fldCharType="separate"/>
              <w:fldChar w:fldCharType="end"/>
            </w:r>
          </w:hyperlink>
        </w:p>
        <w:p>
          <w:pPr>
            <w:pStyle w:val="TOC2"/>
            <w:tabs>
              <w:tab w:val="right" w:pos="9026" w:leader="dot"/>
            </w:tabs>
            <w:ind w:left="220"/>
          </w:pPr>
          <w:hyperlink w:history="1" w:anchor="_Toc10">
            <w:r>
              <w:t xml:space="preserve">3.5 What the outputs mean</w:t>
            </w:r>
            <w:r>
              <w:tab/>
            </w:r>
            <w:r>
              <w:fldChar w:fldCharType="begin" w:dirty="true"/>
              <w:instrText xml:space="preserve">PAGEREF _Toc10 \h</w:instrText>
              <w:fldChar w:fldCharType="separate"/>
              <w:fldChar w:fldCharType="end"/>
            </w:r>
          </w:hyperlink>
        </w:p>
        <w:p>
          <w:pPr>
            <w:pStyle w:val="TOC1"/>
            <w:tabs>
              <w:tab w:val="right" w:pos="9026" w:leader="dot"/>
            </w:tabs>
          </w:pPr>
          <w:hyperlink w:history="1" w:anchor="_Toc11">
            <w:r>
              <w:t xml:space="preserve">4. The data you need, and the companies</w:t>
            </w:r>
            <w:r>
              <w:tab/>
            </w:r>
            <w:r>
              <w:fldChar w:fldCharType="begin" w:dirty="true"/>
              <w:instrText xml:space="preserve">PAGEREF _Toc11 \h</w:instrText>
              <w:fldChar w:fldCharType="separate"/>
              <w:fldChar w:fldCharType="end"/>
            </w:r>
          </w:hyperlink>
        </w:p>
        <w:p>
          <w:pPr>
            <w:pStyle w:val="TOC2"/>
            <w:tabs>
              <w:tab w:val="right" w:pos="9026" w:leader="dot"/>
            </w:tabs>
            <w:ind w:left="220"/>
          </w:pPr>
          <w:hyperlink w:history="1" w:anchor="_Toc12">
            <w:r>
              <w:t xml:space="preserve">4.1 Five inputs, nothing else</w:t>
            </w:r>
            <w:r>
              <w:tab/>
            </w:r>
            <w:r>
              <w:fldChar w:fldCharType="begin" w:dirty="true"/>
              <w:instrText xml:space="preserve">PAGEREF _Toc12 \h</w:instrText>
              <w:fldChar w:fldCharType="separate"/>
              <w:fldChar w:fldCharType="end"/>
            </w:r>
          </w:hyperlink>
        </w:p>
        <w:p>
          <w:pPr>
            <w:pStyle w:val="TOC2"/>
            <w:tabs>
              <w:tab w:val="right" w:pos="9026" w:leader="dot"/>
            </w:tabs>
            <w:ind w:left="220"/>
          </w:pPr>
          <w:hyperlink w:history="1" w:anchor="_Toc13">
            <w:r>
              <w:t xml:space="preserve">4.2 Study period</w:t>
            </w:r>
            <w:r>
              <w:tab/>
            </w:r>
            <w:r>
              <w:fldChar w:fldCharType="begin" w:dirty="true"/>
              <w:instrText xml:space="preserve">PAGEREF _Toc13 \h</w:instrText>
              <w:fldChar w:fldCharType="separate"/>
              <w:fldChar w:fldCharType="end"/>
            </w:r>
          </w:hyperlink>
        </w:p>
        <w:p>
          <w:pPr>
            <w:pStyle w:val="TOC2"/>
            <w:tabs>
              <w:tab w:val="right" w:pos="9026" w:leader="dot"/>
            </w:tabs>
            <w:ind w:left="220"/>
          </w:pPr>
          <w:hyperlink w:history="1" w:anchor="_Toc14">
            <w:r>
              <w:t xml:space="preserve">4.3 The 12 downgraded (“event”) companies</w:t>
            </w:r>
            <w:r>
              <w:tab/>
            </w:r>
            <w:r>
              <w:fldChar w:fldCharType="begin" w:dirty="true"/>
              <w:instrText xml:space="preserve">PAGEREF _Toc14 \h</w:instrText>
              <w:fldChar w:fldCharType="separate"/>
              <w:fldChar w:fldCharType="end"/>
            </w:r>
          </w:hyperlink>
        </w:p>
        <w:p>
          <w:pPr>
            <w:pStyle w:val="TOC2"/>
            <w:tabs>
              <w:tab w:val="right" w:pos="9026" w:leader="dot"/>
            </w:tabs>
            <w:ind w:left="220"/>
          </w:pPr>
          <w:hyperlink w:history="1" w:anchor="_Toc15">
            <w:r>
              <w:t xml:space="preserve">4.4 The 12 stable (“control”) companies</w:t>
            </w:r>
            <w:r>
              <w:tab/>
            </w:r>
            <w:r>
              <w:fldChar w:fldCharType="begin" w:dirty="true"/>
              <w:instrText xml:space="preserve">PAGEREF _Toc15 \h</w:instrText>
              <w:fldChar w:fldCharType="separate"/>
              <w:fldChar w:fldCharType="end"/>
            </w:r>
          </w:hyperlink>
        </w:p>
        <w:p>
          <w:pPr>
            <w:pStyle w:val="TOC1"/>
            <w:tabs>
              <w:tab w:val="right" w:pos="9026" w:leader="dot"/>
            </w:tabs>
          </w:pPr>
          <w:hyperlink w:history="1" w:anchor="_Toc16">
            <w:r>
              <w:t xml:space="preserve">5. Step-by-step: downloading each input</w:t>
            </w:r>
            <w:r>
              <w:tab/>
            </w:r>
            <w:r>
              <w:fldChar w:fldCharType="begin" w:dirty="true"/>
              <w:instrText xml:space="preserve">PAGEREF _Toc16 \h</w:instrText>
              <w:fldChar w:fldCharType="separate"/>
              <w:fldChar w:fldCharType="end"/>
            </w:r>
          </w:hyperlink>
        </w:p>
        <w:p>
          <w:pPr>
            <w:pStyle w:val="TOC2"/>
            <w:tabs>
              <w:tab w:val="right" w:pos="9026" w:leader="dot"/>
            </w:tabs>
            <w:ind w:left="220"/>
          </w:pPr>
          <w:hyperlink w:history="1" w:anchor="_Toc17">
            <w:r>
              <w:t xml:space="preserve">5.1 Rating actions (Member A, ~4–5 hours)</w:t>
            </w:r>
            <w:r>
              <w:tab/>
            </w:r>
            <w:r>
              <w:fldChar w:fldCharType="begin" w:dirty="true"/>
              <w:instrText xml:space="preserve">PAGEREF _Toc17 \h</w:instrText>
              <w:fldChar w:fldCharType="separate"/>
              <w:fldChar w:fldCharType="end"/>
            </w:r>
          </w:hyperlink>
        </w:p>
        <w:p>
          <w:pPr>
            <w:pStyle w:val="TOC2"/>
            <w:tabs>
              <w:tab w:val="right" w:pos="9026" w:leader="dot"/>
            </w:tabs>
            <w:ind w:left="220"/>
          </w:pPr>
          <w:hyperlink w:history="1" w:anchor="_Toc18">
            <w:r>
              <w:t xml:space="preserve">5.2 ISINs and the bond master (Member B, ~2 hours)</w:t>
            </w:r>
            <w:r>
              <w:tab/>
            </w:r>
            <w:r>
              <w:fldChar w:fldCharType="begin" w:dirty="true"/>
              <w:instrText xml:space="preserve">PAGEREF _Toc18 \h</w:instrText>
              <w:fldChar w:fldCharType="separate"/>
              <w:fldChar w:fldCharType="end"/>
            </w:r>
          </w:hyperlink>
        </w:p>
        <w:p>
          <w:pPr>
            <w:pStyle w:val="TOC2"/>
            <w:tabs>
              <w:tab w:val="right" w:pos="9026" w:leader="dot"/>
            </w:tabs>
            <w:ind w:left="220"/>
          </w:pPr>
          <w:hyperlink w:history="1" w:anchor="_Toc19">
            <w:r>
              <w:t xml:space="preserve">5.3 Bond trades (Member B, ~3 hours)</w:t>
            </w:r>
            <w:r>
              <w:tab/>
            </w:r>
            <w:r>
              <w:fldChar w:fldCharType="begin" w:dirty="true"/>
              <w:instrText xml:space="preserve">PAGEREF _Toc19 \h</w:instrText>
              <w:fldChar w:fldCharType="separate"/>
              <w:fldChar w:fldCharType="end"/>
            </w:r>
          </w:hyperlink>
        </w:p>
        <w:p>
          <w:pPr>
            <w:pStyle w:val="TOC2"/>
            <w:tabs>
              <w:tab w:val="right" w:pos="9026" w:leader="dot"/>
            </w:tabs>
            <w:ind w:left="220"/>
          </w:pPr>
          <w:hyperlink w:history="1" w:anchor="_Toc20">
            <w:r>
              <w:t xml:space="preserve">5.4 G-sec yield curve (Member B, ~1–2 hours)</w:t>
            </w:r>
            <w:r>
              <w:tab/>
            </w:r>
            <w:r>
              <w:fldChar w:fldCharType="begin" w:dirty="true"/>
              <w:instrText xml:space="preserve">PAGEREF _Toc20 \h</w:instrText>
              <w:fldChar w:fldCharType="separate"/>
              <w:fldChar w:fldCharType="end"/>
            </w:r>
          </w:hyperlink>
        </w:p>
        <w:p>
          <w:pPr>
            <w:pStyle w:val="TOC2"/>
            <w:tabs>
              <w:tab w:val="right" w:pos="9026" w:leader="dot"/>
            </w:tabs>
            <w:ind w:left="220"/>
          </w:pPr>
          <w:hyperlink w:history="1" w:anchor="_Toc21">
            <w:r>
              <w:t xml:space="preserve">5.5 Rating rationale PDFs (optional, ~30 minutes)</w:t>
            </w:r>
            <w:r>
              <w:tab/>
            </w:r>
            <w:r>
              <w:fldChar w:fldCharType="begin" w:dirty="true"/>
              <w:instrText xml:space="preserve">PAGEREF _Toc21 \h</w:instrText>
              <w:fldChar w:fldCharType="separate"/>
              <w:fldChar w:fldCharType="end"/>
            </w:r>
          </w:hyperlink>
        </w:p>
        <w:p>
          <w:pPr>
            <w:pStyle w:val="TOC2"/>
            <w:tabs>
              <w:tab w:val="right" w:pos="9026" w:leader="dot"/>
            </w:tabs>
            <w:ind w:left="220"/>
          </w:pPr>
          <w:hyperlink w:history="1" w:anchor="_Toc22">
            <w:r>
              <w:t xml:space="preserve">5.6 CRISIL default and transition study (optional, 10 minutes)</w:t>
            </w:r>
            <w:r>
              <w:tab/>
            </w:r>
            <w:r>
              <w:fldChar w:fldCharType="begin" w:dirty="true"/>
              <w:instrText xml:space="preserve">PAGEREF _Toc22 \h</w:instrText>
              <w:fldChar w:fldCharType="separate"/>
              <w:fldChar w:fldCharType="end"/>
            </w:r>
          </w:hyperlink>
        </w:p>
        <w:p>
          <w:pPr>
            <w:pStyle w:val="TOC1"/>
            <w:tabs>
              <w:tab w:val="right" w:pos="9026" w:leader="dot"/>
            </w:tabs>
          </w:pPr>
          <w:hyperlink w:history="1" w:anchor="_Toc23">
            <w:r>
              <w:t xml:space="preserve">6. Logging every file in sources.csv</w:t>
            </w:r>
            <w:r>
              <w:tab/>
            </w:r>
            <w:r>
              <w:fldChar w:fldCharType="begin" w:dirty="true"/>
              <w:instrText xml:space="preserve">PAGEREF _Toc23 \h</w:instrText>
              <w:fldChar w:fldCharType="separate"/>
              <w:fldChar w:fldCharType="end"/>
            </w:r>
          </w:hyperlink>
        </w:p>
        <w:p>
          <w:pPr>
            <w:pStyle w:val="TOC1"/>
            <w:tabs>
              <w:tab w:val="right" w:pos="9026" w:leader="dot"/>
            </w:tabs>
          </w:pPr>
          <w:hyperlink w:history="1" w:anchor="_Toc24">
            <w:r>
              <w:t xml:space="preserve">7. Running the model</w:t>
            </w:r>
            <w:r>
              <w:tab/>
            </w:r>
            <w:r>
              <w:fldChar w:fldCharType="begin" w:dirty="true"/>
              <w:instrText xml:space="preserve">PAGEREF _Toc24 \h</w:instrText>
              <w:fldChar w:fldCharType="separate"/>
              <w:fldChar w:fldCharType="end"/>
            </w:r>
          </w:hyperlink>
        </w:p>
        <w:p>
          <w:pPr>
            <w:pStyle w:val="TOC2"/>
            <w:tabs>
              <w:tab w:val="right" w:pos="9026" w:leader="dot"/>
            </w:tabs>
            <w:ind w:left="220"/>
          </w:pPr>
          <w:hyperlink w:history="1" w:anchor="_Toc25">
            <w:r>
              <w:t xml:space="preserve">7.1 One-time setup (both laptops)</w:t>
            </w:r>
            <w:r>
              <w:tab/>
            </w:r>
            <w:r>
              <w:fldChar w:fldCharType="begin" w:dirty="true"/>
              <w:instrText xml:space="preserve">PAGEREF _Toc25 \h</w:instrText>
              <w:fldChar w:fldCharType="separate"/>
              <w:fldChar w:fldCharType="end"/>
            </w:r>
          </w:hyperlink>
        </w:p>
        <w:p>
          <w:pPr>
            <w:pStyle w:val="TOC2"/>
            <w:tabs>
              <w:tab w:val="right" w:pos="9026" w:leader="dot"/>
            </w:tabs>
            <w:ind w:left="220"/>
          </w:pPr>
          <w:hyperlink w:history="1" w:anchor="_Toc26">
            <w:r>
              <w:t xml:space="preserve">7.2 Run on your real data</w:t>
            </w:r>
            <w:r>
              <w:tab/>
            </w:r>
            <w:r>
              <w:fldChar w:fldCharType="begin" w:dirty="true"/>
              <w:instrText xml:space="preserve">PAGEREF _Toc26 \h</w:instrText>
              <w:fldChar w:fldCharType="separate"/>
              <w:fldChar w:fldCharType="end"/>
            </w:r>
          </w:hyperlink>
        </w:p>
        <w:p>
          <w:pPr>
            <w:pStyle w:val="TOC2"/>
            <w:tabs>
              <w:tab w:val="right" w:pos="9026" w:leader="dot"/>
            </w:tabs>
            <w:ind w:left="220"/>
          </w:pPr>
          <w:hyperlink w:history="1" w:anchor="_Toc27">
            <w:r>
              <w:t xml:space="preserve">7.3 Check these before you write anything</w:t>
            </w:r>
            <w:r>
              <w:tab/>
            </w:r>
            <w:r>
              <w:fldChar w:fldCharType="begin" w:dirty="true"/>
              <w:instrText xml:space="preserve">PAGEREF _Toc27 \h</w:instrText>
              <w:fldChar w:fldCharType="separate"/>
              <w:fldChar w:fldCharType="end"/>
            </w:r>
          </w:hyperlink>
        </w:p>
        <w:p>
          <w:pPr>
            <w:pStyle w:val="TOC1"/>
            <w:tabs>
              <w:tab w:val="right" w:pos="9026" w:leader="dot"/>
            </w:tabs>
          </w:pPr>
          <w:hyperlink w:history="1" w:anchor="_Toc28">
            <w:r>
              <w:t xml:space="preserve">8. Common problems and fixes</w:t>
            </w:r>
            <w:r>
              <w:tab/>
            </w:r>
            <w:r>
              <w:fldChar w:fldCharType="begin" w:dirty="true"/>
              <w:instrText xml:space="preserve">PAGEREF _Toc28 \h</w:instrText>
              <w:fldChar w:fldCharType="separate"/>
              <w:fldChar w:fldCharType="end"/>
            </w:r>
          </w:hyperlink>
        </w:p>
        <w:p>
          <w:pPr>
            <w:pStyle w:val="TOC1"/>
            <w:tabs>
              <w:tab w:val="right" w:pos="9026" w:leader="dot"/>
            </w:tabs>
          </w:pPr>
          <w:hyperlink w:history="1" w:anchor="_Toc29">
            <w:r>
              <w:t xml:space="preserve">9. Integrity checklist (tick before submission)</w:t>
            </w:r>
            <w:r>
              <w:tab/>
            </w:r>
            <w:r>
              <w:fldChar w:fldCharType="begin" w:dirty="true"/>
              <w:instrText xml:space="preserve">PAGEREF _Toc29 \h</w:instrText>
              <w:fldChar w:fldCharType="separate"/>
              <w:fldChar w:fldCharType="end"/>
            </w:r>
          </w:hyperlink>
        </w:p>
        <w:p>
          <w:pPr>
            <w:pStyle w:val="TOC1"/>
            <w:tabs>
              <w:tab w:val="right" w:pos="9026" w:leader="dot"/>
            </w:tabs>
          </w:pPr>
          <w:hyperlink w:history="1" w:anchor="_Toc30">
            <w:r>
              <w:t xml:space="preserve">10. When to ask for help, and what to send</w:t>
            </w:r>
            <w:r>
              <w:tab/>
            </w:r>
            <w:r>
              <w:fldChar w:fldCharType="begin" w:dirty="true"/>
              <w:instrText xml:space="preserve">PAGEREF _Toc30 \h</w:instrText>
              <w:fldChar w:fldCharType="separate"/>
              <w:fldChar w:fldCharType="end"/>
            </w:r>
          </w:hyperlink>
        </w:p>
        <w:p>
          <w:pPr>
            <w:pStyle w:val="TOC1"/>
            <w:tabs>
              <w:tab w:val="right" w:pos="9026" w:leader="dot"/>
            </w:tabs>
          </w:pPr>
          <w:hyperlink w:history="1" w:anchor="_Toc31">
            <w:r>
              <w:t xml:space="preserve">11. From outputs to the report and the slides</w:t>
            </w:r>
            <w:r>
              <w:tab/>
            </w:r>
            <w:r>
              <w:fldChar w:fldCharType="begin" w:dirty="true"/>
              <w:instrText xml:space="preserve">PAGEREF _Toc31 \h</w:instrText>
              <w:fldChar w:fldCharType="separate"/>
              <w:fldChar w:fldCharType="end"/>
            </w:r>
          </w:hyperlink>
        </w:p>
        <w:p>
          <w:pPr>
            <w:pStyle w:val="TOC2"/>
            <w:tabs>
              <w:tab w:val="right" w:pos="9026" w:leader="dot"/>
            </w:tabs>
            <w:ind w:left="220"/>
          </w:pPr>
          <w:hyperlink w:history="1" w:anchor="_Toc32">
            <w:r>
              <w:t xml:space="preserve">11.1 Report chapters</w:t>
            </w:r>
            <w:r>
              <w:tab/>
            </w:r>
            <w:r>
              <w:fldChar w:fldCharType="begin" w:dirty="true"/>
              <w:instrText xml:space="preserve">PAGEREF _Toc32 \h</w:instrText>
              <w:fldChar w:fldCharType="separate"/>
              <w:fldChar w:fldCharType="end"/>
            </w:r>
          </w:hyperlink>
        </w:p>
        <w:p>
          <w:pPr>
            <w:pStyle w:val="TOC2"/>
            <w:tabs>
              <w:tab w:val="right" w:pos="9026" w:leader="dot"/>
            </w:tabs>
            <w:ind w:left="220"/>
          </w:pPr>
          <w:hyperlink w:history="1" w:anchor="_Toc33">
            <w:r>
              <w:t xml:space="preserve">11.2 Ten-slide deck</w:t>
            </w:r>
            <w:r>
              <w:tab/>
            </w:r>
            <w:r>
              <w:fldChar w:fldCharType="begin" w:dirty="true"/>
              <w:instrText xml:space="preserve">PAGEREF _Toc33 \h</w:instrText>
              <w:fldChar w:fldCharType="separate"/>
              <w:fldChar w:fldCharType="end"/>
            </w:r>
          </w:hyperlink>
        </w:p>
        <w:p>
          <w:pPr>
            <w:pStyle w:val="TOC1"/>
            <w:tabs>
              <w:tab w:val="right" w:pos="9026" w:leader="dot"/>
            </w:tabs>
          </w:pPr>
          <w:hyperlink w:history="1" w:anchor="_Toc34">
            <w:r>
              <w:t xml:space="preserve">Appendix A. Source directory</w:t>
            </w:r>
            <w:r>
              <w:tab/>
            </w:r>
            <w:r>
              <w:fldChar w:fldCharType="begin" w:dirty="true"/>
              <w:instrText xml:space="preserve">PAGEREF _Toc34 \h</w:instrText>
              <w:fldChar w:fldCharType="separate"/>
              <w:fldChar w:fldCharType="end"/>
            </w:r>
          </w:hyperlink>
        </w:p>
        <w:p>
          <w:pPr>
            <w:pStyle w:val="TOC1"/>
            <w:tabs>
              <w:tab w:val="right" w:pos="9026" w:leader="dot"/>
            </w:tabs>
          </w:pPr>
          <w:hyperlink w:history="1" w:anchor="_Toc35">
            <w:r>
              <w:t xml:space="preserve">Appendix B. Folder and column reference</w:t>
            </w:r>
            <w:r>
              <w:tab/>
            </w:r>
            <w:r>
              <w:fldChar w:fldCharType="begin" w:dirty="true"/>
              <w:instrText xml:space="preserve">PAGEREF _Toc35 \h</w:instrText>
              <w:fldChar w:fldCharType="separate"/>
              <w:fldChar w:fldCharType="end"/>
            </w:r>
          </w:hyperlink>
        </w:p>
        <w:p>
          <w:pPr>
            <w:pStyle w:val="TOC1"/>
            <w:tabs>
              <w:tab w:val="right" w:pos="9026" w:leader="dot"/>
            </w:tabs>
          </w:pPr>
          <w:hyperlink w:history="1" w:anchor="_Toc36">
            <w:r>
              <w:t xml:space="preserve">Appendix C. Glossary</w:t>
            </w:r>
            <w:r>
              <w:tab/>
            </w:r>
            <w:r>
              <w:fldChar w:fldCharType="begin" w:dirty="true"/>
              <w:instrText xml:space="preserve">PAGEREF _Toc36 \h</w:instrText>
              <w:fldChar w:fldCharType="separate"/>
              <w:fldChar w:fldCharType="end"/>
            </w:r>
          </w:hyperlink>
        </w:p>
        <w:p>
          <w:r>
            <w:fldChar w:fldCharType="end"/>
          </w:r>
        </w:p>
      </w:sdtContent>
    </w:sdt>
    <w:p>
      <w:pPr>
        <w:spacing w:after="120" w:line="276"/>
      </w:pPr>
      <w:r>
        <w:rPr>
          <w:i/>
          <w:iCs/>
          <w:color w:val="595959"/>
          <w:sz w:val="18"/>
          <w:szCs w:val="18"/>
        </w:rPr>
        <w:t xml:space="preserve">If the contents list shows no entries, right-click it in Word and choose </w:t>
      </w:r>
      <w:r>
        <w:rPr>
          <w:b/>
          <w:bCs/>
          <w:i/>
          <w:iCs/>
          <w:color w:val="595959"/>
          <w:sz w:val="18"/>
          <w:szCs w:val="18"/>
        </w:rPr>
        <w:t xml:space="preserve">Update Field</w:t>
      </w:r>
      <w:r>
        <w:rPr>
          <w:i/>
          <w:iCs/>
          <w:color w:val="595959"/>
          <w:sz w:val="18"/>
          <w:szCs w:val="18"/>
        </w:rPr>
        <w:t xml:space="preserve"> (on a Mac: select it and press F9 / fn+F9).</w:t>
      </w:r>
    </w:p>
    <w:p>
      <w:pPr>
        <w:pStyle w:val="Heading1"/>
        <w:pageBreakBefore/>
      </w:pPr>
      <w:bookmarkStart w:name="_Toc1" w:id="1"/>
      <w:r>
        <w:t xml:space="preserve">1. Read this first</w:t>
      </w:r>
      <w:bookmarkEnd w:id="1"/>
    </w:p>
    <w:p>
      <w:pPr>
        <w:pStyle w:val="Heading2"/>
      </w:pPr>
      <w:bookmarkStart w:name="_Toc2" w:id="2"/>
      <w:r>
        <w:t xml:space="preserve">1.1 Short answers to your questions</w:t>
      </w:r>
      <w:bookmarkEnd w:id="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6820"/>
      </w:tblGrid>
      <w:tr>
        <w:trPr>
          <w:cantSplit/>
          <w:tblHeader/>
        </w:trPr>
        <w:tc>
          <w:tcPr>
            <w:tcW w:type="dxa" w:w="220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8"/>
                <w:szCs w:val="18"/>
              </w:rPr>
              <w:t xml:space="preserve">Question</w:t>
            </w:r>
          </w:p>
        </w:tc>
        <w:tc>
          <w:tcPr>
            <w:tcW w:type="dxa" w:w="68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8"/>
                <w:szCs w:val="18"/>
              </w:rPr>
              <w:t xml:space="preserve">Answer</w:t>
            </w:r>
          </w:p>
        </w:tc>
      </w:tr>
      <w:tr>
        <w:trPr>
          <w:cantSplit/>
        </w:trP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Is the data free?</w:t>
            </w:r>
          </w:p>
        </w:tc>
        <w:tc>
          <w:tcPr>
            <w:tcW w:type="dxa" w:w="6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8"/>
                <w:szCs w:val="18"/>
              </w:rPr>
              <w:t xml:space="preserve">Yes.</w:t>
            </w:r>
            <w:r>
              <w:rPr>
                <w:sz w:val="18"/>
                <w:szCs w:val="18"/>
              </w:rPr>
              <w:t xml:space="preserve"> Every source in this guide is free to view and download: NSE, BSE, FBIL, the rating agencies (CRISIL, ICRA, CARE, India Ratings), NSDL and the CRISIL default study. The optional fallback for the G-sec curve (investing.com) needs a free login. No paid database (Bloomberg, Refinitiv, CMIE Prowess) is needed.</w:t>
            </w:r>
          </w:p>
        </w:tc>
      </w:tr>
      <w:tr>
        <w:trPr>
          <w:cantSplit/>
        </w:trP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Was the model built on synthetic data?</w:t>
            </w:r>
          </w:p>
        </w:tc>
        <w:tc>
          <w:tcPr>
            <w:tcW w:type="dxa" w:w="6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The </w:t>
            </w:r>
            <w:r>
              <w:rPr>
                <w:b/>
                <w:bCs/>
                <w:sz w:val="18"/>
                <w:szCs w:val="18"/>
              </w:rPr>
              <w:t xml:space="preserve">code</w:t>
            </w:r>
            <w:r>
              <w:rPr>
                <w:sz w:val="18"/>
                <w:szCs w:val="18"/>
              </w:rPr>
              <w:t xml:space="preserve"> was tested on a synthetic sample so it could be built before your data arrived. SpreadWatch is </w:t>
            </w:r>
            <w:r>
              <w:rPr>
                <w:b/>
                <w:bCs/>
                <w:sz w:val="18"/>
                <w:szCs w:val="18"/>
              </w:rPr>
              <w:t xml:space="preserve">not</w:t>
            </w:r>
            <w:r>
              <w:rPr>
                <w:sz w:val="18"/>
                <w:szCs w:val="18"/>
              </w:rPr>
              <w:t xml:space="preserve"> a machine-learning model that “learned” from that data: it is a set of formulas and statistical tests. Nothing needs to be retrained. You replace the input files and run it again, and every number is recomputed from your real data.</w:t>
            </w:r>
          </w:p>
        </w:tc>
      </w:tr>
      <w:tr>
        <w:trPr>
          <w:cantSplit/>
        </w:trP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Do I need company annual reports or financial statements?</w:t>
            </w:r>
          </w:p>
        </w:tc>
        <w:tc>
          <w:tcPr>
            <w:tcW w:type="dxa" w:w="6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8"/>
                <w:szCs w:val="18"/>
              </w:rPr>
              <w:t xml:space="preserve">No.</w:t>
            </w:r>
            <w:r>
              <w:rPr>
                <w:sz w:val="18"/>
                <w:szCs w:val="18"/>
              </w:rPr>
              <w:t xml:space="preserve"> The research question is answered from market prices (bond trades), the government bond curve and rating actions. You do not need balance sheets or annual reports.</w:t>
            </w:r>
          </w:p>
        </w:tc>
      </w:tr>
      <w:tr>
        <w:trPr>
          <w:cantSplit/>
        </w:trP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Can I load the data myself?</w:t>
            </w:r>
          </w:p>
        </w:tc>
        <w:tc>
          <w:tcPr>
            <w:tcW w:type="dxa" w:w="6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8"/>
                <w:szCs w:val="18"/>
              </w:rPr>
              <w:t xml:space="preserve">Yes.</w:t>
            </w:r>
            <w:r>
              <w:rPr>
                <w:sz w:val="18"/>
                <w:szCs w:val="18"/>
              </w:rPr>
              <w:t xml:space="preserve"> You download files, save them in fixed folders, log each one in </w:t>
            </w:r>
            <w:r>
              <w:rPr>
                <w:rFonts w:ascii="Courier New" w:cs="Courier New" w:eastAsia="Courier New" w:hAnsi="Courier New"/>
                <w:color w:val="7B241C"/>
                <w:sz w:val="18"/>
                <w:szCs w:val="18"/>
              </w:rPr>
              <w:t xml:space="preserve">sources.csv</w:t>
            </w:r>
            <w:r>
              <w:rPr>
                <w:sz w:val="18"/>
                <w:szCs w:val="18"/>
              </w:rPr>
              <w:t xml:space="preserve">, and run three commands. Sections 5 to 8 give every step. You only need help if a downloaded file has an unexpected format (Section 10 says exactly what to send).</w:t>
            </w:r>
          </w:p>
        </w:tc>
      </w:tr>
      <w:tr>
        <w:trPr>
          <w:cantSplit/>
        </w:trP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Can this be done in 1 to 2 days?</w:t>
            </w:r>
          </w:p>
        </w:tc>
        <w:tc>
          <w:tcPr>
            <w:tcW w:type="dxa" w:w="6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sz w:val="18"/>
                <w:szCs w:val="18"/>
              </w:rPr>
              <w:t xml:space="preserve">Yes, if you keep the scope tight:</w:t>
            </w:r>
            <w:r>
              <w:rPr>
                <w:sz w:val="18"/>
                <w:szCs w:val="18"/>
              </w:rPr>
              <w:t xml:space="preserve"> 12 downgraded companies + 12 stable companies, 1–2 bonds each, period April 2018 to March 2022. Split the work between the two of you (Section 2). Collecting data is the slow part; running the model takes minutes.</w:t>
            </w:r>
          </w:p>
        </w:tc>
      </w:tr>
    </w:tbl>
    <w:p>
      <w:pPr>
        <w:spacing w:after="120"/>
      </w:pPr>
    </w:p>
    <w:p>
      <w:pPr>
        <w:pStyle w:val="Heading2"/>
      </w:pPr>
      <w:bookmarkStart w:name="_Toc3" w:id="3"/>
      <w:r>
        <w:t xml:space="preserve">1.2 What would get the project disqualified, and how this guide prevents it</w:t>
      </w:r>
      <w:bookmarkEnd w:id="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7"/>
        <w:gridCol w:w="6419"/>
      </w:tblGrid>
      <w:tr>
        <w:trPr>
          <w:cantSplit/>
          <w:tblHeader/>
        </w:trPr>
        <w:tc>
          <w:tcPr>
            <w:tcW w:type="dxa" w:w="260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8"/>
                <w:szCs w:val="18"/>
              </w:rPr>
              <w:t xml:space="preserve">Risk</w:t>
            </w:r>
          </w:p>
        </w:tc>
        <w:tc>
          <w:tcPr>
            <w:tcW w:type="dxa" w:w="641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8"/>
                <w:szCs w:val="18"/>
              </w:rPr>
              <w:t xml:space="preserve">How you avoid it</w:t>
            </w:r>
          </w:p>
        </w:tc>
      </w:tr>
      <w:tr>
        <w:trPr>
          <w:cantSplit/>
        </w:trPr>
        <w:tc>
          <w:tcPr>
            <w:tcW w:type="dxa" w:w="26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Reporting synthetic numbers as findings</w:t>
            </w:r>
          </w:p>
        </w:tc>
        <w:tc>
          <w:tcPr>
            <w:tcW w:type="dxa" w:w="64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Use only </w:t>
            </w:r>
            <w:r>
              <w:rPr>
                <w:rFonts w:ascii="Courier New" w:cs="Courier New" w:eastAsia="Courier New" w:hAnsi="Courier New"/>
                <w:color w:val="7B241C"/>
                <w:sz w:val="18"/>
                <w:szCs w:val="18"/>
              </w:rPr>
              <w:t xml:space="preserve">--mode real</w:t>
            </w:r>
            <w:r>
              <w:rPr>
                <w:sz w:val="18"/>
                <w:szCs w:val="18"/>
              </w:rPr>
              <w:t xml:space="preserve"> outputs in the report. Anything from </w:t>
            </w:r>
            <w:r>
              <w:rPr>
                <w:rFonts w:ascii="Courier New" w:cs="Courier New" w:eastAsia="Courier New" w:hAnsi="Courier New"/>
                <w:color w:val="7B241C"/>
                <w:sz w:val="18"/>
                <w:szCs w:val="18"/>
              </w:rPr>
              <w:t xml:space="preserve">outputs/sample/</w:t>
            </w:r>
            <w:r>
              <w:rPr>
                <w:sz w:val="18"/>
                <w:szCs w:val="18"/>
              </w:rPr>
              <w:t xml:space="preserve"> or labelled SYNTHETIC must never appear as a result.</w:t>
            </w:r>
          </w:p>
        </w:tc>
      </w:tr>
      <w:tr>
        <w:trPr>
          <w:cantSplit/>
        </w:trPr>
        <w:tc>
          <w:tcPr>
            <w:tcW w:type="dxa" w:w="26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A number that cannot be traced to a source</w:t>
            </w:r>
          </w:p>
        </w:tc>
        <w:tc>
          <w:tcPr>
            <w:tcW w:type="dxa" w:w="64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Every downloaded file gets one row in </w:t>
            </w:r>
            <w:r>
              <w:rPr>
                <w:rFonts w:ascii="Courier New" w:cs="Courier New" w:eastAsia="Courier New" w:hAnsi="Courier New"/>
                <w:color w:val="7B241C"/>
                <w:sz w:val="18"/>
                <w:szCs w:val="18"/>
              </w:rPr>
              <w:t xml:space="preserve">sources.csv</w:t>
            </w:r>
            <w:r>
              <w:rPr>
                <w:sz w:val="18"/>
                <w:szCs w:val="18"/>
              </w:rPr>
              <w:t xml:space="preserve"> (publisher, exact URL, date pulled). The model </w:t>
            </w:r>
            <w:r>
              <w:rPr>
                <w:b/>
                <w:bCs/>
                <w:sz w:val="18"/>
                <w:szCs w:val="18"/>
              </w:rPr>
              <w:t xml:space="preserve">refuses</w:t>
            </w:r>
            <w:r>
              <w:rPr>
                <w:sz w:val="18"/>
                <w:szCs w:val="18"/>
              </w:rPr>
              <w:t xml:space="preserve"> any file that is not listed.</w:t>
            </w:r>
          </w:p>
        </w:tc>
      </w:tr>
      <w:tr>
        <w:trPr>
          <w:cantSplit/>
        </w:trPr>
        <w:tc>
          <w:tcPr>
            <w:tcW w:type="dxa" w:w="26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Editing or inventing data</w:t>
            </w:r>
          </w:p>
        </w:tc>
        <w:tc>
          <w:tcPr>
            <w:tcW w:type="dxa" w:w="64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Never type or change a price, yield or rating in a downloaded file. Typing rating actions from a press release is allowed: record the URL of the press release on the same row.</w:t>
            </w:r>
          </w:p>
        </w:tc>
      </w:tr>
      <w:tr>
        <w:trPr>
          <w:cantSplit/>
        </w:trPr>
        <w:tc>
          <w:tcPr>
            <w:tcW w:type="dxa" w:w="26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Copying text (similarity &gt; 20%)</w:t>
            </w:r>
          </w:p>
        </w:tc>
        <w:tc>
          <w:tcPr>
            <w:tcW w:type="dxa" w:w="64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Write the report in your own words. Quote agency rationales only in short quotation marks, with citation.</w:t>
            </w:r>
          </w:p>
        </w:tc>
      </w:tr>
      <w:tr>
        <w:trPr>
          <w:cantSplit/>
        </w:trPr>
        <w:tc>
          <w:tcPr>
            <w:tcW w:type="dxa" w:w="26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Not being able to explain the calculation</w:t>
            </w:r>
          </w:p>
        </w:tc>
        <w:tc>
          <w:tcPr>
            <w:tcW w:type="dxa" w:w="64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Learn the worked examples in </w:t>
            </w:r>
            <w:r>
              <w:rPr>
                <w:rFonts w:ascii="Courier New" w:cs="Courier New" w:eastAsia="Courier New" w:hAnsi="Courier New"/>
                <w:color w:val="7B241C"/>
                <w:sz w:val="18"/>
                <w:szCs w:val="18"/>
              </w:rPr>
              <w:t xml:space="preserve">VIVA_GUIDE.md</w:t>
            </w:r>
            <w:r>
              <w:rPr>
                <w:sz w:val="18"/>
                <w:szCs w:val="18"/>
              </w:rPr>
              <w:t xml:space="preserve"> and Section 3.4 of this guide.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0392B" w:sz="24"/>
              <w:bottom w:val="none" w:color="FFFFFF" w:sz="0"/>
              <w:right w:val="none" w:color="FFFFFF" w:sz="0"/>
            </w:tcBorders>
            <w:shd w:fill="FBE5E1" w:color="auto" w:val="clear"/>
            <w:tcMar>
              <w:top w:type="dxa" w:w="100"/>
              <w:left w:type="dxa" w:w="180"/>
              <w:bottom w:type="dxa" w:w="100"/>
              <w:right w:type="dxa" w:w="140"/>
            </w:tcMar>
          </w:tcPr>
          <w:p>
            <w:pPr>
              <w:spacing w:after="60" w:line="264"/>
            </w:pPr>
            <w:r>
              <w:rPr>
                <w:b/>
                <w:bCs/>
              </w:rPr>
              <w:t xml:space="preserve">The one rule to remember:</w:t>
            </w:r>
            <w:r>
              <w:t xml:space="preserve"> if a number in your report cannot be traced to a file listed in </w:t>
            </w:r>
            <w:r>
              <w:rPr>
                <w:rFonts w:ascii="Courier New" w:cs="Courier New" w:eastAsia="Courier New" w:hAnsi="Courier New"/>
                <w:color w:val="7B241C"/>
                <w:sz w:val="19"/>
                <w:szCs w:val="19"/>
              </w:rPr>
              <w:t xml:space="preserve">sources.csv</w:t>
            </w:r>
            <w:r>
              <w:t xml:space="preserve"> or to an engine output in </w:t>
            </w:r>
            <w:r>
              <w:rPr>
                <w:rFonts w:ascii="Courier New" w:cs="Courier New" w:eastAsia="Courier New" w:hAnsi="Courier New"/>
                <w:color w:val="7B241C"/>
                <w:sz w:val="19"/>
                <w:szCs w:val="19"/>
              </w:rPr>
              <w:t xml:space="preserve">outputs/real/</w:t>
            </w:r>
            <w:r>
              <w:t xml:space="preserve">, delete it.</w:t>
            </w:r>
          </w:p>
        </w:tc>
      </w:tr>
    </w:tbl>
    <w:p>
      <w:pPr>
        <w:spacing w:after="120"/>
      </w:pPr>
    </w:p>
    <w:p>
      <w:pPr>
        <w:pStyle w:val="Heading1"/>
        <w:pageBreakBefore/>
      </w:pPr>
      <w:bookmarkStart w:name="_Toc4" w:id="4"/>
      <w:r>
        <w:t xml:space="preserve">2. The two-day plan</w:t>
      </w:r>
      <w:bookmarkEnd w:id="4"/>
    </w:p>
    <w:p>
      <w:pPr>
        <w:spacing w:after="120" w:line="276"/>
      </w:pPr>
      <w:r>
        <w:t xml:space="preserve">Work in parallel. Member A collects rating actions (the slowest task); Member B collects bond data and the G-sec curve. Meet at the checkpoints.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4"/>
        <w:gridCol w:w="2507"/>
        <w:gridCol w:w="2507"/>
        <w:gridCol w:w="2308"/>
      </w:tblGrid>
      <w:tr>
        <w:trPr>
          <w:cantSplit/>
          <w:tblHeader/>
        </w:trPr>
        <w:tc>
          <w:tcPr>
            <w:tcW w:type="dxa" w:w="170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8"/>
                <w:szCs w:val="18"/>
              </w:rPr>
              <w:t xml:space="preserve">When</w:t>
            </w:r>
          </w:p>
        </w:tc>
        <w:tc>
          <w:tcPr>
            <w:tcW w:type="dxa" w:w="250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8"/>
                <w:szCs w:val="18"/>
              </w:rPr>
              <w:t xml:space="preserve">Member A</w:t>
            </w:r>
          </w:p>
        </w:tc>
        <w:tc>
          <w:tcPr>
            <w:tcW w:type="dxa" w:w="250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8"/>
                <w:szCs w:val="18"/>
              </w:rPr>
              <w:t xml:space="preserve">Member B</w:t>
            </w:r>
          </w:p>
        </w:tc>
        <w:tc>
          <w:tcPr>
            <w:tcW w:type="dxa" w:w="230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8"/>
                <w:szCs w:val="18"/>
              </w:rPr>
              <w:t xml:space="preserve">Output at the end</w:t>
            </w:r>
          </w:p>
        </w:tc>
      </w:tr>
      <w:tr>
        <w:trPr>
          <w:cantSplit/>
        </w:trPr>
        <w:tc>
          <w:tcPr>
            <w:tcW w:type="dxa" w:w="17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Day 1, 09:00–10:00 (together)</w:t>
            </w:r>
          </w:p>
        </w:tc>
        <w:tc>
          <w:tcPr>
            <w:tcW w:type="dxa" w:w="25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Install and run the project on the sample data (Section 7.1). Read Sections 3 and 4.</w:t>
            </w:r>
          </w:p>
        </w:tc>
        <w:tc>
          <w:tcPr>
            <w:tcW w:type="dxa" w:w="25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Same</w:t>
            </w:r>
          </w:p>
        </w:tc>
        <w:tc>
          <w:tcPr>
            <w:tcW w:type="dxa" w:w="23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App opens; both understand the flow</w:t>
            </w:r>
          </w:p>
        </w:tc>
      </w:tr>
      <w:tr>
        <w:trPr>
          <w:cantSplit/>
        </w:trPr>
        <w:tc>
          <w:tcPr>
            <w:tcW w:type="dxa" w:w="17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Day 1, 10:00–13:00</w:t>
            </w:r>
          </w:p>
        </w:tc>
        <w:tc>
          <w:tcPr>
            <w:tcW w:type="dxa" w:w="25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Rating actions for the 12 event companies (Section 5.1)</w:t>
            </w:r>
          </w:p>
        </w:tc>
        <w:tc>
          <w:tcPr>
            <w:tcW w:type="dxa" w:w="25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Find ISINs for all 24 companies; fill the bond master (Section 5.2)</w:t>
            </w:r>
          </w:p>
        </w:tc>
        <w:tc>
          <w:tcPr>
            <w:tcW w:type="dxa" w:w="23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color w:val="7B241C"/>
                <w:sz w:val="18"/>
                <w:szCs w:val="18"/>
              </w:rPr>
              <w:t xml:space="preserve">rating_actions.csv</w:t>
            </w:r>
            <w:r>
              <w:rPr>
                <w:sz w:val="18"/>
                <w:szCs w:val="18"/>
              </w:rPr>
              <w:t xml:space="preserve"> half done; </w:t>
            </w:r>
            <w:r>
              <w:rPr>
                <w:rFonts w:ascii="Courier New" w:cs="Courier New" w:eastAsia="Courier New" w:hAnsi="Courier New"/>
                <w:color w:val="7B241C"/>
                <w:sz w:val="18"/>
                <w:szCs w:val="18"/>
              </w:rPr>
              <w:t xml:space="preserve">bond_master.csv</w:t>
            </w:r>
            <w:r>
              <w:rPr>
                <w:sz w:val="18"/>
                <w:szCs w:val="18"/>
              </w:rPr>
              <w:t xml:space="preserve"> done</w:t>
            </w:r>
          </w:p>
        </w:tc>
      </w:tr>
      <w:tr>
        <w:trPr>
          <w:cantSplit/>
        </w:trPr>
        <w:tc>
          <w:tcPr>
            <w:tcW w:type="dxa" w:w="17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Day 1, 14:00–17:00</w:t>
            </w:r>
          </w:p>
        </w:tc>
        <w:tc>
          <w:tcPr>
            <w:tcW w:type="dxa" w:w="25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Finish event companies; check the 12 control companies (usually 1–2 rows each)</w:t>
            </w:r>
          </w:p>
        </w:tc>
        <w:tc>
          <w:tcPr>
            <w:tcW w:type="dxa" w:w="25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Download bond trades for every ISIN (Section 5.3)</w:t>
            </w:r>
          </w:p>
        </w:tc>
        <w:tc>
          <w:tcPr>
            <w:tcW w:type="dxa" w:w="23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All ratings typed; trade files saved</w:t>
            </w:r>
          </w:p>
        </w:tc>
      </w:tr>
      <w:tr>
        <w:trPr>
          <w:cantSplit/>
        </w:trPr>
        <w:tc>
          <w:tcPr>
            <w:tcW w:type="dxa" w:w="17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Day 1, 17:00–19:00</w:t>
            </w:r>
          </w:p>
        </w:tc>
        <w:tc>
          <w:tcPr>
            <w:tcW w:type="dxa" w:w="25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Fill </w:t>
            </w:r>
            <w:r>
              <w:rPr>
                <w:rFonts w:ascii="Courier New" w:cs="Courier New" w:eastAsia="Courier New" w:hAnsi="Courier New"/>
                <w:color w:val="7B241C"/>
                <w:sz w:val="18"/>
                <w:szCs w:val="18"/>
              </w:rPr>
              <w:t xml:space="preserve">sources.csv</w:t>
            </w:r>
            <w:r>
              <w:rPr>
                <w:sz w:val="18"/>
                <w:szCs w:val="18"/>
              </w:rPr>
              <w:t xml:space="preserve"> for rating files</w:t>
            </w:r>
          </w:p>
        </w:tc>
        <w:tc>
          <w:tcPr>
            <w:tcW w:type="dxa" w:w="25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Download the G-sec curve (Section 5.4); fill </w:t>
            </w:r>
            <w:r>
              <w:rPr>
                <w:rFonts w:ascii="Courier New" w:cs="Courier New" w:eastAsia="Courier New" w:hAnsi="Courier New"/>
                <w:color w:val="7B241C"/>
                <w:sz w:val="18"/>
                <w:szCs w:val="18"/>
              </w:rPr>
              <w:t xml:space="preserve">sources.csv</w:t>
            </w:r>
          </w:p>
        </w:tc>
        <w:tc>
          <w:tcPr>
            <w:tcW w:type="dxa" w:w="23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All inputs on disk and logged</w:t>
            </w:r>
          </w:p>
        </w:tc>
      </w:tr>
      <w:tr>
        <w:trPr>
          <w:cantSplit/>
        </w:trPr>
        <w:tc>
          <w:tcPr>
            <w:tcW w:type="dxa" w:w="17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Day 1, 19:00–20:00 (together)</w:t>
            </w:r>
          </w:p>
        </w:tc>
        <w:tc>
          <w:tcPr>
            <w:tcW w:type="dxa" w:w="25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Run the model on real data (Section 7.2); fix any error with Section 8</w:t>
            </w:r>
          </w:p>
        </w:tc>
        <w:tc>
          <w:tcPr>
            <w:tcW w:type="dxa" w:w="25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p>
        </w:tc>
        <w:tc>
          <w:tcPr>
            <w:tcW w:type="dxa" w:w="23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color w:val="7B241C"/>
                <w:sz w:val="18"/>
                <w:szCs w:val="18"/>
              </w:rPr>
              <w:t xml:space="preserve">outputs/real/</w:t>
            </w:r>
            <w:r>
              <w:rPr>
                <w:sz w:val="18"/>
                <w:szCs w:val="18"/>
              </w:rPr>
              <w:t xml:space="preserve"> exists; the app shows Real data</w:t>
            </w:r>
          </w:p>
        </w:tc>
      </w:tr>
      <w:tr>
        <w:trPr>
          <w:cantSplit/>
        </w:trPr>
        <w:tc>
          <w:tcPr>
            <w:tcW w:type="dxa" w:w="17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Day 2, morning</w:t>
            </w:r>
          </w:p>
        </w:tc>
        <w:tc>
          <w:tcPr>
            <w:tcW w:type="dxa" w:w="25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Chapter 10 (methodology) and 11 (analysis) from the outputs (Section 11)</w:t>
            </w:r>
          </w:p>
        </w:tc>
        <w:tc>
          <w:tcPr>
            <w:tcW w:type="dxa" w:w="25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Figures, tables, Chapter 9 limitations, annexures</w:t>
            </w:r>
          </w:p>
        </w:tc>
        <w:tc>
          <w:tcPr>
            <w:tcW w:type="dxa" w:w="23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Draft report</w:t>
            </w:r>
          </w:p>
        </w:tc>
      </w:tr>
      <w:tr>
        <w:trPr>
          <w:cantSplit/>
        </w:trPr>
        <w:tc>
          <w:tcPr>
            <w:tcW w:type="dxa" w:w="17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Day 2, afternoon</w:t>
            </w:r>
          </w:p>
        </w:tc>
        <w:tc>
          <w:tcPr>
            <w:tcW w:type="dxa" w:w="25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Chapters 6, 7, 8, 12, 13 and bibliography</w:t>
            </w:r>
          </w:p>
        </w:tc>
        <w:tc>
          <w:tcPr>
            <w:tcW w:type="dxa" w:w="25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PowerPoint (10 slides) and demo rehearsal</w:t>
            </w:r>
          </w:p>
        </w:tc>
        <w:tc>
          <w:tcPr>
            <w:tcW w:type="dxa" w:w="23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Final report + deck</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9A227" w:sz="24"/>
              <w:bottom w:val="none" w:color="FFFFFF" w:sz="0"/>
              <w:right w:val="none" w:color="FFFFFF" w:sz="0"/>
            </w:tcBorders>
            <w:shd w:fill="FFF4D6" w:color="auto" w:val="clear"/>
            <w:tcMar>
              <w:top w:type="dxa" w:w="100"/>
              <w:left w:type="dxa" w:w="180"/>
              <w:bottom w:type="dxa" w:w="100"/>
              <w:right w:type="dxa" w:w="140"/>
            </w:tcMar>
          </w:tcPr>
          <w:p>
            <w:pPr>
              <w:spacing w:after="60" w:line="264"/>
            </w:pPr>
            <w:r>
              <w:rPr>
                <w:b/>
                <w:bCs/>
              </w:rPr>
              <w:t xml:space="preserve">If time runs out:</w:t>
            </w:r>
            <w:r>
              <w:t xml:space="preserve"> cut companies, not steps. Eight downgraded + eight stable companies with properly logged sources is a valid study. Fewer than five usable downgrade episodes is too few: the model will say INSUFFICIENT DATA, and you would then report that honestly as your finding about market liquidity.</w:t>
            </w:r>
          </w:p>
        </w:tc>
      </w:tr>
    </w:tbl>
    <w:p>
      <w:pPr>
        <w:spacing w:after="120"/>
      </w:pPr>
    </w:p>
    <w:p>
      <w:pPr>
        <w:pStyle w:val="Heading1"/>
        <w:pageBreakBefore/>
      </w:pPr>
      <w:bookmarkStart w:name="_Toc5" w:id="5"/>
      <w:r>
        <w:t xml:space="preserve">3. How the model works</w:t>
      </w:r>
      <w:bookmarkEnd w:id="5"/>
    </w:p>
    <w:p>
      <w:pPr>
        <w:pStyle w:val="Heading2"/>
      </w:pPr>
      <w:bookmarkStart w:name="_Toc6" w:id="6"/>
      <w:r>
        <w:t xml:space="preserve">3.1 The idea in one paragraph</w:t>
      </w:r>
      <w:bookmarkEnd w:id="6"/>
    </w:p>
    <w:p>
      <w:pPr>
        <w:spacing w:after="120" w:line="276"/>
      </w:pPr>
      <w:r>
        <w:t xml:space="preserve">A corporate bond pays a higher yield than a government bond of the same maturity. The difference is the </w:t>
      </w:r>
      <w:r>
        <w:rPr>
          <w:b/>
          <w:bCs/>
        </w:rPr>
        <w:t xml:space="preserve">credit spread</w:t>
      </w:r>
      <w:r>
        <w:t xml:space="preserve">: the extra return investors demand for the risk that the company does not pay. If investors notice trouble at a company, they sell its bonds, the price falls, the yield rises and the spread </w:t>
      </w:r>
      <w:r>
        <w:rPr>
          <w:b/>
          <w:bCs/>
        </w:rPr>
        <w:t xml:space="preserve">widens</w:t>
      </w:r>
      <w:r>
        <w:t xml:space="preserve">. Rating agencies (CRISIL, ICRA, CARE, India Ratings) publish downgrades on specific dates. SpreadWatch asks: </w:t>
      </w:r>
      <w:r>
        <w:rPr>
          <w:b/>
          <w:bCs/>
        </w:rPr>
        <w:t xml:space="preserve">does the spread start widening before the downgrade date?</w:t>
      </w:r>
      <w:r>
        <w:t xml:space="preserve"> If yes, the market is ahead of the agencies; if no, the agencies are not lagging the market.</w:t>
      </w:r>
    </w:p>
    <w:p>
      <w:pPr>
        <w:pStyle w:val="Heading2"/>
      </w:pPr>
      <w:bookmarkStart w:name="_Toc7" w:id="7"/>
      <w:r>
        <w:t xml:space="preserve">3.2 The five layers</w:t>
      </w:r>
      <w:bookmarkEnd w:id="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3"/>
        <w:gridCol w:w="2005"/>
        <w:gridCol w:w="3610"/>
        <w:gridCol w:w="2208"/>
      </w:tblGrid>
      <w:tr>
        <w:trPr>
          <w:cantSplit/>
          <w:tblHeader/>
        </w:trPr>
        <w:tc>
          <w:tcPr>
            <w:tcW w:type="dxa" w:w="120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8"/>
                <w:szCs w:val="18"/>
              </w:rPr>
              <w:t xml:space="preserve">Layer</w:t>
            </w:r>
          </w:p>
        </w:tc>
        <w:tc>
          <w:tcPr>
            <w:tcW w:type="dxa" w:w="200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8"/>
                <w:szCs w:val="18"/>
              </w:rPr>
              <w:t xml:space="preserve">Files</w:t>
            </w:r>
          </w:p>
        </w:tc>
        <w:tc>
          <w:tcPr>
            <w:tcW w:type="dxa" w:w="361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8"/>
                <w:szCs w:val="18"/>
              </w:rPr>
              <w:t xml:space="preserve">What it does</w:t>
            </w:r>
          </w:p>
        </w:tc>
        <w:tc>
          <w:tcPr>
            <w:tcW w:type="dxa" w:w="220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8"/>
                <w:szCs w:val="18"/>
              </w:rPr>
              <w:t xml:space="preserve">Input → output</w:t>
            </w:r>
          </w:p>
        </w:tc>
      </w:tr>
      <w:tr>
        <w:trPr>
          <w:cantSplit/>
        </w:trPr>
        <w:tc>
          <w:tcPr>
            <w:tcW w:type="dxa" w:w="12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L1 Ingest</w:t>
            </w:r>
          </w:p>
        </w:tc>
        <w:tc>
          <w:tcPr>
            <w:tcW w:type="dxa" w:w="20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color w:val="7B241C"/>
                <w:sz w:val="18"/>
                <w:szCs w:val="18"/>
              </w:rPr>
              <w:t xml:space="preserve">ingest.py</w:t>
            </w:r>
            <w:r>
              <w:rPr>
                <w:sz w:val="18"/>
                <w:szCs w:val="18"/>
              </w:rPr>
              <w:t xml:space="preserve">, </w:t>
            </w:r>
            <w:r>
              <w:rPr>
                <w:rFonts w:ascii="Courier New" w:cs="Courier New" w:eastAsia="Courier New" w:hAnsi="Courier New"/>
                <w:color w:val="7B241C"/>
                <w:sz w:val="18"/>
                <w:szCs w:val="18"/>
              </w:rPr>
              <w:t xml:space="preserve">prepare_curve.py</w:t>
            </w:r>
            <w:r>
              <w:rPr>
                <w:sz w:val="18"/>
                <w:szCs w:val="18"/>
              </w:rPr>
              <w:t xml:space="preserve">, </w:t>
            </w:r>
            <w:r>
              <w:rPr>
                <w:rFonts w:ascii="Courier New" w:cs="Courier New" w:eastAsia="Courier New" w:hAnsi="Courier New"/>
                <w:color w:val="7B241C"/>
                <w:sz w:val="18"/>
                <w:szCs w:val="18"/>
              </w:rPr>
              <w:t xml:space="preserve">sources.csv</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Reads your downloaded files, renames their columns to a standard format, refuses any file not in </w:t>
            </w:r>
            <w:r>
              <w:rPr>
                <w:rFonts w:ascii="Courier New" w:cs="Courier New" w:eastAsia="Courier New" w:hAnsi="Courier New"/>
                <w:color w:val="7B241C"/>
                <w:sz w:val="18"/>
                <w:szCs w:val="18"/>
              </w:rPr>
              <w:t xml:space="preserve">sources.csv</w:t>
            </w:r>
            <w:r>
              <w:rPr>
                <w:sz w:val="18"/>
                <w:szCs w:val="18"/>
              </w:rPr>
              <w:t xml:space="preserve">, records a fingerprint (SHA-256 hash) of every file</w:t>
            </w:r>
          </w:p>
        </w:tc>
        <w:tc>
          <w:tcPr>
            <w:tcW w:type="dxa" w:w="22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color w:val="7B241C"/>
                <w:sz w:val="18"/>
                <w:szCs w:val="18"/>
              </w:rPr>
              <w:t xml:space="preserve">data/raw/…</w:t>
            </w:r>
            <w:r>
              <w:rPr>
                <w:sz w:val="18"/>
                <w:szCs w:val="18"/>
              </w:rPr>
              <w:t xml:space="preserve"> → </w:t>
            </w:r>
            <w:r>
              <w:rPr>
                <w:rFonts w:ascii="Courier New" w:cs="Courier New" w:eastAsia="Courier New" w:hAnsi="Courier New"/>
                <w:color w:val="7B241C"/>
                <w:sz w:val="18"/>
                <w:szCs w:val="18"/>
              </w:rPr>
              <w:t xml:space="preserve">data/real/*.csv</w:t>
            </w:r>
            <w:r>
              <w:rPr>
                <w:sz w:val="18"/>
                <w:szCs w:val="18"/>
              </w:rPr>
              <w:t xml:space="preserve"> + </w:t>
            </w:r>
            <w:r>
              <w:rPr>
                <w:rFonts w:ascii="Courier New" w:cs="Courier New" w:eastAsia="Courier New" w:hAnsi="Courier New"/>
                <w:color w:val="7B241C"/>
                <w:sz w:val="18"/>
                <w:szCs w:val="18"/>
              </w:rPr>
              <w:t xml:space="preserve">outputs/ingest_log.csv</w:t>
            </w:r>
          </w:p>
        </w:tc>
      </w:tr>
      <w:tr>
        <w:trPr>
          <w:cantSplit/>
        </w:trPr>
        <w:tc>
          <w:tcPr>
            <w:tcW w:type="dxa" w:w="12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L2 Extract</w:t>
            </w:r>
          </w:p>
        </w:tc>
        <w:tc>
          <w:tcPr>
            <w:tcW w:type="dxa" w:w="20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color w:val="7B241C"/>
                <w:sz w:val="18"/>
                <w:szCs w:val="18"/>
              </w:rPr>
              <w:t xml:space="preserve">extract.py</w:t>
            </w:r>
            <w:r>
              <w:rPr>
                <w:sz w:val="18"/>
                <w:szCs w:val="18"/>
              </w:rPr>
              <w:t xml:space="preserve">, </w:t>
            </w:r>
            <w:r>
              <w:rPr>
                <w:rFonts w:ascii="Courier New" w:cs="Courier New" w:eastAsia="Courier New" w:hAnsi="Courier New"/>
                <w:color w:val="7B241C"/>
                <w:sz w:val="18"/>
                <w:szCs w:val="18"/>
              </w:rPr>
              <w:t xml:space="preserve">rag/</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Reads rating rationale PDFs and drafts the rating-action rows (old rating, new rating, date, issuer) with the sentence it came from; indexes the rationales so the commentary can quote the reason for a downgrade</w:t>
            </w:r>
          </w:p>
        </w:tc>
        <w:tc>
          <w:tcPr>
            <w:tcW w:type="dxa" w:w="22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color w:val="7B241C"/>
                <w:sz w:val="18"/>
                <w:szCs w:val="18"/>
              </w:rPr>
              <w:t xml:space="preserve">data/raw/rationales/</w:t>
            </w:r>
            <w:r>
              <w:rPr>
                <w:sz w:val="18"/>
                <w:szCs w:val="18"/>
              </w:rPr>
              <w:t xml:space="preserve"> → draft rating file</w:t>
            </w:r>
          </w:p>
        </w:tc>
      </w:tr>
      <w:tr>
        <w:trPr>
          <w:cantSplit/>
        </w:trPr>
        <w:tc>
          <w:tcPr>
            <w:tcW w:type="dxa" w:w="12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L3 Engine</w:t>
            </w:r>
          </w:p>
        </w:tc>
        <w:tc>
          <w:tcPr>
            <w:tcW w:type="dxa" w:w="20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color w:val="7B241C"/>
                <w:sz w:val="18"/>
                <w:szCs w:val="18"/>
              </w:rPr>
              <w:t xml:space="preserve">engine/</w:t>
            </w:r>
            <w:r>
              <w:rPr>
                <w:sz w:val="18"/>
                <w:szCs w:val="18"/>
              </w:rPr>
              <w:t xml:space="preserve">, </w:t>
            </w:r>
            <w:r>
              <w:rPr>
                <w:rFonts w:ascii="Courier New" w:cs="Courier New" w:eastAsia="Courier New" w:hAnsi="Courier New"/>
                <w:color w:val="7B241C"/>
                <w:sz w:val="18"/>
                <w:szCs w:val="18"/>
              </w:rPr>
              <w:t xml:space="preserve">run_pipeline.py</w:t>
            </w:r>
            <w:r>
              <w:rPr>
                <w:sz w:val="18"/>
                <w:szCs w:val="18"/>
              </w:rPr>
              <w:t xml:space="preserve">, </w:t>
            </w:r>
            <w:r>
              <w:rPr>
                <w:rFonts w:ascii="Courier New" w:cs="Courier New" w:eastAsia="Courier New" w:hAnsi="Courier New"/>
                <w:color w:val="7B241C"/>
                <w:sz w:val="18"/>
                <w:szCs w:val="18"/>
              </w:rPr>
              <w:t xml:space="preserve">tests/</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All the mathematics: yield from price, matched G-sec yield, spread, validation, event study, transition matrix, default probabilities</w:t>
            </w:r>
          </w:p>
        </w:tc>
        <w:tc>
          <w:tcPr>
            <w:tcW w:type="dxa" w:w="22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color w:val="7B241C"/>
                <w:sz w:val="18"/>
                <w:szCs w:val="18"/>
              </w:rPr>
              <w:t xml:space="preserve">data/real/</w:t>
            </w:r>
            <w:r>
              <w:rPr>
                <w:sz w:val="18"/>
                <w:szCs w:val="18"/>
              </w:rPr>
              <w:t xml:space="preserve"> → </w:t>
            </w:r>
            <w:r>
              <w:rPr>
                <w:rFonts w:ascii="Courier New" w:cs="Courier New" w:eastAsia="Courier New" w:hAnsi="Courier New"/>
                <w:color w:val="7B241C"/>
                <w:sz w:val="18"/>
                <w:szCs w:val="18"/>
              </w:rPr>
              <w:t xml:space="preserve">outputs/real/</w:t>
            </w:r>
          </w:p>
        </w:tc>
      </w:tr>
      <w:tr>
        <w:trPr>
          <w:cantSplit/>
        </w:trPr>
        <w:tc>
          <w:tcPr>
            <w:tcW w:type="dxa" w:w="12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L4 Commentary</w:t>
            </w:r>
          </w:p>
        </w:tc>
        <w:tc>
          <w:tcPr>
            <w:tcW w:type="dxa" w:w="20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color w:val="7B241C"/>
                <w:sz w:val="18"/>
                <w:szCs w:val="18"/>
              </w:rPr>
              <w:t xml:space="preserve">commentary.py</w:t>
            </w:r>
            <w:r>
              <w:rPr>
                <w:sz w:val="18"/>
                <w:szCs w:val="18"/>
              </w:rPr>
              <w:t xml:space="preserve">, </w:t>
            </w:r>
            <w:r>
              <w:rPr>
                <w:rFonts w:ascii="Courier New" w:cs="Courier New" w:eastAsia="Courier New" w:hAnsi="Courier New"/>
                <w:color w:val="7B241C"/>
                <w:sz w:val="18"/>
                <w:szCs w:val="18"/>
              </w:rPr>
              <w:t xml:space="preserve">governance.md</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Writes the findings in sentences; every sentence must cite an engine number or a source; a verifier deletes any sentence with an uncited claim or an invented number</w:t>
            </w:r>
          </w:p>
        </w:tc>
        <w:tc>
          <w:tcPr>
            <w:tcW w:type="dxa" w:w="22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color w:val="7B241C"/>
                <w:sz w:val="18"/>
                <w:szCs w:val="18"/>
              </w:rPr>
              <w:t xml:space="preserve">outputs/real/</w:t>
            </w:r>
            <w:r>
              <w:rPr>
                <w:sz w:val="18"/>
                <w:szCs w:val="18"/>
              </w:rPr>
              <w:t xml:space="preserve"> → </w:t>
            </w:r>
            <w:r>
              <w:rPr>
                <w:rFonts w:ascii="Courier New" w:cs="Courier New" w:eastAsia="Courier New" w:hAnsi="Courier New"/>
                <w:color w:val="7B241C"/>
                <w:sz w:val="18"/>
                <w:szCs w:val="18"/>
              </w:rPr>
              <w:t xml:space="preserve">commentary.md</w:t>
            </w:r>
          </w:p>
        </w:tc>
      </w:tr>
      <w:tr>
        <w:trPr>
          <w:cantSplit/>
        </w:trPr>
        <w:tc>
          <w:tcPr>
            <w:tcW w:type="dxa" w:w="12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L5 Output</w:t>
            </w:r>
          </w:p>
        </w:tc>
        <w:tc>
          <w:tcPr>
            <w:tcW w:type="dxa" w:w="20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color w:val="7B241C"/>
                <w:sz w:val="18"/>
                <w:szCs w:val="18"/>
              </w:rPr>
              <w:t xml:space="preserve">app.py</w:t>
            </w:r>
            <w:r>
              <w:rPr>
                <w:sz w:val="18"/>
                <w:szCs w:val="18"/>
              </w:rPr>
              <w:t xml:space="preserve">, </w:t>
            </w:r>
            <w:r>
              <w:rPr>
                <w:rFonts w:ascii="Courier New" w:cs="Courier New" w:eastAsia="Courier New" w:hAnsi="Courier New"/>
                <w:color w:val="7B241C"/>
                <w:sz w:val="18"/>
                <w:szCs w:val="18"/>
              </w:rPr>
              <w:t xml:space="preserve">report.py</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The application for the viva and the generated annexure with numbered figures</w:t>
            </w:r>
          </w:p>
        </w:tc>
        <w:tc>
          <w:tcPr>
            <w:tcW w:type="dxa" w:w="22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color w:val="7B241C"/>
                <w:sz w:val="18"/>
                <w:szCs w:val="18"/>
              </w:rPr>
              <w:t xml:space="preserve">outputs/real/</w:t>
            </w:r>
            <w:r>
              <w:rPr>
                <w:sz w:val="18"/>
                <w:szCs w:val="18"/>
              </w:rPr>
              <w:t xml:space="preserve"> → app + </w:t>
            </w:r>
            <w:r>
              <w:rPr>
                <w:rFonts w:ascii="Courier New" w:cs="Courier New" w:eastAsia="Courier New" w:hAnsi="Courier New"/>
                <w:color w:val="7B241C"/>
                <w:sz w:val="18"/>
                <w:szCs w:val="18"/>
              </w:rPr>
              <w:t xml:space="preserve">SpreadWatch_Annexure.html</w:t>
            </w:r>
            <w:r>
              <w:rPr>
                <w:sz w:val="18"/>
                <w:szCs w:val="18"/>
              </w:rPr>
              <w:t xml:space="preserve"> + </w:t>
            </w:r>
            <w:r>
              <w:rPr>
                <w:rFonts w:ascii="Courier New" w:cs="Courier New" w:eastAsia="Courier New" w:hAnsi="Courier New"/>
                <w:color w:val="7B241C"/>
                <w:sz w:val="18"/>
                <w:szCs w:val="18"/>
              </w:rPr>
              <w:t xml:space="preserve">figures/</w:t>
            </w:r>
          </w:p>
        </w:tc>
      </w:tr>
    </w:tbl>
    <w:p>
      <w:pPr>
        <w:spacing w:after="120"/>
      </w:pPr>
    </w:p>
    <w:p>
      <w:pPr>
        <w:pStyle w:val="Heading2"/>
      </w:pPr>
      <w:bookmarkStart w:name="_Toc8" w:id="8"/>
      <w:r>
        <w:t xml:space="preserve">3.3 What happens when you press run</w:t>
      </w:r>
      <w:bookmarkEnd w:id="8"/>
    </w:p>
    <w:p>
      <w:pPr>
        <w:pStyle w:val="ListParagraph"/>
        <w:numPr>
          <w:ilvl w:val="0"/>
          <w:numId w:val="2"/>
        </w:numPr>
        <w:spacing w:after="80" w:line="264"/>
      </w:pPr>
      <w:r>
        <w:rPr>
          <w:b/>
          <w:bCs/>
        </w:rPr>
        <w:t xml:space="preserve">Ingest</w:t>
      </w:r>
      <w:r>
        <w:t xml:space="preserve"> collects the trade files, attaches coupon and maturity from the bond master by ISIN, combines the G-sec curve files, and collects the rating rows.</w:t>
      </w:r>
    </w:p>
    <w:p>
      <w:pPr>
        <w:pStyle w:val="ListParagraph"/>
        <w:numPr>
          <w:ilvl w:val="0"/>
          <w:numId w:val="2"/>
        </w:numPr>
        <w:spacing w:after="80" w:line="264"/>
      </w:pPr>
      <w:r>
        <w:rPr>
          <w:b/>
          <w:bCs/>
        </w:rPr>
        <w:t xml:space="preserve">Validation of each trade row:</w:t>
      </w:r>
      <w:r>
        <w:t xml:space="preserve"> dates readable, maturity after the trade date, price between 20 and 200 per 100 face value, coupon 0–30%. Bad rows are rejected with a written reason.</w:t>
      </w:r>
    </w:p>
    <w:p>
      <w:pPr>
        <w:pStyle w:val="ListParagraph"/>
        <w:numPr>
          <w:ilvl w:val="0"/>
          <w:numId w:val="2"/>
        </w:numPr>
        <w:spacing w:after="80" w:line="264"/>
      </w:pPr>
      <w:r>
        <w:rPr>
          <w:b/>
          <w:bCs/>
        </w:rPr>
        <w:t xml:space="preserve">Yield from price:</w:t>
      </w:r>
      <w:r>
        <w:t xml:space="preserve"> for each trade the engine recomputes the yield from the traded clean price, and compares it with the yield printed by the exchange. Within ±5 basis points is a PASS. This is your </w:t>
      </w:r>
      <w:r>
        <w:rPr>
          <w:b/>
          <w:bCs/>
        </w:rPr>
        <w:t xml:space="preserve">validation test</w:t>
      </w:r>
      <w:r>
        <w:t xml:space="preserve">.</w:t>
      </w:r>
    </w:p>
    <w:p>
      <w:pPr>
        <w:pStyle w:val="ListParagraph"/>
        <w:numPr>
          <w:ilvl w:val="0"/>
          <w:numId w:val="2"/>
        </w:numPr>
        <w:spacing w:after="80" w:line="264"/>
      </w:pPr>
      <w:r>
        <w:rPr>
          <w:b/>
          <w:bCs/>
        </w:rPr>
        <w:t xml:space="preserve">Matched G-sec yield:</w:t>
      </w:r>
      <w:r>
        <w:t xml:space="preserve"> the G-sec yield for the bond’s remaining maturity is read off that day’s curve by straight-line interpolation and converted to the same compounding basis.</w:t>
      </w:r>
    </w:p>
    <w:p>
      <w:pPr>
        <w:pStyle w:val="ListParagraph"/>
        <w:numPr>
          <w:ilvl w:val="0"/>
          <w:numId w:val="2"/>
        </w:numPr>
        <w:spacing w:after="80" w:line="264"/>
      </w:pPr>
      <w:r>
        <w:rPr>
          <w:b/>
          <w:bCs/>
        </w:rPr>
        <w:t xml:space="preserve">Spread</w:t>
      </w:r>
      <w:r>
        <w:t xml:space="preserve"> = corporate yield − G-sec yield, in basis points. One spread per company per day (trade-value weighted).</w:t>
      </w:r>
    </w:p>
    <w:p>
      <w:pPr>
        <w:pStyle w:val="ListParagraph"/>
        <w:numPr>
          <w:ilvl w:val="0"/>
          <w:numId w:val="2"/>
        </w:numPr>
        <w:spacing w:after="80" w:line="264"/>
      </w:pPr>
      <w:r>
        <w:rPr>
          <w:b/>
          <w:bCs/>
        </w:rPr>
        <w:t xml:space="preserve">Benchmark:</w:t>
      </w:r>
      <w:r>
        <w:t xml:space="preserve"> each week, the median spread of companies that had no downgrade within 180 days. Subtracting it removes market-wide moves (rate changes, the 2018 NBFC liquidity squeeze, COVID-19 in March 2020).</w:t>
      </w:r>
    </w:p>
    <w:p>
      <w:pPr>
        <w:pStyle w:val="ListParagraph"/>
        <w:numPr>
          <w:ilvl w:val="0"/>
          <w:numId w:val="2"/>
        </w:numPr>
        <w:spacing w:after="80" w:line="264"/>
      </w:pPr>
      <w:r>
        <w:rPr>
          <w:b/>
          <w:bCs/>
        </w:rPr>
        <w:t xml:space="preserve">Event study:</w:t>
      </w:r>
      <w:r>
        <w:t xml:space="preserve"> for every first downgrade of an episode, compare the abnormal spread in the 30 days before the downgrade with its level 3–6 months before. Also measure the same thing on random dates for stable companies (placebo).</w:t>
      </w:r>
    </w:p>
    <w:p>
      <w:pPr>
        <w:pStyle w:val="ListParagraph"/>
        <w:numPr>
          <w:ilvl w:val="0"/>
          <w:numId w:val="2"/>
        </w:numPr>
        <w:spacing w:after="80" w:line="264"/>
      </w:pPr>
      <w:r>
        <w:rPr>
          <w:b/>
          <w:bCs/>
        </w:rPr>
        <w:t xml:space="preserve">Statistical tests and verdict:</w:t>
      </w:r>
      <w:r>
        <w:t xml:space="preserve"> YES only if the widening is significant (t-test) </w:t>
      </w:r>
      <w:r>
        <w:rPr>
          <w:b/>
          <w:bCs/>
        </w:rPr>
        <w:t xml:space="preserve">and</w:t>
      </w:r>
      <w:r>
        <w:t xml:space="preserve"> happens more often before downgrades than on random dates (Fisher and Mann-Whitney tests). Otherwise PARTIAL or NO.</w:t>
      </w:r>
    </w:p>
    <w:p>
      <w:pPr>
        <w:pStyle w:val="ListParagraph"/>
        <w:numPr>
          <w:ilvl w:val="0"/>
          <w:numId w:val="2"/>
        </w:numPr>
        <w:spacing w:after="80" w:line="264"/>
      </w:pPr>
      <w:r>
        <w:rPr>
          <w:b/>
          <w:bCs/>
        </w:rPr>
        <w:t xml:space="preserve">Transition matrix:</w:t>
      </w:r>
      <w:r>
        <w:t xml:space="preserve"> from the rating rows, count how many companies moved from each rating category to each other category over one year (cohorts formed every 1 April). Convert to percentages and default probabilities.</w:t>
      </w:r>
    </w:p>
    <w:p>
      <w:pPr>
        <w:pStyle w:val="ListParagraph"/>
        <w:numPr>
          <w:ilvl w:val="0"/>
          <w:numId w:val="2"/>
        </w:numPr>
        <w:spacing w:after="80" w:line="264"/>
      </w:pPr>
      <w:r>
        <w:rPr>
          <w:b/>
          <w:bCs/>
        </w:rPr>
        <w:t xml:space="preserve">Sensitivity check:</w:t>
      </w:r>
      <w:r>
        <w:t xml:space="preserve"> the whole event study is re-run with a 14-day and 60-day window, thresholds of 1.5 and 2.5 standard deviations, and without the benchmark, to show whether the answer is robust.</w:t>
      </w:r>
    </w:p>
    <w:p>
      <w:pPr>
        <w:pStyle w:val="Heading2"/>
      </w:pPr>
      <w:bookmarkStart w:name="_Toc9" w:id="9"/>
      <w:r>
        <w:t xml:space="preserve">3.4 The key calculations, with worked numbers</w:t>
      </w:r>
      <w:bookmarkEnd w:id="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5"/>
        <w:gridCol w:w="3309"/>
        <w:gridCol w:w="3812"/>
      </w:tblGrid>
      <w:tr>
        <w:trPr>
          <w:cantSplit/>
          <w:tblHeader/>
        </w:trPr>
        <w:tc>
          <w:tcPr>
            <w:tcW w:type="dxa" w:w="190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8"/>
                <w:szCs w:val="18"/>
              </w:rPr>
              <w:t xml:space="preserve">Calculation</w:t>
            </w:r>
          </w:p>
        </w:tc>
        <w:tc>
          <w:tcPr>
            <w:tcW w:type="dxa" w:w="330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8"/>
                <w:szCs w:val="18"/>
              </w:rPr>
              <w:t xml:space="preserve">Formula</w:t>
            </w:r>
          </w:p>
        </w:tc>
        <w:tc>
          <w:tcPr>
            <w:tcW w:type="dxa" w:w="381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8"/>
                <w:szCs w:val="18"/>
              </w:rPr>
              <w:t xml:space="preserve">Worked example (it is also an automated test)</w:t>
            </w:r>
          </w:p>
        </w:tc>
      </w:tr>
      <w:tr>
        <w:trPr>
          <w:cantSplit/>
        </w:trPr>
        <w:tc>
          <w:tcPr>
            <w:tcW w:type="dxa" w:w="19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Bond price from yield</w:t>
            </w:r>
          </w:p>
        </w:tc>
        <w:tc>
          <w:tcPr>
            <w:tcW w:type="dxa" w:w="33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Dirty price = Σ CF / (1+y)^t, t = days/365</w:t>
            </w:r>
          </w:p>
          <w:p>
            <w:pPr>
              <w:spacing w:after="20"/>
            </w:pPr>
            <w:r>
              <w:rPr>
                <w:sz w:val="18"/>
                <w:szCs w:val="18"/>
              </w:rPr>
              <w:t xml:space="preserve">Clean = Dirty − Accrued</w:t>
            </w:r>
          </w:p>
        </w:tc>
        <w:tc>
          <w:tcPr>
            <w:tcW w:type="dxa" w:w="38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3-year 8% bond at 9%: 8/1.09 + 8/1.09² + 108/1.09³ = </w:t>
            </w:r>
            <w:r>
              <w:rPr>
                <w:b/>
                <w:bCs/>
                <w:sz w:val="18"/>
                <w:szCs w:val="18"/>
              </w:rPr>
              <w:t xml:space="preserve">97.4687</w:t>
            </w:r>
          </w:p>
        </w:tc>
      </w:tr>
      <w:tr>
        <w:trPr>
          <w:cantSplit/>
        </w:trPr>
        <w:tc>
          <w:tcPr>
            <w:tcW w:type="dxa" w:w="19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Yield from price</w:t>
            </w:r>
          </w:p>
        </w:tc>
        <w:tc>
          <w:tcPr>
            <w:tcW w:type="dxa" w:w="33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Bisection: halve the interval until the price matches</w:t>
            </w:r>
          </w:p>
        </w:tc>
        <w:tc>
          <w:tcPr>
            <w:tcW w:type="dxa" w:w="38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Price 97.4687 → yield </w:t>
            </w:r>
            <w:r>
              <w:rPr>
                <w:b/>
                <w:bCs/>
                <w:sz w:val="18"/>
                <w:szCs w:val="18"/>
              </w:rPr>
              <w:t xml:space="preserve">9.0000%</w:t>
            </w:r>
          </w:p>
        </w:tc>
      </w:tr>
      <w:tr>
        <w:trPr>
          <w:cantSplit/>
        </w:trPr>
        <w:tc>
          <w:tcPr>
            <w:tcW w:type="dxa" w:w="19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Accrued interest</w:t>
            </w:r>
          </w:p>
        </w:tc>
        <w:tc>
          <w:tcPr>
            <w:tcW w:type="dxa" w:w="33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Face × coupon × days since last coupon / 365</w:t>
            </w:r>
          </w:p>
        </w:tc>
        <w:tc>
          <w:tcPr>
            <w:tcW w:type="dxa" w:w="38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9% coupon, 90 days: 100×9%×90/365 = </w:t>
            </w:r>
            <w:r>
              <w:rPr>
                <w:b/>
                <w:bCs/>
                <w:sz w:val="18"/>
                <w:szCs w:val="18"/>
              </w:rPr>
              <w:t xml:space="preserve">2.2192</w:t>
            </w:r>
          </w:p>
        </w:tc>
      </w:tr>
      <w:tr>
        <w:trPr>
          <w:cantSplit/>
        </w:trPr>
        <w:tc>
          <w:tcPr>
            <w:tcW w:type="dxa" w:w="19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Matched G-sec yield</w:t>
            </w:r>
          </w:p>
        </w:tc>
        <w:tc>
          <w:tcPr>
            <w:tcW w:type="dxa" w:w="33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y(T) = y1 + (y2−y1)(T−T1)/(T2−T1)</w:t>
            </w:r>
          </w:p>
        </w:tc>
        <w:tc>
          <w:tcPr>
            <w:tcW w:type="dxa" w:w="38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1y = 6.50%, 5y = 7.00%, bond with 3 years left → </w:t>
            </w:r>
            <w:r>
              <w:rPr>
                <w:b/>
                <w:bCs/>
                <w:sz w:val="18"/>
                <w:szCs w:val="18"/>
              </w:rPr>
              <w:t xml:space="preserve">6.75%</w:t>
            </w:r>
          </w:p>
        </w:tc>
      </w:tr>
      <w:tr>
        <w:trPr>
          <w:cantSplit/>
        </w:trPr>
        <w:tc>
          <w:tcPr>
            <w:tcW w:type="dxa" w:w="19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Compounding conversion</w:t>
            </w:r>
          </w:p>
        </w:tc>
        <w:tc>
          <w:tcPr>
            <w:tcW w:type="dxa" w:w="33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(1 + y/2)² − 1</w:t>
            </w:r>
          </w:p>
        </w:tc>
        <w:tc>
          <w:tcPr>
            <w:tcW w:type="dxa" w:w="38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7.00% semi-annual → </w:t>
            </w:r>
            <w:r>
              <w:rPr>
                <w:b/>
                <w:bCs/>
                <w:sz w:val="18"/>
                <w:szCs w:val="18"/>
              </w:rPr>
              <w:t xml:space="preserve">7.1225%</w:t>
            </w:r>
            <w:r>
              <w:rPr>
                <w:sz w:val="18"/>
                <w:szCs w:val="18"/>
              </w:rPr>
              <w:t xml:space="preserve"> annual</w:t>
            </w:r>
          </w:p>
        </w:tc>
      </w:tr>
      <w:tr>
        <w:trPr>
          <w:cantSplit/>
        </w:trPr>
        <w:tc>
          <w:tcPr>
            <w:tcW w:type="dxa" w:w="19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Spread</w:t>
            </w:r>
          </w:p>
        </w:tc>
        <w:tc>
          <w:tcPr>
            <w:tcW w:type="dxa" w:w="33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(corporate yield − G-sec yield) × 100</w:t>
            </w:r>
          </w:p>
        </w:tc>
        <w:tc>
          <w:tcPr>
            <w:tcW w:type="dxa" w:w="38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9.00% − 7.1225% = </w:t>
            </w:r>
            <w:r>
              <w:rPr>
                <w:b/>
                <w:bCs/>
                <w:sz w:val="18"/>
                <w:szCs w:val="18"/>
              </w:rPr>
              <w:t xml:space="preserve">187.75 bps</w:t>
            </w:r>
          </w:p>
        </w:tc>
      </w:tr>
      <w:tr>
        <w:trPr>
          <w:cantSplit/>
        </w:trPr>
        <w:tc>
          <w:tcPr>
            <w:tcW w:type="dxa" w:w="19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Pre-event widening</w:t>
            </w:r>
          </w:p>
        </w:tc>
        <w:tc>
          <w:tcPr>
            <w:tcW w:type="dxa" w:w="33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mean abnormal spread (days −30..−1) − mean (days −180..−91)</w:t>
            </w:r>
          </w:p>
        </w:tc>
        <w:tc>
          <w:tcPr>
            <w:tcW w:type="dxa" w:w="38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150 − 100 = </w:t>
            </w:r>
            <w:r>
              <w:rPr>
                <w:b/>
                <w:bCs/>
                <w:sz w:val="18"/>
                <w:szCs w:val="18"/>
              </w:rPr>
              <w:t xml:space="preserve">50 bps</w:t>
            </w:r>
            <w:r>
              <w:rPr>
                <w:sz w:val="18"/>
                <w:szCs w:val="18"/>
              </w:rPr>
              <w:t xml:space="preserve">; z = 50/2 = 25 → flagged</w:t>
            </w:r>
          </w:p>
        </w:tc>
      </w:tr>
      <w:tr>
        <w:trPr>
          <w:cantSplit/>
        </w:trPr>
        <w:tc>
          <w:tcPr>
            <w:tcW w:type="dxa" w:w="19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Transition probability</w:t>
            </w:r>
          </w:p>
        </w:tc>
        <w:tc>
          <w:tcPr>
            <w:tcW w:type="dxa" w:w="33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count(i→j) / count(i)</w:t>
            </w:r>
          </w:p>
        </w:tc>
        <w:tc>
          <w:tcPr>
            <w:tcW w:type="dxa" w:w="38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2 AA companies, 1 falls to A → P(AA→A) = </w:t>
            </w:r>
            <w:r>
              <w:rPr>
                <w:b/>
                <w:bCs/>
                <w:sz w:val="18"/>
                <w:szCs w:val="18"/>
              </w:rPr>
              <w:t xml:space="preserve">50%</w:t>
            </w:r>
          </w:p>
        </w:tc>
      </w:tr>
      <w:tr>
        <w:trPr>
          <w:cantSplit/>
        </w:trPr>
        <w:tc>
          <w:tcPr>
            <w:tcW w:type="dxa" w:w="19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Multi-year PD</w:t>
            </w:r>
          </w:p>
        </w:tc>
        <w:tc>
          <w:tcPr>
            <w:tcW w:type="dxa" w:w="33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(Pⁿ)[grade, D]</w:t>
            </w:r>
          </w:p>
        </w:tc>
        <w:tc>
          <w:tcPr>
            <w:tcW w:type="dxa" w:w="38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P(AA→A)=0.5, P(A→D)=1 → 2-year PD of AA = </w:t>
            </w:r>
            <w:r>
              <w:rPr>
                <w:b/>
                <w:bCs/>
                <w:sz w:val="18"/>
                <w:szCs w:val="18"/>
              </w:rPr>
              <w:t xml:space="preserve">0.5</w:t>
            </w:r>
          </w:p>
        </w:tc>
      </w:tr>
      <w:tr>
        <w:trPr>
          <w:cantSplit/>
        </w:trPr>
        <w:tc>
          <w:tcPr>
            <w:tcW w:type="dxa" w:w="19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Spread-implied PD</w:t>
            </w:r>
          </w:p>
        </w:tc>
        <w:tc>
          <w:tcPr>
            <w:tcW w:type="dxa" w:w="33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1 − e^(−spread/LGD), LGD = 45%</w:t>
            </w:r>
          </w:p>
        </w:tc>
        <w:tc>
          <w:tcPr>
            <w:tcW w:type="dxa" w:w="38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180 bps → 1 − e^(−0.04) = </w:t>
            </w:r>
            <w:r>
              <w:rPr>
                <w:b/>
                <w:bCs/>
                <w:sz w:val="18"/>
                <w:szCs w:val="18"/>
              </w:rPr>
              <w:t xml:space="preserve">3.92%</w:t>
            </w:r>
          </w:p>
        </w:tc>
      </w:tr>
    </w:tbl>
    <w:p>
      <w:pPr>
        <w:spacing w:after="120"/>
      </w:pPr>
    </w:p>
    <w:p>
      <w:pPr>
        <w:pStyle w:val="Heading2"/>
      </w:pPr>
      <w:bookmarkStart w:name="_Toc10" w:id="10"/>
      <w:r>
        <w:t xml:space="preserve">3.5 What the outputs mean</w:t>
      </w:r>
      <w:bookmarkEnd w:id="1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4312"/>
        <w:gridCol w:w="2007"/>
      </w:tblGrid>
      <w:tr>
        <w:trPr>
          <w:cantSplit/>
          <w:tblHeader/>
        </w:trPr>
        <w:tc>
          <w:tcPr>
            <w:tcW w:type="dxa" w:w="270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8"/>
                <w:szCs w:val="18"/>
              </w:rPr>
              <w:t xml:space="preserve">File in outputs/real/</w:t>
            </w:r>
          </w:p>
        </w:tc>
        <w:tc>
          <w:tcPr>
            <w:tcW w:type="dxa" w:w="431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8"/>
                <w:szCs w:val="18"/>
              </w:rPr>
              <w:t xml:space="preserve">What it contains</w:t>
            </w:r>
          </w:p>
        </w:tc>
        <w:tc>
          <w:tcPr>
            <w:tcW w:type="dxa" w:w="200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8"/>
                <w:szCs w:val="18"/>
              </w:rPr>
              <w:t xml:space="preserve">Use it in</w:t>
            </w:r>
          </w:p>
        </w:tc>
      </w:tr>
      <w:tr>
        <w:trPr>
          <w:cantSplit/>
        </w:trP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color w:val="7B241C"/>
                <w:sz w:val="18"/>
                <w:szCs w:val="18"/>
              </w:rPr>
              <w:t xml:space="preserve">summary.json</w:t>
            </w:r>
          </w:p>
        </w:tc>
        <w:tc>
          <w:tcPr>
            <w:tcW w:type="dxa" w:w="43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Every headline number: period, counts, validation result, test statistics, verdict, sensitivity verdicts</w:t>
            </w:r>
          </w:p>
        </w:tc>
        <w:tc>
          <w:tcPr>
            <w:tcW w:type="dxa" w:w="20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Ch. 6 executive summary, Ch. 11</w:t>
            </w:r>
          </w:p>
        </w:tc>
      </w:tr>
      <w:tr>
        <w:trPr>
          <w:cantSplit/>
        </w:trP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color w:val="7B241C"/>
                <w:sz w:val="18"/>
                <w:szCs w:val="18"/>
              </w:rPr>
              <w:t xml:space="preserve">trade_spreads.csv</w:t>
            </w:r>
          </w:p>
        </w:tc>
        <w:tc>
          <w:tcPr>
            <w:tcW w:type="dxa" w:w="43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Every trade: recomputed yield, printed yield, difference, PASS/FAIL, matched G-sec yield, spread</w:t>
            </w:r>
          </w:p>
        </w:tc>
        <w:tc>
          <w:tcPr>
            <w:tcW w:type="dxa" w:w="20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Ch. 11 validation</w:t>
            </w:r>
          </w:p>
        </w:tc>
      </w:tr>
      <w:tr>
        <w:trPr>
          <w:cantSplit/>
        </w:trP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color w:val="7B241C"/>
                <w:sz w:val="18"/>
                <w:szCs w:val="18"/>
              </w:rPr>
              <w:t xml:space="preserve">rejected_trades.csv</w:t>
            </w:r>
          </w:p>
        </w:tc>
        <w:tc>
          <w:tcPr>
            <w:tcW w:type="dxa" w:w="43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Every rejected row with its reason</w:t>
            </w:r>
          </w:p>
        </w:tc>
        <w:tc>
          <w:tcPr>
            <w:tcW w:type="dxa" w:w="20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Ch. 11 (explain each category), Ch. 9</w:t>
            </w:r>
          </w:p>
        </w:tc>
      </w:tr>
      <w:tr>
        <w:trPr>
          <w:cantSplit/>
        </w:trP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color w:val="7B241C"/>
                <w:sz w:val="18"/>
                <w:szCs w:val="18"/>
              </w:rPr>
              <w:t xml:space="preserve">events.csv</w:t>
            </w:r>
          </w:p>
        </w:tc>
        <w:tc>
          <w:tcPr>
            <w:tcW w:type="dxa" w:w="43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Each downgrade episode: baseline, widening, z-score, flagged, lead time</w:t>
            </w:r>
          </w:p>
        </w:tc>
        <w:tc>
          <w:tcPr>
            <w:tcW w:type="dxa" w:w="20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Ch. 11 table, Ch. 12 case study</w:t>
            </w:r>
          </w:p>
        </w:tc>
      </w:tr>
      <w:tr>
        <w:trPr>
          <w:cantSplit/>
        </w:trP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color w:val="7B241C"/>
                <w:sz w:val="18"/>
                <w:szCs w:val="18"/>
              </w:rPr>
              <w:t xml:space="preserve">placebos.csv</w:t>
            </w:r>
          </w:p>
        </w:tc>
        <w:tc>
          <w:tcPr>
            <w:tcW w:type="dxa" w:w="43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The same measurement on random dates</w:t>
            </w:r>
          </w:p>
        </w:tc>
        <w:tc>
          <w:tcPr>
            <w:tcW w:type="dxa" w:w="20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Ch. 11 (false-alarm rate)</w:t>
            </w:r>
          </w:p>
        </w:tc>
      </w:tr>
      <w:tr>
        <w:trPr>
          <w:cantSplit/>
        </w:trP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color w:val="7B241C"/>
                <w:sz w:val="18"/>
                <w:szCs w:val="18"/>
              </w:rPr>
              <w:t xml:space="preserve">sensitivity.csv</w:t>
            </w:r>
          </w:p>
        </w:tc>
        <w:tc>
          <w:tcPr>
            <w:tcW w:type="dxa" w:w="43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The verdict under alternative settings</w:t>
            </w:r>
          </w:p>
        </w:tc>
        <w:tc>
          <w:tcPr>
            <w:tcW w:type="dxa" w:w="20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Ch. 11 robustness, viva questions</w:t>
            </w:r>
          </w:p>
        </w:tc>
      </w:tr>
      <w:tr>
        <w:trPr>
          <w:cantSplit/>
        </w:trP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color w:val="7B241C"/>
                <w:sz w:val="18"/>
                <w:szCs w:val="18"/>
              </w:rPr>
              <w:t xml:space="preserve">transition_counts.csv</w:t>
            </w:r>
            <w:r>
              <w:rPr>
                <w:sz w:val="18"/>
                <w:szCs w:val="18"/>
              </w:rPr>
              <w:t xml:space="preserve"> / </w:t>
            </w:r>
            <w:r>
              <w:rPr>
                <w:rFonts w:ascii="Courier New" w:cs="Courier New" w:eastAsia="Courier New" w:hAnsi="Courier New"/>
                <w:color w:val="7B241C"/>
                <w:sz w:val="18"/>
                <w:szCs w:val="18"/>
              </w:rPr>
              <w:t xml:space="preserve">transition_probs.csv</w:t>
            </w:r>
          </w:p>
        </w:tc>
        <w:tc>
          <w:tcPr>
            <w:tcW w:type="dxa" w:w="43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The rating transition matrix (counts and %)</w:t>
            </w:r>
          </w:p>
        </w:tc>
        <w:tc>
          <w:tcPr>
            <w:tcW w:type="dxa" w:w="20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Ch. 11</w:t>
            </w:r>
          </w:p>
        </w:tc>
      </w:tr>
      <w:tr>
        <w:trPr>
          <w:cantSplit/>
        </w:trP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color w:val="7B241C"/>
                <w:sz w:val="18"/>
                <w:szCs w:val="18"/>
              </w:rPr>
              <w:t xml:space="preserve">pd_by_grade.csv</w:t>
            </w:r>
            <w:r>
              <w:rPr>
                <w:sz w:val="18"/>
                <w:szCs w:val="18"/>
              </w:rPr>
              <w:t xml:space="preserve">, </w:t>
            </w:r>
            <w:r>
              <w:rPr>
                <w:rFonts w:ascii="Courier New" w:cs="Courier New" w:eastAsia="Courier New" w:hAnsi="Courier New"/>
                <w:color w:val="7B241C"/>
                <w:sz w:val="18"/>
                <w:szCs w:val="18"/>
              </w:rPr>
              <w:t xml:space="preserve">implied_vs_historical_pd.csv</w:t>
            </w:r>
          </w:p>
        </w:tc>
        <w:tc>
          <w:tcPr>
            <w:tcW w:type="dxa" w:w="43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Default probabilities by grade and horizon; spread-implied vs historical</w:t>
            </w:r>
          </w:p>
        </w:tc>
        <w:tc>
          <w:tcPr>
            <w:tcW w:type="dxa" w:w="20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Ch. 11, Ch. 12</w:t>
            </w:r>
          </w:p>
        </w:tc>
      </w:tr>
      <w:tr>
        <w:trPr>
          <w:cantSplit/>
        </w:trP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color w:val="7B241C"/>
                <w:sz w:val="18"/>
                <w:szCs w:val="18"/>
              </w:rPr>
              <w:t xml:space="preserve">commentary.md</w:t>
            </w:r>
          </w:p>
        </w:tc>
        <w:tc>
          <w:tcPr>
            <w:tcW w:type="dxa" w:w="43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The verified, cited commentary</w:t>
            </w:r>
          </w:p>
        </w:tc>
        <w:tc>
          <w:tcPr>
            <w:tcW w:type="dxa" w:w="20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Ch. 12 (rewrite in your own words), annexure</w:t>
            </w:r>
          </w:p>
        </w:tc>
      </w:tr>
      <w:tr>
        <w:trPr>
          <w:cantSplit/>
        </w:trP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color w:val="7B241C"/>
                <w:sz w:val="18"/>
                <w:szCs w:val="18"/>
              </w:rPr>
              <w:t xml:space="preserve">SpreadWatch_Annexure.html</w:t>
            </w:r>
            <w:r>
              <w:rPr>
                <w:sz w:val="18"/>
                <w:szCs w:val="18"/>
              </w:rPr>
              <w:t xml:space="preserve"> + </w:t>
            </w:r>
            <w:r>
              <w:rPr>
                <w:rFonts w:ascii="Courier New" w:cs="Courier New" w:eastAsia="Courier New" w:hAnsi="Courier New"/>
                <w:color w:val="7B241C"/>
                <w:sz w:val="18"/>
                <w:szCs w:val="18"/>
              </w:rPr>
              <w:t xml:space="preserve">figures/</w:t>
            </w:r>
          </w:p>
        </w:tc>
        <w:tc>
          <w:tcPr>
            <w:tcW w:type="dxa" w:w="43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The generated annexure and Figures 1–5 as PNG</w:t>
            </w:r>
          </w:p>
        </w:tc>
        <w:tc>
          <w:tcPr>
            <w:tcW w:type="dxa" w:w="20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Ch. 11 figures, Ch. 15 annexure, slides</w:t>
            </w:r>
          </w:p>
        </w:tc>
      </w:tr>
    </w:tbl>
    <w:p>
      <w:pPr>
        <w:spacing w:after="120"/>
      </w:pPr>
    </w:p>
    <w:p>
      <w:pPr>
        <w:pStyle w:val="Heading1"/>
        <w:pageBreakBefore/>
      </w:pPr>
      <w:bookmarkStart w:name="_Toc11" w:id="11"/>
      <w:r>
        <w:t xml:space="preserve">4. The data you need, and the companies</w:t>
      </w:r>
      <w:bookmarkEnd w:id="11"/>
    </w:p>
    <w:p>
      <w:pPr>
        <w:pStyle w:val="Heading2"/>
      </w:pPr>
      <w:bookmarkStart w:name="_Toc12" w:id="12"/>
      <w:r>
        <w:t xml:space="preserve">4.1 Five inputs, nothing else</w:t>
      </w:r>
      <w:bookmarkEnd w:id="1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1"/>
        <w:gridCol w:w="2607"/>
        <w:gridCol w:w="1103"/>
        <w:gridCol w:w="2206"/>
        <w:gridCol w:w="1704"/>
        <w:gridCol w:w="1005"/>
      </w:tblGrid>
      <w:tr>
        <w:trPr>
          <w:cantSplit/>
          <w:tblHeader/>
        </w:trPr>
        <w:tc>
          <w:tcPr>
            <w:tcW w:type="dxa" w:w="40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8"/>
                <w:szCs w:val="18"/>
              </w:rPr>
              <w:t xml:space="preserve">#</w:t>
            </w:r>
          </w:p>
        </w:tc>
        <w:tc>
          <w:tcPr>
            <w:tcW w:type="dxa" w:w="260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8"/>
                <w:szCs w:val="18"/>
              </w:rPr>
              <w:t xml:space="preserve">Input</w:t>
            </w:r>
          </w:p>
        </w:tc>
        <w:tc>
          <w:tcPr>
            <w:tcW w:type="dxa" w:w="110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8"/>
                <w:szCs w:val="18"/>
              </w:rPr>
              <w:t xml:space="preserve">Required?</w:t>
            </w:r>
          </w:p>
        </w:tc>
        <w:tc>
          <w:tcPr>
            <w:tcW w:type="dxa" w:w="220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8"/>
                <w:szCs w:val="18"/>
              </w:rPr>
              <w:t xml:space="preserve">Source (free)</w:t>
            </w:r>
          </w:p>
        </w:tc>
        <w:tc>
          <w:tcPr>
            <w:tcW w:type="dxa" w:w="170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8"/>
                <w:szCs w:val="18"/>
              </w:rPr>
              <w:t xml:space="preserve">Saved to folder</w:t>
            </w:r>
          </w:p>
        </w:tc>
        <w:tc>
          <w:tcPr>
            <w:tcW w:type="dxa" w:w="100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8"/>
                <w:szCs w:val="18"/>
              </w:rPr>
              <w:t xml:space="preserve">Guide section</w:t>
            </w:r>
          </w:p>
        </w:tc>
      </w:tr>
      <w:tr>
        <w:trPr>
          <w:cantSplit/>
        </w:trPr>
        <w:tc>
          <w:tcPr>
            <w:tcW w:type="dxa" w:w="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1</w:t>
            </w:r>
          </w:p>
        </w:tc>
        <w:tc>
          <w:tcPr>
            <w:tcW w:type="dxa" w:w="26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Rating actions: company, agency, date, old rating, new rating</w:t>
            </w:r>
          </w:p>
        </w:tc>
        <w:tc>
          <w:tcPr>
            <w:tcW w:type="dxa" w:w="11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Yes</w:t>
            </w:r>
          </w:p>
        </w:tc>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CRISIL, ICRA, CARE, India Ratings press releases</w:t>
            </w:r>
          </w:p>
        </w:tc>
        <w:tc>
          <w:tcPr>
            <w:tcW w:type="dxa" w:w="17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color w:val="7B241C"/>
                <w:sz w:val="18"/>
                <w:szCs w:val="18"/>
              </w:rPr>
              <w:t xml:space="preserve">data/raw/ratings/</w:t>
            </w:r>
          </w:p>
        </w:tc>
        <w:tc>
          <w:tcPr>
            <w:tcW w:type="dxa" w:w="10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5.1</w:t>
            </w:r>
          </w:p>
        </w:tc>
      </w:tr>
      <w:tr>
        <w:trPr>
          <w:cantSplit/>
        </w:trPr>
        <w:tc>
          <w:tcPr>
            <w:tcW w:type="dxa" w:w="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2</w:t>
            </w:r>
          </w:p>
        </w:tc>
        <w:tc>
          <w:tcPr>
            <w:tcW w:type="dxa" w:w="26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Bond master: ISIN, issuer, coupon, maturity, frequency</w:t>
            </w:r>
          </w:p>
        </w:tc>
        <w:tc>
          <w:tcPr>
            <w:tcW w:type="dxa" w:w="11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Yes</w:t>
            </w:r>
          </w:p>
        </w:tc>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NSDL India Bond Info; exchange bond pages</w:t>
            </w:r>
          </w:p>
        </w:tc>
        <w:tc>
          <w:tcPr>
            <w:tcW w:type="dxa" w:w="17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color w:val="7B241C"/>
                <w:sz w:val="18"/>
                <w:szCs w:val="18"/>
              </w:rPr>
              <w:t xml:space="preserve">data/raw/master/</w:t>
            </w:r>
          </w:p>
        </w:tc>
        <w:tc>
          <w:tcPr>
            <w:tcW w:type="dxa" w:w="10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5.2</w:t>
            </w:r>
          </w:p>
        </w:tc>
      </w:tr>
      <w:tr>
        <w:trPr>
          <w:cantSplit/>
        </w:trPr>
        <w:tc>
          <w:tcPr>
            <w:tcW w:type="dxa" w:w="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3</w:t>
            </w:r>
          </w:p>
        </w:tc>
        <w:tc>
          <w:tcPr>
            <w:tcW w:type="dxa" w:w="26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Bond trades: date, ISIN, price, yield, value</w:t>
            </w:r>
          </w:p>
        </w:tc>
        <w:tc>
          <w:tcPr>
            <w:tcW w:type="dxa" w:w="11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Yes</w:t>
            </w:r>
          </w:p>
        </w:tc>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NSE (or BSE) corporate bond trade reports</w:t>
            </w:r>
          </w:p>
        </w:tc>
        <w:tc>
          <w:tcPr>
            <w:tcW w:type="dxa" w:w="17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color w:val="7B241C"/>
                <w:sz w:val="18"/>
                <w:szCs w:val="18"/>
              </w:rPr>
              <w:t xml:space="preserve">data/raw/trades/</w:t>
            </w:r>
          </w:p>
        </w:tc>
        <w:tc>
          <w:tcPr>
            <w:tcW w:type="dxa" w:w="10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5.3</w:t>
            </w:r>
          </w:p>
        </w:tc>
      </w:tr>
      <w:tr>
        <w:trPr>
          <w:cantSplit/>
        </w:trPr>
        <w:tc>
          <w:tcPr>
            <w:tcW w:type="dxa" w:w="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4</w:t>
            </w:r>
          </w:p>
        </w:tc>
        <w:tc>
          <w:tcPr>
            <w:tcW w:type="dxa" w:w="26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G-sec yield curve: date, maturity, yield</w:t>
            </w:r>
          </w:p>
        </w:tc>
        <w:tc>
          <w:tcPr>
            <w:tcW w:type="dxa" w:w="11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Yes</w:t>
            </w:r>
          </w:p>
        </w:tc>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FBIL (official) or investing.com (fallback)</w:t>
            </w:r>
          </w:p>
        </w:tc>
        <w:tc>
          <w:tcPr>
            <w:tcW w:type="dxa" w:w="17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color w:val="7B241C"/>
                <w:sz w:val="18"/>
                <w:szCs w:val="18"/>
              </w:rPr>
              <w:t xml:space="preserve">data/raw/gsec/</w:t>
            </w:r>
          </w:p>
        </w:tc>
        <w:tc>
          <w:tcPr>
            <w:tcW w:type="dxa" w:w="10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5.4</w:t>
            </w:r>
          </w:p>
        </w:tc>
      </w:tr>
      <w:tr>
        <w:trPr>
          <w:cantSplit/>
        </w:trPr>
        <w:tc>
          <w:tcPr>
            <w:tcW w:type="dxa" w:w="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5a</w:t>
            </w:r>
          </w:p>
        </w:tc>
        <w:tc>
          <w:tcPr>
            <w:tcW w:type="dxa" w:w="26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Rating rationale PDFs</w:t>
            </w:r>
          </w:p>
        </w:tc>
        <w:tc>
          <w:tcPr>
            <w:tcW w:type="dxa" w:w="11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Optional (recommended)</w:t>
            </w:r>
          </w:p>
        </w:tc>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Same agency pages as #1</w:t>
            </w:r>
          </w:p>
        </w:tc>
        <w:tc>
          <w:tcPr>
            <w:tcW w:type="dxa" w:w="17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color w:val="7B241C"/>
                <w:sz w:val="18"/>
                <w:szCs w:val="18"/>
              </w:rPr>
              <w:t xml:space="preserve">data/raw/rationales/</w:t>
            </w:r>
          </w:p>
        </w:tc>
        <w:tc>
          <w:tcPr>
            <w:tcW w:type="dxa" w:w="10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5.5</w:t>
            </w:r>
          </w:p>
        </w:tc>
      </w:tr>
      <w:tr>
        <w:trPr>
          <w:cantSplit/>
        </w:trPr>
        <w:tc>
          <w:tcPr>
            <w:tcW w:type="dxa" w:w="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5b</w:t>
            </w:r>
          </w:p>
        </w:tc>
        <w:tc>
          <w:tcPr>
            <w:tcW w:type="dxa" w:w="26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CRISIL default &amp; transition study</w:t>
            </w:r>
          </w:p>
        </w:tc>
        <w:tc>
          <w:tcPr>
            <w:tcW w:type="dxa" w:w="11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Optional (recommended)</w:t>
            </w:r>
          </w:p>
        </w:tc>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CRISIL website (PDF)</w:t>
            </w:r>
          </w:p>
        </w:tc>
        <w:tc>
          <w:tcPr>
            <w:tcW w:type="dxa" w:w="17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Not loaded – for comparison in Ch. 11</w:t>
            </w:r>
          </w:p>
        </w:tc>
        <w:tc>
          <w:tcPr>
            <w:tcW w:type="dxa" w:w="10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5.6</w:t>
            </w:r>
          </w:p>
        </w:tc>
      </w:tr>
    </w:tbl>
    <w:p>
      <w:pPr>
        <w:spacing w:after="120"/>
      </w:pPr>
    </w:p>
    <w:p>
      <w:pPr>
        <w:pStyle w:val="Heading2"/>
      </w:pPr>
      <w:bookmarkStart w:name="_Toc13" w:id="13"/>
      <w:r>
        <w:t xml:space="preserve">4.2 Study period</w:t>
      </w:r>
      <w:bookmarkEnd w:id="13"/>
    </w:p>
    <w:p>
      <w:pPr>
        <w:spacing w:after="120" w:line="276"/>
      </w:pPr>
      <w:r>
        <w:t xml:space="preserve">Use </w:t>
      </w:r>
      <w:r>
        <w:rPr>
          <w:b/>
          <w:bCs/>
        </w:rPr>
        <w:t xml:space="preserve">1 April 2018 to 31 March 2022.</w:t>
      </w:r>
      <w:r>
        <w:t xml:space="preserve"> It covers the IL&amp;FS default (September 2018), the NBFC/HFC funding stress of 2019, the Vodafone Idea AGR shock (late 2019), COVID-19 (2020) and the Srei default (2021). FBIL’s daily G-sec valuation benchmarks are available from 31 March 2018, so the period starts where the official curve starts. Keep a little data before each downgrade: the model needs about six months of spreads before every event.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F3864" w:sz="24"/>
              <w:bottom w:val="none" w:color="FFFFFF" w:sz="0"/>
              <w:right w:val="none" w:color="FFFFFF" w:sz="0"/>
            </w:tcBorders>
            <w:shd w:fill="EAF1FB" w:color="auto" w:val="clear"/>
            <w:tcMar>
              <w:top w:type="dxa" w:w="100"/>
              <w:left w:type="dxa" w:w="180"/>
              <w:bottom w:type="dxa" w:w="100"/>
              <w:right w:type="dxa" w:w="140"/>
            </w:tcMar>
          </w:tcPr>
          <w:p>
            <w:pPr>
              <w:spacing w:after="60" w:line="264"/>
            </w:pPr>
            <w:r>
              <w:t xml:space="preserve">IL&amp;FS was first downgraded in August–September 2018, only five months after the curve starts, so its baseline window (days −180 to −91) falls mostly before April 2018. It may show as “unusable” in the event study. Keep it anyway: it still counts in the transition matrix, and you can discuss it as a case. If you want it measured, use the investing.com curve (Section 5.4, Option B), which goes back further, for the whole study.</w:t>
            </w:r>
          </w:p>
        </w:tc>
      </w:tr>
    </w:tbl>
    <w:p>
      <w:pPr>
        <w:spacing w:after="120"/>
      </w:pPr>
    </w:p>
    <w:p>
      <w:pPr>
        <w:pStyle w:val="Heading2"/>
      </w:pPr>
      <w:bookmarkStart w:name="_Toc14" w:id="14"/>
      <w:r>
        <w:t xml:space="preserve">4.3 The 12 downgraded (“event”) companies</w:t>
      </w:r>
      <w:bookmarkEnd w:id="14"/>
    </w:p>
    <w:p>
      <w:pPr>
        <w:spacing w:after="120" w:line="276"/>
      </w:pPr>
      <w:r>
        <w:t xml:space="preserve">These companies had widely reported downgrades in the study period. The middle column is a summary from public reports, so you know what to look for. </w:t>
      </w:r>
      <w:r>
        <w:rPr>
          <w:b/>
          <w:bCs/>
        </w:rPr>
        <w:t xml:space="preserve">Do not copy it into your data.</w:t>
      </w:r>
      <w:r>
        <w:t xml:space="preserve"> Take every date and rating from the agency’s own press release, because reported dates sometimes differ by a day or two.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1"/>
        <w:gridCol w:w="2306"/>
        <w:gridCol w:w="1103"/>
        <w:gridCol w:w="3610"/>
        <w:gridCol w:w="1506"/>
      </w:tblGrid>
      <w:tr>
        <w:trPr>
          <w:cantSplit/>
          <w:tblHeader/>
        </w:trPr>
        <w:tc>
          <w:tcPr>
            <w:tcW w:type="dxa" w:w="50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7"/>
                <w:szCs w:val="17"/>
              </w:rPr>
              <w:t xml:space="preserve">#</w:t>
            </w:r>
          </w:p>
        </w:tc>
        <w:tc>
          <w:tcPr>
            <w:tcW w:type="dxa" w:w="230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7"/>
                <w:szCs w:val="17"/>
              </w:rPr>
              <w:t xml:space="preserve">Company (use this exact name)</w:t>
            </w:r>
          </w:p>
        </w:tc>
        <w:tc>
          <w:tcPr>
            <w:tcW w:type="dxa" w:w="110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7"/>
                <w:szCs w:val="17"/>
              </w:rPr>
              <w:t xml:space="preserve">Sector</w:t>
            </w:r>
          </w:p>
        </w:tc>
        <w:tc>
          <w:tcPr>
            <w:tcW w:type="dxa" w:w="361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7"/>
                <w:szCs w:val="17"/>
              </w:rPr>
              <w:t xml:space="preserve">What to look for in the rating history</w:t>
            </w:r>
          </w:p>
        </w:tc>
        <w:tc>
          <w:tcPr>
            <w:tcW w:type="dxa" w:w="150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7"/>
                <w:szCs w:val="17"/>
              </w:rPr>
              <w:t xml:space="preserve">Agencies to check</w:t>
            </w:r>
          </w:p>
        </w:tc>
      </w:tr>
      <w:tr>
        <w:trPr>
          <w:cantSplit/>
        </w:trPr>
        <w:tc>
          <w:tcPr>
            <w:tcW w:type="dxa" w:w="5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E1</w:t>
            </w:r>
          </w:p>
        </w:tc>
        <w:tc>
          <w:tcPr>
            <w:tcW w:type="dxa" w:w="2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Infrastructure Leasing &amp; Financial Services Ltd (also IL&amp;FS Financial Services Ltd)</w:t>
            </w:r>
          </w:p>
        </w:tc>
        <w:tc>
          <w:tcPr>
            <w:tcW w:type="dxa" w:w="11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Infra finance</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ICRA: AAA → AA+ (Aug 2018), AA+ → BB (Sep 2018), BB → D (17 Sep 2018)</w:t>
            </w:r>
          </w:p>
        </w:tc>
        <w:tc>
          <w:tcPr>
            <w:tcW w:type="dxa" w:w="15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ICRA, CARE, India Ratings</w:t>
            </w:r>
          </w:p>
        </w:tc>
      </w:tr>
      <w:tr>
        <w:trPr>
          <w:cantSplit/>
        </w:trPr>
        <w:tc>
          <w:tcPr>
            <w:tcW w:type="dxa" w:w="5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E2</w:t>
            </w:r>
          </w:p>
        </w:tc>
        <w:tc>
          <w:tcPr>
            <w:tcW w:type="dxa" w:w="2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Dewan Housing Finance Corporation Ltd</w:t>
            </w:r>
          </w:p>
        </w:tc>
        <w:tc>
          <w:tcPr>
            <w:tcW w:type="dxa" w:w="11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Housing finance</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CARE AAA → AA+ (Feb 2019); several cuts; D by June 2019</w:t>
            </w:r>
          </w:p>
        </w:tc>
        <w:tc>
          <w:tcPr>
            <w:tcW w:type="dxa" w:w="15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CARE, ICRA, CRISIL, Brickwork</w:t>
            </w:r>
          </w:p>
        </w:tc>
      </w:tr>
      <w:tr>
        <w:trPr>
          <w:cantSplit/>
        </w:trPr>
        <w:tc>
          <w:tcPr>
            <w:tcW w:type="dxa" w:w="5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E3</w:t>
            </w:r>
          </w:p>
        </w:tc>
        <w:tc>
          <w:tcPr>
            <w:tcW w:type="dxa" w:w="2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Reliance Capital Ltd</w:t>
            </w:r>
          </w:p>
        </w:tc>
        <w:tc>
          <w:tcPr>
            <w:tcW w:type="dxa" w:w="11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NBFC</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Downgrades and watch placements from April 2019</w:t>
            </w:r>
          </w:p>
        </w:tc>
        <w:tc>
          <w:tcPr>
            <w:tcW w:type="dxa" w:w="15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CARE, ICRA, Brickwork</w:t>
            </w:r>
          </w:p>
        </w:tc>
      </w:tr>
      <w:tr>
        <w:trPr>
          <w:cantSplit/>
        </w:trPr>
        <w:tc>
          <w:tcPr>
            <w:tcW w:type="dxa" w:w="5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E4</w:t>
            </w:r>
          </w:p>
        </w:tc>
        <w:tc>
          <w:tcPr>
            <w:tcW w:type="dxa" w:w="2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Reliance Home Finance Ltd</w:t>
            </w:r>
          </w:p>
        </w:tc>
        <w:tc>
          <w:tcPr>
            <w:tcW w:type="dxa" w:w="11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Housing finance</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ICRA CP cut (Mar 2019); CARE BBB+ → D (Apr 2019); Brickwork D (Sep 2019)</w:t>
            </w:r>
          </w:p>
        </w:tc>
        <w:tc>
          <w:tcPr>
            <w:tcW w:type="dxa" w:w="15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CARE, ICRA, Brickwork</w:t>
            </w:r>
          </w:p>
        </w:tc>
      </w:tr>
      <w:tr>
        <w:trPr>
          <w:cantSplit/>
        </w:trPr>
        <w:tc>
          <w:tcPr>
            <w:tcW w:type="dxa" w:w="5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E5</w:t>
            </w:r>
          </w:p>
        </w:tc>
        <w:tc>
          <w:tcPr>
            <w:tcW w:type="dxa" w:w="2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Indiabulls Housing Finance Ltd</w:t>
            </w:r>
          </w:p>
        </w:tc>
        <w:tc>
          <w:tcPr>
            <w:tcW w:type="dxa" w:w="11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Housing finance</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ICRA AAA → AA+ (30 Aug 2019); CRISIL AAA → AA+ (10 Sep 2019), AA+ → AA (7 Feb 2020)</w:t>
            </w:r>
          </w:p>
        </w:tc>
        <w:tc>
          <w:tcPr>
            <w:tcW w:type="dxa" w:w="15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ICRA, CRISIL, CARE</w:t>
            </w:r>
          </w:p>
        </w:tc>
      </w:tr>
      <w:tr>
        <w:trPr>
          <w:cantSplit/>
        </w:trPr>
        <w:tc>
          <w:tcPr>
            <w:tcW w:type="dxa" w:w="5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E6</w:t>
            </w:r>
          </w:p>
        </w:tc>
        <w:tc>
          <w:tcPr>
            <w:tcW w:type="dxa" w:w="2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Yes Bank Ltd (Tier II bonds)</w:t>
            </w:r>
          </w:p>
        </w:tc>
        <w:tc>
          <w:tcPr>
            <w:tcW w:type="dxa" w:w="11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Bank</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ICRA and India Ratings cuts from May 2019, more in Jul and Dec 2019; Upper Tier II to D (Jun 2020)</w:t>
            </w:r>
          </w:p>
        </w:tc>
        <w:tc>
          <w:tcPr>
            <w:tcW w:type="dxa" w:w="15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ICRA, CARE, India Ratings</w:t>
            </w:r>
          </w:p>
        </w:tc>
      </w:tr>
      <w:tr>
        <w:trPr>
          <w:cantSplit/>
        </w:trPr>
        <w:tc>
          <w:tcPr>
            <w:tcW w:type="dxa" w:w="5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E7</w:t>
            </w:r>
          </w:p>
        </w:tc>
        <w:tc>
          <w:tcPr>
            <w:tcW w:type="dxa" w:w="2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Vodafone Idea Ltd</w:t>
            </w:r>
          </w:p>
        </w:tc>
        <w:tc>
          <w:tcPr>
            <w:tcW w:type="dxa" w:w="11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Telecom</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CRISIL A+ → A (Aug 2019), → BBB+ (Nov 2019), → BB (Jan 2020); CARE cuts</w:t>
            </w:r>
          </w:p>
        </w:tc>
        <w:tc>
          <w:tcPr>
            <w:tcW w:type="dxa" w:w="15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CRISIL, CARE, India Ratings</w:t>
            </w:r>
          </w:p>
        </w:tc>
      </w:tr>
      <w:tr>
        <w:trPr>
          <w:cantSplit/>
        </w:trPr>
        <w:tc>
          <w:tcPr>
            <w:tcW w:type="dxa" w:w="5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E8</w:t>
            </w:r>
          </w:p>
        </w:tc>
        <w:tc>
          <w:tcPr>
            <w:tcW w:type="dxa" w:w="2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Altico Capital India Ltd</w:t>
            </w:r>
          </w:p>
        </w:tc>
        <w:tc>
          <w:tcPr>
            <w:tcW w:type="dxa" w:w="11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NBFC (real estate)</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India Ratings A+ → D (Sep 2019) after missed interest on foreign borrowing</w:t>
            </w:r>
          </w:p>
        </w:tc>
        <w:tc>
          <w:tcPr>
            <w:tcW w:type="dxa" w:w="15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India Ratings, CARE</w:t>
            </w:r>
          </w:p>
        </w:tc>
      </w:tr>
      <w:tr>
        <w:trPr>
          <w:cantSplit/>
        </w:trPr>
        <w:tc>
          <w:tcPr>
            <w:tcW w:type="dxa" w:w="5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E9</w:t>
            </w:r>
          </w:p>
        </w:tc>
        <w:tc>
          <w:tcPr>
            <w:tcW w:type="dxa" w:w="2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Srei Infrastructure Finance Ltd (also Srei Equipment Finance Ltd)</w:t>
            </w:r>
          </w:p>
        </w:tc>
        <w:tc>
          <w:tcPr>
            <w:tcW w:type="dxa" w:w="11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NBFC (infra)</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Brickwork AA+ → AA (Jul 2019), → A+ (Sep 2019); CARE / Acuité to D (Mar 2021)</w:t>
            </w:r>
          </w:p>
        </w:tc>
        <w:tc>
          <w:tcPr>
            <w:tcW w:type="dxa" w:w="15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Brickwork, CARE, Acuité</w:t>
            </w:r>
          </w:p>
        </w:tc>
      </w:tr>
      <w:tr>
        <w:trPr>
          <w:cantSplit/>
        </w:trPr>
        <w:tc>
          <w:tcPr>
            <w:tcW w:type="dxa" w:w="5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E10</w:t>
            </w:r>
          </w:p>
        </w:tc>
        <w:tc>
          <w:tcPr>
            <w:tcW w:type="dxa" w:w="2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Tata Motors Ltd</w:t>
            </w:r>
          </w:p>
        </w:tc>
        <w:tc>
          <w:tcPr>
            <w:tcW w:type="dxa" w:w="11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Automobiles</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CARE AA+ → AA (Feb 2019); CRISIL AA → AA− (14 Aug 2019); CARE AA → AA− (19 Aug 2019)</w:t>
            </w:r>
          </w:p>
        </w:tc>
        <w:tc>
          <w:tcPr>
            <w:tcW w:type="dxa" w:w="15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CRISIL, CARE, ICRA</w:t>
            </w:r>
          </w:p>
        </w:tc>
      </w:tr>
      <w:tr>
        <w:trPr>
          <w:cantSplit/>
        </w:trPr>
        <w:tc>
          <w:tcPr>
            <w:tcW w:type="dxa" w:w="5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E11</w:t>
            </w:r>
          </w:p>
        </w:tc>
        <w:tc>
          <w:tcPr>
            <w:tcW w:type="dxa" w:w="2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Piramal Capital &amp; Housing Finance Ltd</w:t>
            </w:r>
          </w:p>
        </w:tc>
        <w:tc>
          <w:tcPr>
            <w:tcW w:type="dxa" w:w="11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NBFC / housing</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ICRA AA+ → AA (Jun 2019); CARE AA+ → AA</w:t>
            </w:r>
          </w:p>
        </w:tc>
        <w:tc>
          <w:tcPr>
            <w:tcW w:type="dxa" w:w="15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ICRA, CARE</w:t>
            </w:r>
          </w:p>
        </w:tc>
      </w:tr>
      <w:tr>
        <w:trPr>
          <w:cantSplit/>
        </w:trPr>
        <w:tc>
          <w:tcPr>
            <w:tcW w:type="dxa" w:w="5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E12</w:t>
            </w:r>
          </w:p>
        </w:tc>
        <w:tc>
          <w:tcPr>
            <w:tcW w:type="dxa" w:w="2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Edelweiss Finance &amp; Investments Ltd</w:t>
            </w:r>
          </w:p>
        </w:tc>
        <w:tc>
          <w:tcPr>
            <w:tcW w:type="dxa" w:w="11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NBFC</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ICRA AA− → A+ (May 2019)</w:t>
            </w:r>
          </w:p>
        </w:tc>
        <w:tc>
          <w:tcPr>
            <w:tcW w:type="dxa" w:w="15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ICRA, CRISIL, CARE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F3864" w:sz="24"/>
              <w:bottom w:val="none" w:color="FFFFFF" w:sz="0"/>
              <w:right w:val="none" w:color="FFFFFF" w:sz="0"/>
            </w:tcBorders>
            <w:shd w:fill="EAF1FB" w:color="auto" w:val="clear"/>
            <w:tcMar>
              <w:top w:type="dxa" w:w="100"/>
              <w:left w:type="dxa" w:w="180"/>
              <w:bottom w:type="dxa" w:w="100"/>
              <w:right w:type="dxa" w:w="140"/>
            </w:tcMar>
          </w:tcPr>
          <w:p>
            <w:pPr>
              <w:spacing w:after="60" w:line="264"/>
            </w:pPr>
            <w:r>
              <w:rPr>
                <w:b/>
                <w:bCs/>
              </w:rPr>
              <w:t xml:space="preserve">Why this mix works:</w:t>
            </w:r>
            <w:r>
              <w:t xml:space="preserve"> nine financial companies hit by the 2018–20 funding stress, plus three non-financial cases (Vodafone Idea, Tata Motors, Altico’s ECB default) whose trouble came from different causes. Tata Motors is a useful contrast: a gradual, non-crisis downgrade.</w:t>
            </w:r>
          </w:p>
          <w:p>
            <w:pPr>
              <w:spacing w:after="60" w:line="264"/>
            </w:pPr>
            <w:r>
              <w:rPr>
                <w:b/>
                <w:bCs/>
              </w:rPr>
              <w:t xml:space="preserve">Bonds that stopped trading:</w:t>
            </w:r>
            <w:r>
              <w:t xml:space="preserve"> after default, some bonds stop trading altogether. That is expected. The model only needs trades </w:t>
            </w:r>
            <w:r>
              <w:rPr>
                <w:b/>
                <w:bCs/>
              </w:rPr>
              <w:t xml:space="preserve">before</w:t>
            </w:r>
            <w:r>
              <w:t xml:space="preserve"> each downgrade.</w:t>
            </w:r>
          </w:p>
        </w:tc>
      </w:tr>
    </w:tbl>
    <w:p>
      <w:pPr>
        <w:spacing w:after="120"/>
      </w:pPr>
    </w:p>
    <w:p>
      <w:pPr>
        <w:pStyle w:val="Heading2"/>
      </w:pPr>
      <w:bookmarkStart w:name="_Toc15" w:id="15"/>
      <w:r>
        <w:t xml:space="preserve">4.4 The 12 stable (“control”) companies</w:t>
      </w:r>
      <w:bookmarkEnd w:id="15"/>
    </w:p>
    <w:p>
      <w:pPr>
        <w:spacing w:after="120" w:line="276"/>
      </w:pPr>
      <w:r>
        <w:t xml:space="preserve">These are large, frequently traded AAA issuers that are expected to have kept their ratings through 2018–2022. They feed the benchmark (the “quiet” market spread) and the placebo test. </w:t>
      </w:r>
      <w:r>
        <w:rPr>
          <w:b/>
          <w:bCs/>
        </w:rPr>
        <w:t xml:space="preserve">Check each one’s rating history:</w:t>
      </w:r>
      <w:r>
        <w:t xml:space="preserve"> if you find a downgrade, type it in. The company then simply becomes an event company.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1"/>
        <w:gridCol w:w="3108"/>
        <w:gridCol w:w="1905"/>
        <w:gridCol w:w="3512"/>
      </w:tblGrid>
      <w:tr>
        <w:trPr>
          <w:cantSplit/>
          <w:tblHeader/>
        </w:trPr>
        <w:tc>
          <w:tcPr>
            <w:tcW w:type="dxa" w:w="50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8"/>
                <w:szCs w:val="18"/>
              </w:rPr>
              <w:t xml:space="preserve">#</w:t>
            </w:r>
          </w:p>
        </w:tc>
        <w:tc>
          <w:tcPr>
            <w:tcW w:type="dxa" w:w="310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8"/>
                <w:szCs w:val="18"/>
              </w:rPr>
              <w:t xml:space="preserve">Company (use this exact name)</w:t>
            </w:r>
          </w:p>
        </w:tc>
        <w:tc>
          <w:tcPr>
            <w:tcW w:type="dxa" w:w="190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8"/>
                <w:szCs w:val="18"/>
              </w:rPr>
              <w:t xml:space="preserve">Sector</w:t>
            </w:r>
          </w:p>
        </w:tc>
        <w:tc>
          <w:tcPr>
            <w:tcW w:type="dxa" w:w="351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8"/>
                <w:szCs w:val="18"/>
              </w:rPr>
              <w:t xml:space="preserve">Why it is useful</w:t>
            </w:r>
          </w:p>
        </w:tc>
      </w:tr>
      <w:tr>
        <w:trPr>
          <w:cantSplit/>
        </w:trPr>
        <w:tc>
          <w:tcPr>
            <w:tcW w:type="dxa" w:w="5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C1</w:t>
            </w:r>
          </w:p>
        </w:tc>
        <w:tc>
          <w:tcPr>
            <w:tcW w:type="dxa" w:w="31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NTPC Ltd</w:t>
            </w:r>
          </w:p>
        </w:tc>
        <w:tc>
          <w:tcPr>
            <w:tcW w:type="dxa" w:w="19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Power (PSU)</w:t>
            </w:r>
          </w:p>
        </w:tc>
        <w:tc>
          <w:tcPr>
            <w:tcW w:type="dxa" w:w="35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Large, liquid AAA bonds</w:t>
            </w:r>
          </w:p>
        </w:tc>
      </w:tr>
      <w:tr>
        <w:trPr>
          <w:cantSplit/>
        </w:trPr>
        <w:tc>
          <w:tcPr>
            <w:tcW w:type="dxa" w:w="5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C2</w:t>
            </w:r>
          </w:p>
        </w:tc>
        <w:tc>
          <w:tcPr>
            <w:tcW w:type="dxa" w:w="31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Power Finance Corporation Ltd</w:t>
            </w:r>
          </w:p>
        </w:tc>
        <w:tc>
          <w:tcPr>
            <w:tcW w:type="dxa" w:w="19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Power finance (PSU)</w:t>
            </w:r>
          </w:p>
        </w:tc>
        <w:tc>
          <w:tcPr>
            <w:tcW w:type="dxa" w:w="35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Among the most traded corporate bonds in India</w:t>
            </w:r>
          </w:p>
        </w:tc>
      </w:tr>
      <w:tr>
        <w:trPr>
          <w:cantSplit/>
        </w:trPr>
        <w:tc>
          <w:tcPr>
            <w:tcW w:type="dxa" w:w="5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C3</w:t>
            </w:r>
          </w:p>
        </w:tc>
        <w:tc>
          <w:tcPr>
            <w:tcW w:type="dxa" w:w="31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REC Ltd</w:t>
            </w:r>
          </w:p>
        </w:tc>
        <w:tc>
          <w:tcPr>
            <w:tcW w:type="dxa" w:w="19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Power finance (PSU)</w:t>
            </w:r>
          </w:p>
        </w:tc>
        <w:tc>
          <w:tcPr>
            <w:tcW w:type="dxa" w:w="35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Very liquid; formerly Rural Electrification Corporation Ltd</w:t>
            </w:r>
          </w:p>
        </w:tc>
      </w:tr>
      <w:tr>
        <w:trPr>
          <w:cantSplit/>
        </w:trPr>
        <w:tc>
          <w:tcPr>
            <w:tcW w:type="dxa" w:w="5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C4</w:t>
            </w:r>
          </w:p>
        </w:tc>
        <w:tc>
          <w:tcPr>
            <w:tcW w:type="dxa" w:w="31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National Bank for Agriculture and Rural Development</w:t>
            </w:r>
          </w:p>
        </w:tc>
        <w:tc>
          <w:tcPr>
            <w:tcW w:type="dxa" w:w="19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Development finance</w:t>
            </w:r>
          </w:p>
        </w:tc>
        <w:tc>
          <w:tcPr>
            <w:tcW w:type="dxa" w:w="35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Frequent issuer, liquid</w:t>
            </w:r>
          </w:p>
        </w:tc>
      </w:tr>
      <w:tr>
        <w:trPr>
          <w:cantSplit/>
        </w:trPr>
        <w:tc>
          <w:tcPr>
            <w:tcW w:type="dxa" w:w="5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C5</w:t>
            </w:r>
          </w:p>
        </w:tc>
        <w:tc>
          <w:tcPr>
            <w:tcW w:type="dxa" w:w="31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Indian Railway Finance Corporation Ltd</w:t>
            </w:r>
          </w:p>
        </w:tc>
        <w:tc>
          <w:tcPr>
            <w:tcW w:type="dxa" w:w="19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Railway finance (PSU)</w:t>
            </w:r>
          </w:p>
        </w:tc>
        <w:tc>
          <w:tcPr>
            <w:tcW w:type="dxa" w:w="35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Liquid long-dated bonds</w:t>
            </w:r>
          </w:p>
        </w:tc>
      </w:tr>
      <w:tr>
        <w:trPr>
          <w:cantSplit/>
        </w:trPr>
        <w:tc>
          <w:tcPr>
            <w:tcW w:type="dxa" w:w="5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C6</w:t>
            </w:r>
          </w:p>
        </w:tc>
        <w:tc>
          <w:tcPr>
            <w:tcW w:type="dxa" w:w="31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National Highways Authority of India</w:t>
            </w:r>
          </w:p>
        </w:tc>
        <w:tc>
          <w:tcPr>
            <w:tcW w:type="dxa" w:w="19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Infrastructure (PSU)</w:t>
            </w:r>
          </w:p>
        </w:tc>
        <w:tc>
          <w:tcPr>
            <w:tcW w:type="dxa" w:w="35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Liquid long-dated bonds</w:t>
            </w:r>
          </w:p>
        </w:tc>
      </w:tr>
      <w:tr>
        <w:trPr>
          <w:cantSplit/>
        </w:trPr>
        <w:tc>
          <w:tcPr>
            <w:tcW w:type="dxa" w:w="5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C7</w:t>
            </w:r>
          </w:p>
        </w:tc>
        <w:tc>
          <w:tcPr>
            <w:tcW w:type="dxa" w:w="31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Small Industries Development Bank of India</w:t>
            </w:r>
          </w:p>
        </w:tc>
        <w:tc>
          <w:tcPr>
            <w:tcW w:type="dxa" w:w="19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Development finance</w:t>
            </w:r>
          </w:p>
        </w:tc>
        <w:tc>
          <w:tcPr>
            <w:tcW w:type="dxa" w:w="35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Liquid AAA</w:t>
            </w:r>
          </w:p>
        </w:tc>
      </w:tr>
      <w:tr>
        <w:trPr>
          <w:cantSplit/>
        </w:trPr>
        <w:tc>
          <w:tcPr>
            <w:tcW w:type="dxa" w:w="5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C8</w:t>
            </w:r>
          </w:p>
        </w:tc>
        <w:tc>
          <w:tcPr>
            <w:tcW w:type="dxa" w:w="31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LIC Housing Finance Ltd</w:t>
            </w:r>
          </w:p>
        </w:tc>
        <w:tc>
          <w:tcPr>
            <w:tcW w:type="dxa" w:w="19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Housing finance</w:t>
            </w:r>
          </w:p>
        </w:tc>
        <w:tc>
          <w:tcPr>
            <w:tcW w:type="dxa" w:w="35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Same sector as DHFL, Indiabulls, Reliance Home – a sector-matched control</w:t>
            </w:r>
          </w:p>
        </w:tc>
      </w:tr>
      <w:tr>
        <w:trPr>
          <w:cantSplit/>
        </w:trPr>
        <w:tc>
          <w:tcPr>
            <w:tcW w:type="dxa" w:w="5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C9</w:t>
            </w:r>
          </w:p>
        </w:tc>
        <w:tc>
          <w:tcPr>
            <w:tcW w:type="dxa" w:w="31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Reliance Industries Ltd</w:t>
            </w:r>
          </w:p>
        </w:tc>
        <w:tc>
          <w:tcPr>
            <w:tcW w:type="dxa" w:w="19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Conglomerate</w:t>
            </w:r>
          </w:p>
        </w:tc>
        <w:tc>
          <w:tcPr>
            <w:tcW w:type="dxa" w:w="35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Liquid private-sector AAA</w:t>
            </w:r>
          </w:p>
        </w:tc>
      </w:tr>
      <w:tr>
        <w:trPr>
          <w:cantSplit/>
        </w:trPr>
        <w:tc>
          <w:tcPr>
            <w:tcW w:type="dxa" w:w="5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C10</w:t>
            </w:r>
          </w:p>
        </w:tc>
        <w:tc>
          <w:tcPr>
            <w:tcW w:type="dxa" w:w="31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Larsen &amp; Toubro Ltd</w:t>
            </w:r>
          </w:p>
        </w:tc>
        <w:tc>
          <w:tcPr>
            <w:tcW w:type="dxa" w:w="19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Engineering</w:t>
            </w:r>
          </w:p>
        </w:tc>
        <w:tc>
          <w:tcPr>
            <w:tcW w:type="dxa" w:w="35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Private-sector AAA</w:t>
            </w:r>
          </w:p>
        </w:tc>
      </w:tr>
      <w:tr>
        <w:trPr>
          <w:cantSplit/>
        </w:trPr>
        <w:tc>
          <w:tcPr>
            <w:tcW w:type="dxa" w:w="5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C11</w:t>
            </w:r>
          </w:p>
        </w:tc>
        <w:tc>
          <w:tcPr>
            <w:tcW w:type="dxa" w:w="31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Bajaj Finance Ltd</w:t>
            </w:r>
          </w:p>
        </w:tc>
        <w:tc>
          <w:tcPr>
            <w:tcW w:type="dxa" w:w="19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NBFC</w:t>
            </w:r>
          </w:p>
        </w:tc>
        <w:tc>
          <w:tcPr>
            <w:tcW w:type="dxa" w:w="35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Same sector as several event companies</w:t>
            </w:r>
          </w:p>
        </w:tc>
      </w:tr>
      <w:tr>
        <w:trPr>
          <w:cantSplit/>
        </w:trPr>
        <w:tc>
          <w:tcPr>
            <w:tcW w:type="dxa" w:w="5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C12</w:t>
            </w:r>
          </w:p>
        </w:tc>
        <w:tc>
          <w:tcPr>
            <w:tcW w:type="dxa" w:w="31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Housing Development Finance Corporation Ltd</w:t>
            </w:r>
          </w:p>
        </w:tc>
        <w:tc>
          <w:tcPr>
            <w:tcW w:type="dxa" w:w="19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Housing finance</w:t>
            </w:r>
          </w:p>
        </w:tc>
        <w:tc>
          <w:tcPr>
            <w:tcW w:type="dxa" w:w="35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Merged into HDFC Bank in July 2023, after the study period ends</w:t>
            </w:r>
          </w:p>
        </w:tc>
      </w:tr>
    </w:tbl>
    <w:p>
      <w:pPr>
        <w:spacing w:after="120"/>
      </w:pPr>
    </w:p>
    <w:p>
      <w:pPr>
        <w:spacing w:after="120" w:line="276"/>
      </w:pPr>
      <w:r>
        <w:t xml:space="preserve">The list is also in the project as </w:t>
      </w:r>
      <w:r>
        <w:rPr>
          <w:rFonts w:ascii="Courier New" w:cs="Courier New" w:eastAsia="Courier New" w:hAnsi="Courier New"/>
          <w:color w:val="7B241C"/>
          <w:sz w:val="19"/>
          <w:szCs w:val="19"/>
        </w:rPr>
        <w:t xml:space="preserve">templates/issuers_list.csv</w:t>
      </w:r>
      <w:r>
        <w:t xml:space="preserve">, with empty columns for the ISINs you find.</w:t>
      </w:r>
    </w:p>
    <w:p>
      <w:pPr>
        <w:pStyle w:val="Heading1"/>
        <w:pageBreakBefore/>
      </w:pPr>
      <w:bookmarkStart w:name="_Toc16" w:id="16"/>
      <w:r>
        <w:t xml:space="preserve">5. Step-by-step: downloading each input</w:t>
      </w:r>
      <w:bookmarkEnd w:id="1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9A227" w:sz="24"/>
              <w:bottom w:val="none" w:color="FFFFFF" w:sz="0"/>
              <w:right w:val="none" w:color="FFFFFF" w:sz="0"/>
            </w:tcBorders>
            <w:shd w:fill="FFF4D6" w:color="auto" w:val="clear"/>
            <w:tcMar>
              <w:top w:type="dxa" w:w="100"/>
              <w:left w:type="dxa" w:w="180"/>
              <w:bottom w:type="dxa" w:w="100"/>
              <w:right w:type="dxa" w:w="140"/>
            </w:tcMar>
          </w:tcPr>
          <w:p>
            <w:pPr>
              <w:spacing w:after="60" w:line="264"/>
            </w:pPr>
            <w:r>
              <w:rPr>
                <w:b/>
                <w:bCs/>
              </w:rPr>
              <w:t xml:space="preserve">Keep an original copy.</w:t>
            </w:r>
            <w:r>
              <w:t xml:space="preserve"> Save every file exactly as downloaded in </w:t>
            </w:r>
            <w:r>
              <w:rPr>
                <w:rFonts w:ascii="Courier New" w:cs="Courier New" w:eastAsia="Courier New" w:hAnsi="Courier New"/>
                <w:color w:val="7B241C"/>
                <w:sz w:val="19"/>
                <w:szCs w:val="19"/>
              </w:rPr>
              <w:t xml:space="preserve">data/raw/original/</w:t>
            </w:r>
            <w:r>
              <w:t xml:space="preserve"> (the model does not read this folder). If you need to filter rows or rename a column, do it in a copy saved in the working folder, and say so in the </w:t>
            </w:r>
            <w:r>
              <w:rPr>
                <w:rFonts w:ascii="Courier New" w:cs="Courier New" w:eastAsia="Courier New" w:hAnsi="Courier New"/>
                <w:color w:val="7B241C"/>
                <w:sz w:val="19"/>
                <w:szCs w:val="19"/>
              </w:rPr>
              <w:t xml:space="preserve">description</w:t>
            </w:r>
            <w:r>
              <w:t xml:space="preserve"> of its </w:t>
            </w:r>
            <w:r>
              <w:rPr>
                <w:rFonts w:ascii="Courier New" w:cs="Courier New" w:eastAsia="Courier New" w:hAnsi="Courier New"/>
                <w:color w:val="7B241C"/>
                <w:sz w:val="19"/>
                <w:szCs w:val="19"/>
              </w:rPr>
              <w:t xml:space="preserve">sources.csv</w:t>
            </w:r>
            <w:r>
              <w:t xml:space="preserve"> row. Never change a price, yield or rating value.</w:t>
            </w:r>
          </w:p>
        </w:tc>
      </w:tr>
    </w:tbl>
    <w:p>
      <w:pPr>
        <w:spacing w:after="120"/>
      </w:pPr>
    </w:p>
    <w:p>
      <w:pPr>
        <w:pStyle w:val="Heading2"/>
      </w:pPr>
      <w:bookmarkStart w:name="_Toc17" w:id="17"/>
      <w:r>
        <w:t xml:space="preserve">5.1 Rating actions (Member A, ~4–5 hours)</w:t>
      </w:r>
      <w:bookmarkEnd w:id="17"/>
    </w:p>
    <w:p>
      <w:pPr>
        <w:pStyle w:val="Heading3"/>
      </w:pPr>
      <w:r>
        <w:t xml:space="preserve">Where to look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406"/>
        <w:gridCol w:w="4815"/>
      </w:tblGrid>
      <w:tr>
        <w:trPr>
          <w:cantSplit/>
          <w:tblHeader/>
        </w:trPr>
        <w:tc>
          <w:tcPr>
            <w:tcW w:type="dxa" w:w="180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8"/>
                <w:szCs w:val="18"/>
              </w:rPr>
              <w:t xml:space="preserve">Agency</w:t>
            </w:r>
          </w:p>
        </w:tc>
        <w:tc>
          <w:tcPr>
            <w:tcW w:type="dxa" w:w="240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8"/>
                <w:szCs w:val="18"/>
              </w:rPr>
              <w:t xml:space="preserve">Website</w:t>
            </w:r>
          </w:p>
        </w:tc>
        <w:tc>
          <w:tcPr>
            <w:tcW w:type="dxa" w:w="481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8"/>
                <w:szCs w:val="18"/>
              </w:rPr>
              <w:t xml:space="preserve">How to find a company’s actions</w:t>
            </w:r>
          </w:p>
        </w:tc>
      </w:tr>
      <w:tr>
        <w:trPr>
          <w:cantSplit/>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CRISIL Ratings</w:t>
            </w:r>
          </w:p>
        </w:tc>
        <w:tc>
          <w:tcPr>
            <w:tcW w:type="dxa" w:w="24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hyperlink w:history="1" r:id="rIdgicm0jajpidwws9g_liep">
              <w:r>
                <w:rPr>
                  <w:rStyle w:val="Hyperlink"/>
                  <w:sz w:val="18"/>
                  <w:szCs w:val="18"/>
                </w:rPr>
                <w:t xml:space="preserve">https://www.crisilratings.com</w:t>
              </w:r>
            </w:hyperlink>
          </w:p>
        </w:tc>
        <w:tc>
          <w:tcPr>
            <w:tcW w:type="dxa" w:w="4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Ratings → Rating Rationale → search the company name. Each action is an HTML/PDF “Rating Rationale” dated at the top. (Pre-2021 documents are under crisil.com and are still online.) Quick search: Google “&lt;company&gt; CRISIL rating rationale 2019”.</w:t>
            </w:r>
          </w:p>
        </w:tc>
      </w:tr>
      <w:tr>
        <w:trPr>
          <w:cantSplit/>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ICRA</w:t>
            </w:r>
          </w:p>
        </w:tc>
        <w:tc>
          <w:tcPr>
            <w:tcW w:type="dxa" w:w="24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hyperlink w:history="1" r:id="rIdglophzbxehtkb1pmoj2vu">
              <w:r>
                <w:rPr>
                  <w:rStyle w:val="Hyperlink"/>
                  <w:sz w:val="18"/>
                  <w:szCs w:val="18"/>
                </w:rPr>
                <w:t xml:space="preserve">https://www.icra.in</w:t>
              </w:r>
            </w:hyperlink>
          </w:p>
        </w:tc>
        <w:tc>
          <w:tcPr>
            <w:tcW w:type="dxa" w:w="4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Ratings → search the company → the company page lists rating rationales by date (PDF).</w:t>
            </w:r>
          </w:p>
        </w:tc>
      </w:tr>
      <w:tr>
        <w:trPr>
          <w:cantSplit/>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CARE Ratings</w:t>
            </w:r>
          </w:p>
        </w:tc>
        <w:tc>
          <w:tcPr>
            <w:tcW w:type="dxa" w:w="24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hyperlink w:history="1" r:id="rIdeclhuxfhyf-unakxmmhmg">
              <w:r>
                <w:rPr>
                  <w:rStyle w:val="Hyperlink"/>
                  <w:sz w:val="18"/>
                  <w:szCs w:val="18"/>
                </w:rPr>
                <w:t xml:space="preserve">https://www.careratings.com</w:t>
              </w:r>
            </w:hyperlink>
          </w:p>
        </w:tc>
        <w:tc>
          <w:tcPr>
            <w:tcW w:type="dxa" w:w="4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Search the company → press releases (PDF) by date.</w:t>
            </w:r>
          </w:p>
        </w:tc>
      </w:tr>
      <w:tr>
        <w:trPr>
          <w:cantSplit/>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India Ratings (Ind-Ra)</w:t>
            </w:r>
          </w:p>
        </w:tc>
        <w:tc>
          <w:tcPr>
            <w:tcW w:type="dxa" w:w="24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hyperlink w:history="1" r:id="rIde_-f5d-2sbq5aiiljcetg">
              <w:r>
                <w:rPr>
                  <w:rStyle w:val="Hyperlink"/>
                  <w:sz w:val="18"/>
                  <w:szCs w:val="18"/>
                </w:rPr>
                <w:t xml:space="preserve">https://www.indiaratings.co.in</w:t>
              </w:r>
            </w:hyperlink>
          </w:p>
        </w:tc>
        <w:tc>
          <w:tcPr>
            <w:tcW w:type="dxa" w:w="4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Search the issuer → rating action commentaries by date.</w:t>
            </w:r>
          </w:p>
        </w:tc>
      </w:tr>
      <w:tr>
        <w:trPr>
          <w:cantSplit/>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Brickwork / Acuité</w:t>
            </w:r>
          </w:p>
        </w:tc>
        <w:tc>
          <w:tcPr>
            <w:tcW w:type="dxa" w:w="24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hyperlink w:history="1" r:id="rIdi6vfcvsz33q26g7eo3vlt">
              <w:r>
                <w:rPr>
                  <w:rStyle w:val="Hyperlink"/>
                  <w:sz w:val="18"/>
                  <w:szCs w:val="18"/>
                </w:rPr>
                <w:t xml:space="preserve">https://www.acuite.in</w:t>
              </w:r>
            </w:hyperlink>
          </w:p>
        </w:tc>
        <w:tc>
          <w:tcPr>
            <w:tcW w:type="dxa" w:w="4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SEBI cancelled Brickwork’s registration in October 2022, so its site may be incomplete. Use the debenture trustee’s site (for example </w:t>
            </w:r>
            <w:hyperlink w:history="1" r:id="rIdlv9czkufzbcb0sdum1som">
              <w:r>
                <w:rPr>
                  <w:rStyle w:val="Hyperlink"/>
                  <w:sz w:val="18"/>
                  <w:szCs w:val="18"/>
                </w:rPr>
                <w:t xml:space="preserve">https://www.axistrustee.in</w:t>
              </w:r>
            </w:hyperlink>
            <w:r>
              <w:rPr>
                <w:sz w:val="18"/>
                <w:szCs w:val="18"/>
              </w:rPr>
              <w:t xml:space="preserve"> posts rating letters by company) or the company’s stock-exchange filings.</w:t>
            </w:r>
          </w:p>
        </w:tc>
      </w:tr>
      <w:tr>
        <w:trPr>
          <w:cantSplit/>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Stock-exchange filings (backup)</w:t>
            </w:r>
          </w:p>
        </w:tc>
        <w:tc>
          <w:tcPr>
            <w:tcW w:type="dxa" w:w="24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hyperlink w:history="1" r:id="rIdv0wnjt5xnfk6auzk_lg4b">
              <w:r>
                <w:rPr>
                  <w:rStyle w:val="Hyperlink"/>
                  <w:sz w:val="18"/>
                  <w:szCs w:val="18"/>
                </w:rPr>
                <w:t xml:space="preserve">https://www.bseindia.com</w:t>
              </w:r>
            </w:hyperlink>
            <w:r>
              <w:rPr>
                <w:sz w:val="18"/>
                <w:szCs w:val="18"/>
              </w:rPr>
              <w:t xml:space="preserve"> / </w:t>
            </w:r>
            <w:hyperlink w:history="1" r:id="rId45zh3thd73vr6nmud8giu">
              <w:r>
                <w:rPr>
                  <w:rStyle w:val="Hyperlink"/>
                  <w:sz w:val="18"/>
                  <w:szCs w:val="18"/>
                </w:rPr>
                <w:t xml:space="preserve">https://www.nseindia.com</w:t>
              </w:r>
            </w:hyperlink>
          </w:p>
        </w:tc>
        <w:tc>
          <w:tcPr>
            <w:tcW w:type="dxa" w:w="48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Listed companies must disclose every rating revision (SEBI LODR Regulation 30 read with Schedule III). Company page → Corporate Announcements → filter “Credit Rating”.</w:t>
            </w:r>
          </w:p>
        </w:tc>
      </w:tr>
    </w:tbl>
    <w:p>
      <w:pPr>
        <w:spacing w:after="120"/>
      </w:pPr>
    </w:p>
    <w:p>
      <w:pPr>
        <w:pStyle w:val="Heading3"/>
      </w:pPr>
      <w:r>
        <w:t xml:space="preserve">What to record (one row per agency per action)</w:t>
      </w:r>
    </w:p>
    <w:p>
      <w:pPr>
        <w:spacing w:after="120" w:line="276"/>
      </w:pPr>
      <w:r>
        <w:t xml:space="preserve">Open </w:t>
      </w:r>
      <w:r>
        <w:rPr>
          <w:rFonts w:ascii="Courier New" w:cs="Courier New" w:eastAsia="Courier New" w:hAnsi="Courier New"/>
          <w:color w:val="7B241C"/>
          <w:sz w:val="19"/>
          <w:szCs w:val="19"/>
        </w:rPr>
        <w:t xml:space="preserve">templates/rating_actions_template.csv</w:t>
      </w:r>
      <w:r>
        <w:t xml:space="preserve"> in Excel and fill one row for each rating action you find in the window. Example (from ICRA’s press release on Indiabulls Housing Finance, 30 August 2019):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4"/>
        <w:gridCol w:w="702"/>
        <w:gridCol w:w="1002"/>
        <w:gridCol w:w="702"/>
        <w:gridCol w:w="1002"/>
        <w:gridCol w:w="1002"/>
        <w:gridCol w:w="1103"/>
        <w:gridCol w:w="1809"/>
      </w:tblGrid>
      <w:tr>
        <w:trPr>
          <w:cantSplit/>
          <w:tblHeader/>
        </w:trPr>
        <w:tc>
          <w:tcPr>
            <w:tcW w:type="dxa" w:w="170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6"/>
                <w:szCs w:val="16"/>
              </w:rPr>
              <w:t xml:space="preserve">issuer</w:t>
            </w:r>
          </w:p>
        </w:tc>
        <w:tc>
          <w:tcPr>
            <w:tcW w:type="dxa" w:w="70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6"/>
                <w:szCs w:val="16"/>
              </w:rPr>
              <w:t xml:space="preserve">agency</w:t>
            </w:r>
          </w:p>
        </w:tc>
        <w:tc>
          <w:tcPr>
            <w:tcW w:type="dxa" w:w="100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6"/>
                <w:szCs w:val="16"/>
              </w:rPr>
              <w:t xml:space="preserve">action_date</w:t>
            </w:r>
          </w:p>
        </w:tc>
        <w:tc>
          <w:tcPr>
            <w:tcW w:type="dxa" w:w="70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6"/>
                <w:szCs w:val="16"/>
              </w:rPr>
              <w:t xml:space="preserve">instrument</w:t>
            </w:r>
          </w:p>
        </w:tc>
        <w:tc>
          <w:tcPr>
            <w:tcW w:type="dxa" w:w="100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6"/>
                <w:szCs w:val="16"/>
              </w:rPr>
              <w:t xml:space="preserve">rating_from</w:t>
            </w:r>
          </w:p>
        </w:tc>
        <w:tc>
          <w:tcPr>
            <w:tcW w:type="dxa" w:w="100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6"/>
                <w:szCs w:val="16"/>
              </w:rPr>
              <w:t xml:space="preserve">rating_to</w:t>
            </w:r>
          </w:p>
        </w:tc>
        <w:tc>
          <w:tcPr>
            <w:tcW w:type="dxa" w:w="110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6"/>
                <w:szCs w:val="16"/>
              </w:rPr>
              <w:t xml:space="preserve">outlook</w:t>
            </w:r>
          </w:p>
        </w:tc>
        <w:tc>
          <w:tcPr>
            <w:tcW w:type="dxa" w:w="180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6"/>
                <w:szCs w:val="16"/>
              </w:rPr>
              <w:t xml:space="preserve">url</w:t>
            </w:r>
          </w:p>
        </w:tc>
      </w:tr>
      <w:tr>
        <w:trPr>
          <w:cantSplit/>
        </w:trPr>
        <w:tc>
          <w:tcPr>
            <w:tcW w:type="dxa" w:w="17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Indiabulls Housing Finance Ltd</w:t>
            </w:r>
          </w:p>
        </w:tc>
        <w:tc>
          <w:tcPr>
            <w:tcW w:type="dxa" w:w="7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ICRA</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30-08-2019</w:t>
            </w:r>
          </w:p>
        </w:tc>
        <w:tc>
          <w:tcPr>
            <w:tcW w:type="dxa" w:w="7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NCD</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[ICRA]AAA</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[ICRA]AA+</w:t>
            </w:r>
          </w:p>
        </w:tc>
        <w:tc>
          <w:tcPr>
            <w:tcW w:type="dxa" w:w="11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Watch Developing</w:t>
            </w:r>
          </w:p>
        </w:tc>
        <w:tc>
          <w:tcPr>
            <w:tcW w:type="dxa" w:w="18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https://www.icra.in/… (exact link)</w:t>
            </w:r>
          </w:p>
        </w:tc>
      </w:tr>
    </w:tbl>
    <w:p>
      <w:pPr>
        <w:spacing w:after="120"/>
      </w:pPr>
    </w:p>
    <w:p>
      <w:pPr>
        <w:pStyle w:val="ListParagraph"/>
        <w:numPr>
          <w:ilvl w:val="0"/>
          <w:numId w:val="3"/>
        </w:numPr>
        <w:spacing w:after="60" w:line="264"/>
      </w:pPr>
      <w:r>
        <w:rPr>
          <w:b/>
          <w:bCs/>
        </w:rPr>
        <w:t xml:space="preserve">issuer</w:t>
      </w:r>
      <w:r>
        <w:t xml:space="preserve"> – exactly the name in Section 4 (same spelling as the bond master, or the company will not match).</w:t>
      </w:r>
    </w:p>
    <w:p>
      <w:pPr>
        <w:pStyle w:val="ListParagraph"/>
        <w:numPr>
          <w:ilvl w:val="0"/>
          <w:numId w:val="3"/>
        </w:numPr>
        <w:spacing w:after="60" w:line="264"/>
      </w:pPr>
      <w:r>
        <w:rPr>
          <w:b/>
          <w:bCs/>
        </w:rPr>
        <w:t xml:space="preserve">action_date</w:t>
      </w:r>
      <w:r>
        <w:t xml:space="preserve"> – the date printed on the press release, as DD-MM-YYYY.</w:t>
      </w:r>
    </w:p>
    <w:p>
      <w:pPr>
        <w:pStyle w:val="ListParagraph"/>
        <w:numPr>
          <w:ilvl w:val="0"/>
          <w:numId w:val="3"/>
        </w:numPr>
        <w:spacing w:after="60" w:line="264"/>
      </w:pPr>
      <w:r>
        <w:rPr>
          <w:b/>
          <w:bCs/>
        </w:rPr>
        <w:t xml:space="preserve">rating_from / rating_to</w:t>
      </w:r>
      <w:r>
        <w:t xml:space="preserve"> – copy the symbols as printed (</w:t>
      </w:r>
      <w:r>
        <w:rPr>
          <w:rFonts w:ascii="Courier New" w:cs="Courier New" w:eastAsia="Courier New" w:hAnsi="Courier New"/>
          <w:color w:val="7B241C"/>
          <w:sz w:val="19"/>
          <w:szCs w:val="19"/>
        </w:rPr>
        <w:t xml:space="preserve">CRISIL AA+</w:t>
      </w:r>
      <w:r>
        <w:t xml:space="preserve">, </w:t>
      </w:r>
      <w:r>
        <w:rPr>
          <w:rFonts w:ascii="Courier New" w:cs="Courier New" w:eastAsia="Courier New" w:hAnsi="Courier New"/>
          <w:color w:val="7B241C"/>
          <w:sz w:val="19"/>
          <w:szCs w:val="19"/>
        </w:rPr>
        <w:t xml:space="preserve">[ICRA]A-</w:t>
      </w:r>
      <w:r>
        <w:t xml:space="preserve">, </w:t>
      </w:r>
      <w:r>
        <w:rPr>
          <w:rFonts w:ascii="Courier New" w:cs="Courier New" w:eastAsia="Courier New" w:hAnsi="Courier New"/>
          <w:color w:val="7B241C"/>
          <w:sz w:val="19"/>
          <w:szCs w:val="19"/>
        </w:rPr>
        <w:t xml:space="preserve">IND BBB</w:t>
      </w:r>
      <w:r>
        <w:t xml:space="preserve">, </w:t>
      </w:r>
      <w:r>
        <w:rPr>
          <w:rFonts w:ascii="Courier New" w:cs="Courier New" w:eastAsia="Courier New" w:hAnsi="Courier New"/>
          <w:color w:val="7B241C"/>
          <w:sz w:val="19"/>
          <w:szCs w:val="19"/>
        </w:rPr>
        <w:t xml:space="preserve">CARE D</w:t>
      </w:r>
      <w:r>
        <w:t xml:space="preserve">). The model understands them. Use the </w:t>
      </w:r>
      <w:r>
        <w:rPr>
          <w:b/>
          <w:bCs/>
        </w:rPr>
        <w:t xml:space="preserve">long-term</w:t>
      </w:r>
      <w:r>
        <w:t xml:space="preserve"> rating (NCD/bond/long-term loan), not the commercial-paper rating (A1+, A4 …).</w:t>
      </w:r>
    </w:p>
    <w:p>
      <w:pPr>
        <w:pStyle w:val="ListParagraph"/>
        <w:numPr>
          <w:ilvl w:val="0"/>
          <w:numId w:val="3"/>
        </w:numPr>
        <w:spacing w:after="60" w:line="264"/>
      </w:pPr>
      <w:r>
        <w:rPr>
          <w:b/>
          <w:bCs/>
        </w:rPr>
        <w:t xml:space="preserve">Withdrawn</w:t>
      </w:r>
      <w:r>
        <w:t xml:space="preserve"> ratings: put </w:t>
      </w:r>
      <w:r>
        <w:rPr>
          <w:rFonts w:ascii="Courier New" w:cs="Courier New" w:eastAsia="Courier New" w:hAnsi="Courier New"/>
          <w:color w:val="7B241C"/>
          <w:sz w:val="19"/>
          <w:szCs w:val="19"/>
        </w:rPr>
        <w:t xml:space="preserve">Withdrawn</w:t>
      </w:r>
      <w:r>
        <w:t xml:space="preserve"> in rating_to.</w:t>
      </w:r>
    </w:p>
    <w:p>
      <w:pPr>
        <w:pStyle w:val="ListParagraph"/>
        <w:numPr>
          <w:ilvl w:val="0"/>
          <w:numId w:val="3"/>
        </w:numPr>
        <w:spacing w:after="60" w:line="264"/>
      </w:pPr>
      <w:r>
        <w:rPr>
          <w:b/>
          <w:bCs/>
        </w:rPr>
        <w:t xml:space="preserve">The starting rating:</w:t>
      </w:r>
      <w:r>
        <w:t xml:space="preserve"> for each company and agency, add one row for the last rating before April 2018 (leave rating_from blank). Without it the transition matrix does not know where the company started.</w:t>
      </w:r>
    </w:p>
    <w:p>
      <w:pPr>
        <w:pStyle w:val="ListParagraph"/>
        <w:numPr>
          <w:ilvl w:val="0"/>
          <w:numId w:val="3"/>
        </w:numPr>
        <w:spacing w:after="60" w:line="264"/>
      </w:pPr>
      <w:r>
        <w:rPr>
          <w:b/>
          <w:bCs/>
        </w:rPr>
        <w:t xml:space="preserve">Include reaffirmations</w:t>
      </w:r>
      <w:r>
        <w:t xml:space="preserve"> in the window (rating_from = rating_to). They show the agency reviewed the company and did not act.</w:t>
      </w:r>
    </w:p>
    <w:p>
      <w:pPr>
        <w:pStyle w:val="ListParagraph"/>
        <w:numPr>
          <w:ilvl w:val="0"/>
          <w:numId w:val="3"/>
        </w:numPr>
        <w:spacing w:after="60" w:line="264"/>
      </w:pPr>
      <w:r>
        <w:rPr>
          <w:b/>
          <w:bCs/>
        </w:rPr>
        <w:t xml:space="preserve">Control companies:</w:t>
      </w:r>
      <w:r>
        <w:t xml:space="preserve"> usually one starting row plus one or two reaffirmations each.</w:t>
      </w:r>
    </w:p>
    <w:p>
      <w:pPr>
        <w:pStyle w:val="ListParagraph"/>
        <w:numPr>
          <w:ilvl w:val="0"/>
          <w:numId w:val="3"/>
        </w:numPr>
        <w:spacing w:after="60" w:line="264"/>
      </w:pPr>
      <w:r>
        <w:t xml:space="preserve">One company may be rated by 2–4 agencies. Record each agency’s actions. The model treats each (company, agency) pair as one rated unit.</w:t>
      </w:r>
    </w:p>
    <w:p>
      <w:pPr>
        <w:spacing w:after="120" w:line="276"/>
      </w:pPr>
      <w:r>
        <w:t xml:space="preserve">Save as </w:t>
      </w:r>
      <w:r>
        <w:rPr>
          <w:rFonts w:ascii="Courier New" w:cs="Courier New" w:eastAsia="Courier New" w:hAnsi="Courier New"/>
          <w:b/>
          <w:bCs/>
          <w:color w:val="7B241C"/>
          <w:sz w:val="19"/>
          <w:szCs w:val="19"/>
        </w:rPr>
        <w:t xml:space="preserve">data/raw/ratings/rating_actions_2018_2022.csv</w:t>
      </w:r>
      <w:r>
        <w:t xml:space="preserve"> (Excel: File → Save As → CSV UTF-8). Register it in </w:t>
      </w:r>
      <w:r>
        <w:rPr>
          <w:rFonts w:ascii="Courier New" w:cs="Courier New" w:eastAsia="Courier New" w:hAnsi="Courier New"/>
          <w:color w:val="7B241C"/>
          <w:sz w:val="19"/>
          <w:szCs w:val="19"/>
        </w:rPr>
        <w:t xml:space="preserve">sources.csv</w:t>
      </w:r>
      <w:r>
        <w:t xml:space="preserve">; the URL column there can be the agencies’ home pages, because each row already carries its own press-release link.</w:t>
      </w:r>
    </w:p>
    <w:p>
      <w:pPr>
        <w:pStyle w:val="Heading2"/>
      </w:pPr>
      <w:bookmarkStart w:name="_Toc18" w:id="18"/>
      <w:r>
        <w:t xml:space="preserve">5.2 ISINs and the bond master (Member B, ~2 hours)</w:t>
      </w:r>
      <w:bookmarkEnd w:id="18"/>
    </w:p>
    <w:p>
      <w:pPr>
        <w:spacing w:after="120" w:line="276"/>
      </w:pPr>
      <w:r>
        <w:t xml:space="preserve">An </w:t>
      </w:r>
      <w:r>
        <w:rPr>
          <w:b/>
          <w:bCs/>
        </w:rPr>
        <w:t xml:space="preserve">ISIN</w:t>
      </w:r>
      <w:r>
        <w:t xml:space="preserve"> (e.g. INE…) identifies one bond. For each company choose </w:t>
      </w:r>
      <w:r>
        <w:rPr>
          <w:b/>
          <w:bCs/>
        </w:rPr>
        <w:t xml:space="preserve">1 to 2 bonds</w:t>
      </w:r>
      <w:r>
        <w:t xml:space="preserve"> that meet all of these rules:</w:t>
      </w:r>
    </w:p>
    <w:p>
      <w:pPr>
        <w:pStyle w:val="ListParagraph"/>
        <w:numPr>
          <w:ilvl w:val="0"/>
          <w:numId w:val="3"/>
        </w:numPr>
        <w:spacing w:after="60" w:line="264"/>
      </w:pPr>
      <w:r>
        <w:rPr>
          <w:b/>
          <w:bCs/>
        </w:rPr>
        <w:t xml:space="preserve">Plain fixed coupon</w:t>
      </w:r>
      <w:r>
        <w:t xml:space="preserve">, paid annually or semi-annually. Avoid zero-coupon, step-up, floating-rate and market-linked debentures (MLDs).</w:t>
      </w:r>
    </w:p>
    <w:p>
      <w:pPr>
        <w:pStyle w:val="ListParagraph"/>
        <w:numPr>
          <w:ilvl w:val="0"/>
          <w:numId w:val="3"/>
        </w:numPr>
        <w:spacing w:after="60" w:line="264"/>
      </w:pPr>
      <w:r>
        <w:rPr>
          <w:b/>
          <w:bCs/>
        </w:rPr>
        <w:t xml:space="preserve">Maturity after March 2022</w:t>
      </w:r>
      <w:r>
        <w:t xml:space="preserve"> (at least well after the company’s last downgrade you study).</w:t>
      </w:r>
    </w:p>
    <w:p>
      <w:pPr>
        <w:pStyle w:val="ListParagraph"/>
        <w:numPr>
          <w:ilvl w:val="0"/>
          <w:numId w:val="3"/>
        </w:numPr>
        <w:spacing w:after="60" w:line="264"/>
      </w:pPr>
      <w:r>
        <w:rPr>
          <w:b/>
          <w:bCs/>
        </w:rPr>
        <w:t xml:space="preserve">Traded often</w:t>
      </w:r>
      <w:r>
        <w:t xml:space="preserve"> – on the NSE security-wise page (5.3) look for many trades per month.</w:t>
      </w:r>
    </w:p>
    <w:p>
      <w:pPr>
        <w:pStyle w:val="ListParagraph"/>
        <w:numPr>
          <w:ilvl w:val="0"/>
          <w:numId w:val="3"/>
        </w:numPr>
        <w:spacing w:after="60" w:line="264"/>
      </w:pPr>
      <w:r>
        <w:rPr>
          <w:b/>
          <w:bCs/>
        </w:rPr>
        <w:t xml:space="preserve">For Yes Bank use Basel III Tier II bonds</w:t>
      </w:r>
      <w:r>
        <w:t xml:space="preserve">, not AT1 perpetual bonds. Perpetuals are priced to a call date and the yield convention differs.</w:t>
      </w:r>
    </w:p>
    <w:p>
      <w:pPr>
        <w:spacing w:after="120" w:line="276"/>
      </w:pPr>
      <w:r>
        <w:t xml:space="preserve">Where to find ISINs and bond terms:</w:t>
      </w:r>
    </w:p>
    <w:p>
      <w:pPr>
        <w:pStyle w:val="ListParagraph"/>
        <w:numPr>
          <w:ilvl w:val="0"/>
          <w:numId w:val="3"/>
        </w:numPr>
        <w:spacing w:after="60" w:line="264"/>
      </w:pPr>
      <w:r>
        <w:rPr>
          <w:b/>
          <w:bCs/>
        </w:rPr>
        <w:t xml:space="preserve">NSDL India Bond Info</w:t>
      </w:r>
      <w:r>
        <w:t xml:space="preserve"> – </w:t>
      </w:r>
      <w:hyperlink w:history="1" r:id="rIddwnywsfqdszokp-ji-9gj">
        <w:r>
          <w:rPr>
            <w:rStyle w:val="Hyperlink"/>
          </w:rPr>
          <w:t xml:space="preserve">https://www.indiabondinfo.nsdl.com</w:t>
        </w:r>
      </w:hyperlink>
      <w:r>
        <w:t xml:space="preserve"> – search by issuer name; shows ISIN, coupon, maturity date, interest frequency.</w:t>
      </w:r>
    </w:p>
    <w:p>
      <w:pPr>
        <w:pStyle w:val="ListParagraph"/>
        <w:numPr>
          <w:ilvl w:val="0"/>
          <w:numId w:val="3"/>
        </w:numPr>
        <w:spacing w:after="60" w:line="264"/>
      </w:pPr>
      <w:r>
        <w:rPr>
          <w:b/>
          <w:bCs/>
        </w:rPr>
        <w:t xml:space="preserve">NSE / BSE</w:t>
      </w:r>
      <w:r>
        <w:t xml:space="preserve"> bond pages for the company (Debt → Corporate Bonds), which show the ISINs that trade.</w:t>
      </w:r>
    </w:p>
    <w:p>
      <w:pPr>
        <w:pStyle w:val="ListParagraph"/>
        <w:numPr>
          <w:ilvl w:val="0"/>
          <w:numId w:val="3"/>
        </w:numPr>
        <w:spacing w:after="60" w:line="264"/>
      </w:pPr>
      <w:r>
        <w:t xml:space="preserve">The company’s debt listing disclosures or information memorandum (on BSE/NSE filings) as a backup.</w:t>
      </w:r>
    </w:p>
    <w:p>
      <w:pPr>
        <w:spacing w:after="120" w:line="276"/>
      </w:pPr>
      <w:r>
        <w:t xml:space="preserve">Fill </w:t>
      </w:r>
      <w:r>
        <w:rPr>
          <w:rFonts w:ascii="Courier New" w:cs="Courier New" w:eastAsia="Courier New" w:hAnsi="Courier New"/>
          <w:color w:val="7B241C"/>
          <w:sz w:val="19"/>
          <w:szCs w:val="19"/>
        </w:rPr>
        <w:t xml:space="preserve">templates/bond_master_template.csv</w:t>
      </w:r>
      <w:r>
        <w:t xml:space="preserve"> and save it as </w:t>
      </w:r>
      <w:r>
        <w:rPr>
          <w:rFonts w:ascii="Courier New" w:cs="Courier New" w:eastAsia="Courier New" w:hAnsi="Courier New"/>
          <w:b/>
          <w:bCs/>
          <w:color w:val="7B241C"/>
          <w:sz w:val="19"/>
          <w:szCs w:val="19"/>
        </w:rPr>
        <w:t xml:space="preserve">data/raw/master/bond_master.csv</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4"/>
        <w:gridCol w:w="2406"/>
        <w:gridCol w:w="1002"/>
        <w:gridCol w:w="1303"/>
        <w:gridCol w:w="1002"/>
        <w:gridCol w:w="1609"/>
      </w:tblGrid>
      <w:tr>
        <w:trPr>
          <w:cantSplit/>
          <w:tblHeader/>
        </w:trPr>
        <w:tc>
          <w:tcPr>
            <w:tcW w:type="dxa" w:w="170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6"/>
                <w:szCs w:val="16"/>
              </w:rPr>
              <w:t xml:space="preserve">isin</w:t>
            </w:r>
          </w:p>
        </w:tc>
        <w:tc>
          <w:tcPr>
            <w:tcW w:type="dxa" w:w="240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6"/>
                <w:szCs w:val="16"/>
              </w:rPr>
              <w:t xml:space="preserve">issuer</w:t>
            </w:r>
          </w:p>
        </w:tc>
        <w:tc>
          <w:tcPr>
            <w:tcW w:type="dxa" w:w="100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6"/>
                <w:szCs w:val="16"/>
              </w:rPr>
              <w:t xml:space="preserve">coupon_pct</w:t>
            </w:r>
          </w:p>
        </w:tc>
        <w:tc>
          <w:tcPr>
            <w:tcW w:type="dxa" w:w="130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6"/>
                <w:szCs w:val="16"/>
              </w:rPr>
              <w:t xml:space="preserve">maturity_date</w:t>
            </w:r>
          </w:p>
        </w:tc>
        <w:tc>
          <w:tcPr>
            <w:tcW w:type="dxa" w:w="100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6"/>
                <w:szCs w:val="16"/>
              </w:rPr>
              <w:t xml:space="preserve">coupon_freq</w:t>
            </w:r>
          </w:p>
        </w:tc>
        <w:tc>
          <w:tcPr>
            <w:tcW w:type="dxa" w:w="160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6"/>
                <w:szCs w:val="16"/>
              </w:rPr>
              <w:t xml:space="preserve">source_note</w:t>
            </w:r>
          </w:p>
        </w:tc>
      </w:tr>
      <w:tr>
        <w:trPr>
          <w:cantSplit/>
        </w:trPr>
        <w:tc>
          <w:tcPr>
            <w:tcW w:type="dxa" w:w="17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INE… (12 characters)</w:t>
            </w:r>
          </w:p>
        </w:tc>
        <w:tc>
          <w:tcPr>
            <w:tcW w:type="dxa" w:w="24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Indiabulls Housing Finance Ltd</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8.90</w:t>
            </w:r>
          </w:p>
        </w:tc>
        <w:tc>
          <w:tcPr>
            <w:tcW w:type="dxa" w:w="13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26-09-2021</w:t>
            </w:r>
          </w:p>
        </w:tc>
        <w:tc>
          <w:tcPr>
            <w:tcW w:type="dxa" w:w="1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Annual</w:t>
            </w:r>
          </w:p>
        </w:tc>
        <w:tc>
          <w:tcPr>
            <w:tcW w:type="dxa" w:w="16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NSDL India Bond Info, viewed 19-10-2026</w:t>
            </w:r>
          </w:p>
        </w:tc>
      </w:tr>
    </w:tbl>
    <w:p>
      <w:pPr>
        <w:spacing w:after="120"/>
      </w:pPr>
    </w:p>
    <w:p>
      <w:pPr>
        <w:spacing w:after="120" w:line="276"/>
      </w:pPr>
      <w:r>
        <w:t xml:space="preserve">The example row above shows the format only. Look up the real terms for each ISIN you choose. The </w:t>
      </w:r>
      <w:r>
        <w:rPr>
          <w:b/>
          <w:bCs/>
        </w:rPr>
        <w:t xml:space="preserve">issuer</w:t>
      </w:r>
      <w:r>
        <w:t xml:space="preserve"> name in this file overrides the name in the trade files, so the trades match the rating rows.</w:t>
      </w:r>
    </w:p>
    <w:p>
      <w:pPr>
        <w:pStyle w:val="Heading2"/>
      </w:pPr>
      <w:bookmarkStart w:name="_Toc19" w:id="19"/>
      <w:r>
        <w:t xml:space="preserve">5.3 Bond trades (Member B, ~3 hours)</w:t>
      </w:r>
      <w:bookmarkEnd w:id="19"/>
    </w:p>
    <w:p>
      <w:pPr>
        <w:pStyle w:val="Heading3"/>
      </w:pPr>
      <w:r>
        <w:t xml:space="preserve">Option A (recommended): NSE security-wise trades, one ISIN at a time</w:t>
      </w:r>
    </w:p>
    <w:p>
      <w:pPr>
        <w:pStyle w:val="ListParagraph"/>
        <w:numPr>
          <w:ilvl w:val="0"/>
          <w:numId w:val="4"/>
        </w:numPr>
        <w:spacing w:after="80" w:line="264"/>
      </w:pPr>
      <w:r>
        <w:t xml:space="preserve">Open </w:t>
      </w:r>
      <w:hyperlink w:history="1" r:id="rIdjq7mr49soqwcjv1kk6khp">
        <w:r>
          <w:rPr>
            <w:rStyle w:val="Hyperlink"/>
          </w:rPr>
          <w:t xml:space="preserve">https://www.nseindia.com/historical/security-wise-trades-data</w:t>
        </w:r>
      </w:hyperlink>
      <w:r>
        <w:t xml:space="preserve"> (path: nseindia.com → Resources/Market Data → Historical Reports → Corporate Bonds → Security-wise Trades Data).</w:t>
      </w:r>
    </w:p>
    <w:p>
      <w:pPr>
        <w:pStyle w:val="ListParagraph"/>
        <w:numPr>
          <w:ilvl w:val="0"/>
          <w:numId w:val="4"/>
        </w:numPr>
        <w:spacing w:after="80" w:line="264"/>
      </w:pPr>
      <w:r>
        <w:t xml:space="preserve">Enter the ISIN and choose the date range. If the site limits the range, download year by year (Apr 2018–Mar 2019, …).</w:t>
      </w:r>
    </w:p>
    <w:p>
      <w:pPr>
        <w:pStyle w:val="ListParagraph"/>
        <w:numPr>
          <w:ilvl w:val="0"/>
          <w:numId w:val="4"/>
        </w:numPr>
        <w:spacing w:after="80" w:line="264"/>
      </w:pPr>
      <w:r>
        <w:t xml:space="preserve">Click Download (CSV). Save as </w:t>
      </w:r>
      <w:r>
        <w:rPr>
          <w:rFonts w:ascii="Courier New" w:cs="Courier New" w:eastAsia="Courier New" w:hAnsi="Courier New"/>
          <w:color w:val="7B241C"/>
          <w:sz w:val="19"/>
          <w:szCs w:val="19"/>
        </w:rPr>
        <w:t xml:space="preserve">data/raw/original/nse_&lt;ISIN&gt;_&lt;FY&gt;.csv</w:t>
      </w:r>
      <w:r>
        <w:t xml:space="preserve">, and a copy in </w:t>
      </w:r>
      <w:r>
        <w:rPr>
          <w:rFonts w:ascii="Courier New" w:cs="Courier New" w:eastAsia="Courier New" w:hAnsi="Courier New"/>
          <w:color w:val="7B241C"/>
          <w:sz w:val="19"/>
          <w:szCs w:val="19"/>
        </w:rPr>
        <w:t xml:space="preserve">data/raw/trades/</w:t>
      </w:r>
      <w:r>
        <w:t xml:space="preserve">.</w:t>
      </w:r>
    </w:p>
    <w:p>
      <w:pPr>
        <w:pStyle w:val="ListParagraph"/>
        <w:numPr>
          <w:ilvl w:val="0"/>
          <w:numId w:val="4"/>
        </w:numPr>
        <w:spacing w:after="80" w:line="264"/>
      </w:pPr>
      <w:r>
        <w:t xml:space="preserve">Repeat for every ISIN. 24 companies × 1–2 bonds × 4 years is about 100–200 small downloads; both of you can do this in parallel if needed.</w:t>
      </w:r>
    </w:p>
    <w:p>
      <w:pPr>
        <w:pStyle w:val="Heading3"/>
      </w:pPr>
      <w:r>
        <w:t xml:space="preserve">Option B: the whole market by date range</w:t>
      </w:r>
    </w:p>
    <w:p>
      <w:pPr>
        <w:spacing w:after="120" w:line="276"/>
      </w:pPr>
      <w:hyperlink w:history="1" r:id="rIdqm9qdrcsttiut5org8w2d">
        <w:r>
          <w:rPr>
            <w:rStyle w:val="Hyperlink"/>
          </w:rPr>
          <w:t xml:space="preserve">https://www.nseindia.com/report-detail/cbm-trades-archives</w:t>
        </w:r>
      </w:hyperlink>
      <w:r>
        <w:t xml:space="preserve"> (Historical Trade Reporting – NTRP + CBRICS) gives all reported corporate bond trades for a date range. Download it, then filter in Excel to your ISINs (record “filtered to sample ISINs” in the description). BSE publishes similar reported-trade data on </w:t>
      </w:r>
      <w:hyperlink w:history="1" r:id="rIdqxz-vakxiaewevo81l0im">
        <w:r>
          <w:rPr>
            <w:rStyle w:val="Hyperlink"/>
          </w:rPr>
          <w:t xml:space="preserve">https://www.bseindia.com</w:t>
        </w:r>
      </w:hyperlink>
      <w:r>
        <w:t xml:space="preserve"> under Debt.</w:t>
      </w:r>
    </w:p>
    <w:p>
      <w:pPr>
        <w:pStyle w:val="Heading3"/>
      </w:pPr>
      <w:r>
        <w:t xml:space="preserve">Check the columns</w:t>
      </w:r>
    </w:p>
    <w:p>
      <w:pPr>
        <w:spacing w:after="120" w:line="276"/>
      </w:pPr>
      <w:r>
        <w:t xml:space="preserve">The model recognises common header names automatically (Trade Date, ISIN, Description / Issuer Name, Coupon, Maturity Date, Price / Weighted Average Price, Yield / Weighted Average Yield, Trade Value). Two things are essential:</w:t>
      </w:r>
    </w:p>
    <w:p>
      <w:pPr>
        <w:pStyle w:val="ListParagraph"/>
        <w:numPr>
          <w:ilvl w:val="0"/>
          <w:numId w:val="3"/>
        </w:numPr>
        <w:spacing w:after="60" w:line="264"/>
      </w:pPr>
      <w:r>
        <w:rPr>
          <w:b/>
          <w:bCs/>
        </w:rPr>
        <w:t xml:space="preserve">A yield column must be present.</w:t>
      </w:r>
      <w:r>
        <w:t xml:space="preserve"> Your validation test compares the recomputed yield with the exchange’s printed yield. Without it, there is no validation result.</w:t>
      </w:r>
    </w:p>
    <w:p>
      <w:pPr>
        <w:pStyle w:val="ListParagraph"/>
        <w:numPr>
          <w:ilvl w:val="0"/>
          <w:numId w:val="3"/>
        </w:numPr>
        <w:spacing w:after="60" w:line="264"/>
      </w:pPr>
      <w:r>
        <w:rPr>
          <w:b/>
          <w:bCs/>
        </w:rPr>
        <w:t xml:space="preserve">Price per 100 face value</w:t>
      </w:r>
      <w:r>
        <w:t xml:space="preserve"> (e.g. 99.85). If a file shows price per 1,000 or per 10,00,000, the model rejects those rows with the reason “price outside 20–200”. Tell me if this happens (Section 10).</w:t>
      </w:r>
    </w:p>
    <w:p>
      <w:pPr>
        <w:spacing w:after="120" w:line="276"/>
      </w:pPr>
      <w:r>
        <w:t xml:space="preserve">If coupon or maturity columns are missing, that is fine: the bond master (5.2) fills them by ISIN.</w:t>
      </w:r>
    </w:p>
    <w:p>
      <w:pPr>
        <w:pStyle w:val="Heading2"/>
      </w:pPr>
      <w:bookmarkStart w:name="_Toc20" w:id="20"/>
      <w:r>
        <w:t xml:space="preserve">5.4 G-sec yield curve (Member B, ~1–2 hours)</w:t>
      </w:r>
      <w:bookmarkEnd w:id="20"/>
    </w:p>
    <w:p>
      <w:pPr>
        <w:pStyle w:val="Heading3"/>
      </w:pPr>
      <w:r>
        <w:t xml:space="preserve">Option A (official, preferred): FBIL</w:t>
      </w:r>
    </w:p>
    <w:p>
      <w:pPr>
        <w:pStyle w:val="ListParagraph"/>
        <w:numPr>
          <w:ilvl w:val="0"/>
          <w:numId w:val="5"/>
        </w:numPr>
        <w:spacing w:after="80" w:line="264"/>
      </w:pPr>
      <w:r>
        <w:t xml:space="preserve">Open </w:t>
      </w:r>
      <w:hyperlink w:history="1" r:id="rIdldap4nm5mvhxfibpr69vo">
        <w:r>
          <w:rPr>
            <w:rStyle w:val="Hyperlink"/>
          </w:rPr>
          <w:t xml:space="preserve">https://www.fbil.org.in</w:t>
        </w:r>
      </w:hyperlink>
      <w:r>
        <w:t xml:space="preserve">. Go to the Government Securities / Valuation section and choose the </w:t>
      </w:r>
      <w:r>
        <w:rPr>
          <w:b/>
          <w:bCs/>
        </w:rPr>
        <w:t xml:space="preserve">G-Sec par yield</w:t>
      </w:r>
      <w:r>
        <w:t xml:space="preserve"> curve (FBIL publishes it every Mumbai business day from 31 March 2018, for maturities from 0.25 to 40 years).</w:t>
      </w:r>
    </w:p>
    <w:p>
      <w:pPr>
        <w:pStyle w:val="ListParagraph"/>
        <w:numPr>
          <w:ilvl w:val="0"/>
          <w:numId w:val="5"/>
        </w:numPr>
        <w:spacing w:after="80" w:line="264"/>
      </w:pPr>
      <w:r>
        <w:t xml:space="preserve">Download the files for your period. If the archive gives one file per day, download </w:t>
      </w:r>
      <w:r>
        <w:rPr>
          <w:b/>
          <w:bCs/>
        </w:rPr>
        <w:t xml:space="preserve">one day per week</w:t>
      </w:r>
      <w:r>
        <w:t xml:space="preserve"> (e.g. every Friday). The model uses the latest curve within 7 days of each trade, so weekly files are enough.</w:t>
      </w:r>
    </w:p>
    <w:p>
      <w:pPr>
        <w:pStyle w:val="ListParagraph"/>
        <w:numPr>
          <w:ilvl w:val="0"/>
          <w:numId w:val="5"/>
        </w:numPr>
        <w:spacing w:after="80" w:line="264"/>
      </w:pPr>
      <w:r>
        <w:t xml:space="preserve">Save in </w:t>
      </w:r>
      <w:r>
        <w:rPr>
          <w:rFonts w:ascii="Courier New" w:cs="Courier New" w:eastAsia="Courier New" w:hAnsi="Courier New"/>
          <w:color w:val="7B241C"/>
          <w:sz w:val="19"/>
          <w:szCs w:val="19"/>
        </w:rPr>
        <w:t xml:space="preserve">data/raw/gsec/</w:t>
      </w:r>
      <w:r>
        <w:t xml:space="preserve"> (wide format – one column per maturity – or long format, both work).</w:t>
      </w:r>
    </w:p>
    <w:p>
      <w:pPr>
        <w:pStyle w:val="ListParagraph"/>
        <w:numPr>
          <w:ilvl w:val="0"/>
          <w:numId w:val="5"/>
        </w:numPr>
        <w:spacing w:after="80" w:line="264"/>
      </w:pPr>
      <w:r>
        <w:rPr>
          <w:b/>
          <w:bCs/>
        </w:rPr>
        <w:t xml:space="preserve">Important setting:</w:t>
      </w:r>
      <w:r>
        <w:t xml:space="preserve"> FBIL publishes both a </w:t>
      </w:r>
      <w:r>
        <w:rPr>
          <w:b/>
          <w:bCs/>
        </w:rPr>
        <w:t xml:space="preserve">semi-annual</w:t>
      </w:r>
      <w:r>
        <w:t xml:space="preserve"> and an </w:t>
      </w:r>
      <w:r>
        <w:rPr>
          <w:b/>
          <w:bCs/>
        </w:rPr>
        <w:t xml:space="preserve">annualised</w:t>
      </w:r>
      <w:r>
        <w:t xml:space="preserve"> par yield. If you keep the semi-annual numbers, leave </w:t>
      </w:r>
      <w:r>
        <w:rPr>
          <w:rFonts w:ascii="Courier New" w:cs="Courier New" w:eastAsia="Courier New" w:hAnsi="Courier New"/>
          <w:color w:val="7B241C"/>
          <w:sz w:val="19"/>
          <w:szCs w:val="19"/>
        </w:rPr>
        <w:t xml:space="preserve">GSEC_COMPOUNDING = 2</w:t>
      </w:r>
      <w:r>
        <w:t xml:space="preserve"> in </w:t>
      </w:r>
      <w:r>
        <w:rPr>
          <w:rFonts w:ascii="Courier New" w:cs="Courier New" w:eastAsia="Courier New" w:hAnsi="Courier New"/>
          <w:color w:val="7B241C"/>
          <w:sz w:val="19"/>
          <w:szCs w:val="19"/>
        </w:rPr>
        <w:t xml:space="preserve">config.py</w:t>
      </w:r>
      <w:r>
        <w:t xml:space="preserve">. If you use the annualised numbers, change it to </w:t>
      </w:r>
      <w:r>
        <w:rPr>
          <w:rFonts w:ascii="Courier New" w:cs="Courier New" w:eastAsia="Courier New" w:hAnsi="Courier New"/>
          <w:color w:val="7B241C"/>
          <w:sz w:val="19"/>
          <w:szCs w:val="19"/>
        </w:rPr>
        <w:t xml:space="preserve">GSEC_COMPOUNDING = 1</w:t>
      </w:r>
      <w:r>
        <w:t xml:space="preserve">. Write down which one you used (assumption A5b).</w:t>
      </w:r>
    </w:p>
    <w:p>
      <w:pPr>
        <w:pStyle w:val="Heading3"/>
      </w:pPr>
      <w:r>
        <w:t xml:space="preserve">Option B (fastest): one history file per maturity</w:t>
      </w:r>
    </w:p>
    <w:p>
      <w:pPr>
        <w:pStyle w:val="ListParagraph"/>
        <w:numPr>
          <w:ilvl w:val="0"/>
          <w:numId w:val="6"/>
        </w:numPr>
        <w:spacing w:after="80" w:line="264"/>
      </w:pPr>
      <w:r>
        <w:t xml:space="preserve">On </w:t>
      </w:r>
      <w:hyperlink w:history="1" r:id="rIddov5kxqyhf58rndzzoyvj">
        <w:r>
          <w:rPr>
            <w:rStyle w:val="Hyperlink"/>
          </w:rPr>
          <w:t xml:space="preserve">https://www.investing.com</w:t>
        </w:r>
      </w:hyperlink>
      <w:r>
        <w:t xml:space="preserve"> (free login), search “India 1-Year Bond Yield Historical Data”, set the date range Jan 2018 – Mar 2022, Daily, and Download. Repeat for every maturity available, at least: 3-month, 1, 2, 3, 5, 7, 10, 15 and 30 years.</w:t>
      </w:r>
    </w:p>
    <w:p>
      <w:pPr>
        <w:pStyle w:val="ListParagraph"/>
        <w:numPr>
          <w:ilvl w:val="0"/>
          <w:numId w:val="6"/>
        </w:numPr>
        <w:spacing w:after="80" w:line="264"/>
      </w:pPr>
      <w:r>
        <w:t xml:space="preserve">Keep each file name as downloaded (the maturity must be in the name, e.g. “India 5-Year Bond Yield Historical Data.csv”). Save all of them in </w:t>
      </w:r>
      <w:r>
        <w:rPr>
          <w:rFonts w:ascii="Courier New" w:cs="Courier New" w:eastAsia="Courier New" w:hAnsi="Courier New"/>
          <w:color w:val="7B241C"/>
          <w:sz w:val="19"/>
          <w:szCs w:val="19"/>
        </w:rPr>
        <w:t xml:space="preserve">data/raw/gsec_tenors/</w:t>
      </w:r>
      <w:r>
        <w:t xml:space="preserve">.</w:t>
      </w:r>
    </w:p>
    <w:p>
      <w:pPr>
        <w:pStyle w:val="ListParagraph"/>
        <w:numPr>
          <w:ilvl w:val="0"/>
          <w:numId w:val="6"/>
        </w:numPr>
        <w:spacing w:after="80" w:line="264"/>
      </w:pPr>
      <w:r>
        <w:t xml:space="preserve">Run </w:t>
      </w:r>
      <w:r>
        <w:rPr>
          <w:rFonts w:ascii="Courier New" w:cs="Courier New" w:eastAsia="Courier New" w:hAnsi="Courier New"/>
          <w:color w:val="7B241C"/>
          <w:sz w:val="19"/>
          <w:szCs w:val="19"/>
        </w:rPr>
        <w:t xml:space="preserve">python prepare_curve.py</w:t>
      </w:r>
      <w:r>
        <w:t xml:space="preserve">. It creates </w:t>
      </w:r>
      <w:r>
        <w:rPr>
          <w:rFonts w:ascii="Courier New" w:cs="Courier New" w:eastAsia="Courier New" w:hAnsi="Courier New"/>
          <w:color w:val="7B241C"/>
          <w:sz w:val="19"/>
          <w:szCs w:val="19"/>
        </w:rPr>
        <w:t xml:space="preserve">data/raw/gsec/gsec_curve_combined.csv</w:t>
      </w:r>
      <w:r>
        <w:t xml:space="preserve">.</w:t>
      </w:r>
    </w:p>
    <w:p>
      <w:pPr>
        <w:pStyle w:val="ListParagraph"/>
        <w:numPr>
          <w:ilvl w:val="0"/>
          <w:numId w:val="6"/>
        </w:numPr>
        <w:spacing w:after="80" w:line="264"/>
      </w:pPr>
      <w:r>
        <w:t xml:space="preserve">Register </w:t>
      </w:r>
      <w:r>
        <w:rPr>
          <w:b/>
          <w:bCs/>
        </w:rPr>
        <w:t xml:space="preserve">every</w:t>
      </w:r>
      <w:r>
        <w:t xml:space="preserve"> per-maturity file and the combined file in </w:t>
      </w:r>
      <w:r>
        <w:rPr>
          <w:rFonts w:ascii="Courier New" w:cs="Courier New" w:eastAsia="Courier New" w:hAnsi="Courier New"/>
          <w:color w:val="7B241C"/>
          <w:sz w:val="19"/>
          <w:szCs w:val="19"/>
        </w:rPr>
        <w:t xml:space="preserve">sources.csv</w:t>
      </w:r>
      <w:r>
        <w:t xml:space="preserve">. These are semi-annual market yields: keep </w:t>
      </w:r>
      <w:r>
        <w:rPr>
          <w:rFonts w:ascii="Courier New" w:cs="Courier New" w:eastAsia="Courier New" w:hAnsi="Courier New"/>
          <w:color w:val="7B241C"/>
          <w:sz w:val="19"/>
          <w:szCs w:val="19"/>
        </w:rPr>
        <w:t xml:space="preserve">GSEC_COMPOUNDING = 2</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F3864" w:sz="24"/>
              <w:bottom w:val="none" w:color="FFFFFF" w:sz="0"/>
              <w:right w:val="none" w:color="FFFFFF" w:sz="0"/>
            </w:tcBorders>
            <w:shd w:fill="EAF1FB" w:color="auto" w:val="clear"/>
            <w:tcMar>
              <w:top w:type="dxa" w:w="100"/>
              <w:left w:type="dxa" w:w="180"/>
              <w:bottom w:type="dxa" w:w="100"/>
              <w:right w:type="dxa" w:w="140"/>
            </w:tcMar>
          </w:tcPr>
          <w:p>
            <w:pPr>
              <w:spacing w:after="60" w:line="264"/>
            </w:pPr>
            <w:r>
              <w:rPr>
                <w:b/>
                <w:bCs/>
              </w:rPr>
              <w:t xml:space="preserve">Use one option for the whole study; do not mix sources.</w:t>
            </w:r>
            <w:r>
              <w:t xml:space="preserve"> FBIL is the official benchmark administrator, so it is the better answer in the viva. investing.com is a secondary data aggregator: if you use it, say so in Chapter 10 and in Limitations.</w:t>
            </w:r>
          </w:p>
        </w:tc>
      </w:tr>
    </w:tbl>
    <w:p>
      <w:pPr>
        <w:spacing w:after="120"/>
      </w:pPr>
    </w:p>
    <w:p>
      <w:pPr>
        <w:pStyle w:val="Heading2"/>
      </w:pPr>
      <w:bookmarkStart w:name="_Toc21" w:id="21"/>
      <w:r>
        <w:t xml:space="preserve">5.5 Rating rationale PDFs (optional, ~30 minutes)</w:t>
      </w:r>
      <w:bookmarkEnd w:id="21"/>
    </w:p>
    <w:p>
      <w:pPr>
        <w:spacing w:after="120" w:line="276"/>
      </w:pPr>
      <w:r>
        <w:t xml:space="preserve">While typing rating actions (5.1), save each press release you open as a PDF in </w:t>
      </w:r>
      <w:r>
        <w:rPr>
          <w:rFonts w:ascii="Courier New" w:cs="Courier New" w:eastAsia="Courier New" w:hAnsi="Courier New"/>
          <w:color w:val="7B241C"/>
          <w:sz w:val="19"/>
          <w:szCs w:val="19"/>
        </w:rPr>
        <w:t xml:space="preserve">data/raw/rationales/</w:t>
      </w:r>
      <w:r>
        <w:t xml:space="preserve"> (for HTML pages: Print → Save as PDF). Then: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3864" w:sz="18"/>
              <w:bottom w:val="single" w:color="BFBFBF" w:sz="4"/>
              <w:right w:val="single" w:color="BFBFBF" w:sz="4"/>
            </w:tcBorders>
            <w:shd w:fill="F4F4F4" w:color="auto" w:val="clear"/>
            <w:tcMar>
              <w:top w:type="dxa" w:w="80"/>
              <w:left w:type="dxa" w:w="160"/>
              <w:bottom w:type="dxa" w:w="80"/>
              <w:right w:type="dxa" w:w="120"/>
            </w:tcMar>
          </w:tcPr>
          <w:p>
            <w:pPr>
              <w:spacing w:after="0"/>
            </w:pPr>
            <w:r>
              <w:rPr>
                <w:rFonts w:ascii="Courier New" w:cs="Courier New" w:eastAsia="Courier New" w:hAnsi="Courier New"/>
                <w:sz w:val="18"/>
                <w:szCs w:val="18"/>
              </w:rPr>
              <w:t xml:space="preserve">python extract.py</w:t>
            </w:r>
          </w:p>
        </w:tc>
      </w:tr>
    </w:tbl>
    <w:p>
      <w:pPr>
        <w:spacing w:after="120"/>
      </w:pPr>
    </w:p>
    <w:p>
      <w:pPr>
        <w:spacing w:after="120" w:line="276"/>
      </w:pPr>
      <w:r>
        <w:t xml:space="preserve">This writes a draft </w:t>
      </w:r>
      <w:r>
        <w:rPr>
          <w:rFonts w:ascii="Courier New" w:cs="Courier New" w:eastAsia="Courier New" w:hAnsi="Courier New"/>
          <w:color w:val="7B241C"/>
          <w:sz w:val="19"/>
          <w:szCs w:val="19"/>
        </w:rPr>
        <w:t xml:space="preserve">extracted_rating_actions.csv</w:t>
      </w:r>
      <w:r>
        <w:t xml:space="preserve"> from the PDFs, with the sentence each row came from. Compare it with your typed file: every difference is either your typo or the extractor’s mistake. Hand-check 15–20 documents and report the extraction accuracy in Chapter 10; that number is your L2 evidence. The PDFs also let the commentary quote the agency’s reason for each downgrade.</w:t>
      </w:r>
    </w:p>
    <w:p>
      <w:pPr>
        <w:pStyle w:val="Heading2"/>
      </w:pPr>
      <w:bookmarkStart w:name="_Toc22" w:id="22"/>
      <w:r>
        <w:t xml:space="preserve">5.6 CRISIL default and transition study (optional, 10 minutes)</w:t>
      </w:r>
      <w:bookmarkEnd w:id="22"/>
    </w:p>
    <w:p>
      <w:pPr>
        <w:spacing w:after="120" w:line="276"/>
      </w:pPr>
      <w:r>
        <w:t xml:space="preserve">Download the PDF: </w:t>
      </w:r>
      <w:hyperlink w:history="1" r:id="rIdsxjo2hvq_opgtjkk8c2wm">
        <w:r>
          <w:rPr>
            <w:rStyle w:val="Hyperlink"/>
          </w:rPr>
          <w:t xml:space="preserve">https://crisil.com/content/dam/crisil/our-analysis/publications/default-study/crisil-ratings-annual-default-and-ratings-transition-study-fy-2024.pdf</w:t>
        </w:r>
      </w:hyperlink>
      <w:r>
        <w:t xml:space="preserve">. Do not load it into the model. In Chapter 11, put CRISIL’s one-year transition rates next to yours and explain the differences: your sample is small and deliberately full of downgraded companies, so your downgrade rates will be much higher. List it in the bibliography.</w:t>
      </w:r>
    </w:p>
    <w:p>
      <w:pPr>
        <w:pStyle w:val="Heading1"/>
        <w:pageBreakBefore/>
      </w:pPr>
      <w:bookmarkStart w:name="_Toc23" w:id="23"/>
      <w:r>
        <w:t xml:space="preserve">6. Logging every file in sources.csv</w:t>
      </w:r>
      <w:bookmarkEnd w:id="23"/>
    </w:p>
    <w:p>
      <w:pPr>
        <w:spacing w:after="120" w:line="276"/>
      </w:pPr>
      <w:r>
        <w:rPr>
          <w:rFonts w:ascii="Courier New" w:cs="Courier New" w:eastAsia="Courier New" w:hAnsi="Courier New"/>
          <w:color w:val="7B241C"/>
          <w:sz w:val="19"/>
          <w:szCs w:val="19"/>
        </w:rPr>
        <w:t xml:space="preserve">sources.csv</w:t>
      </w:r>
      <w:r>
        <w:t xml:space="preserve"> is in the main project folder. Open it in Excel and add </w:t>
      </w:r>
      <w:r>
        <w:rPr>
          <w:b/>
          <w:bCs/>
        </w:rPr>
        <w:t xml:space="preserve">one row per file in </w:t>
      </w:r>
      <w:r>
        <w:rPr>
          <w:rFonts w:ascii="Courier New" w:cs="Courier New" w:eastAsia="Courier New" w:hAnsi="Courier New"/>
          <w:b/>
          <w:bCs/>
          <w:color w:val="7B241C"/>
          <w:sz w:val="19"/>
          <w:szCs w:val="19"/>
        </w:rPr>
        <w:t xml:space="preserve">data/raw/</w:t>
      </w:r>
      <w:r>
        <w:t xml:space="preserve">. The </w:t>
      </w:r>
      <w:r>
        <w:rPr>
          <w:rFonts w:ascii="Courier New" w:cs="Courier New" w:eastAsia="Courier New" w:hAnsi="Courier New"/>
          <w:color w:val="7B241C"/>
          <w:sz w:val="19"/>
          <w:szCs w:val="19"/>
        </w:rPr>
        <w:t xml:space="preserve">file</w:t>
      </w:r>
      <w:r>
        <w:t xml:space="preserve"> column must be the path exactly as shown below, using forward slashes. Leave the existing SYN01 row in place; it documents the synthetic sample.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9"/>
        <w:gridCol w:w="2005"/>
        <w:gridCol w:w="1367"/>
        <w:gridCol w:w="1549"/>
        <w:gridCol w:w="820"/>
        <w:gridCol w:w="1914"/>
        <w:gridCol w:w="642"/>
      </w:tblGrid>
      <w:tr>
        <w:trPr>
          <w:cantSplit/>
          <w:tblHeader/>
        </w:trPr>
        <w:tc>
          <w:tcPr>
            <w:tcW w:type="dxa" w:w="72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5"/>
                <w:szCs w:val="15"/>
              </w:rPr>
              <w:t xml:space="preserve">source_id</w:t>
            </w:r>
          </w:p>
        </w:tc>
        <w:tc>
          <w:tcPr>
            <w:tcW w:type="dxa" w:w="200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5"/>
                <w:szCs w:val="15"/>
              </w:rPr>
              <w:t xml:space="preserve">file</w:t>
            </w:r>
          </w:p>
        </w:tc>
        <w:tc>
          <w:tcPr>
            <w:tcW w:type="dxa" w:w="136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5"/>
                <w:szCs w:val="15"/>
              </w:rPr>
              <w:t xml:space="preserve">publisher</w:t>
            </w:r>
          </w:p>
        </w:tc>
        <w:tc>
          <w:tcPr>
            <w:tcW w:type="dxa" w:w="154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5"/>
                <w:szCs w:val="15"/>
              </w:rPr>
              <w:t xml:space="preserve">url</w:t>
            </w:r>
          </w:p>
        </w:tc>
        <w:tc>
          <w:tcPr>
            <w:tcW w:type="dxa" w:w="8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5"/>
                <w:szCs w:val="15"/>
              </w:rPr>
              <w:t xml:space="preserve">date_pulled</w:t>
            </w:r>
          </w:p>
        </w:tc>
        <w:tc>
          <w:tcPr>
            <w:tcW w:type="dxa" w:w="191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5"/>
                <w:szCs w:val="15"/>
              </w:rPr>
              <w:t xml:space="preserve">description</w:t>
            </w:r>
          </w:p>
        </w:tc>
        <w:tc>
          <w:tcPr>
            <w:tcW w:type="dxa" w:w="64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5"/>
                <w:szCs w:val="15"/>
              </w:rPr>
              <w:t xml:space="preserve">synthetic</w:t>
            </w:r>
          </w:p>
        </w:tc>
      </w:tr>
      <w:tr>
        <w:trPr>
          <w:cantSplit/>
        </w:trPr>
        <w:tc>
          <w:tcPr>
            <w:tcW w:type="dxa" w:w="7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5"/>
                <w:szCs w:val="15"/>
              </w:rPr>
              <w:t xml:space="preserve">RAT01</w:t>
            </w:r>
          </w:p>
        </w:tc>
        <w:tc>
          <w:tcPr>
            <w:tcW w:type="dxa" w:w="20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5"/>
                <w:szCs w:val="15"/>
              </w:rPr>
              <w:t xml:space="preserve">data/raw/ratings/rating_actions_2018_2022.csv</w:t>
            </w:r>
          </w:p>
        </w:tc>
        <w:tc>
          <w:tcPr>
            <w:tcW w:type="dxa" w:w="13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5"/>
                <w:szCs w:val="15"/>
              </w:rPr>
              <w:t xml:space="preserve">CRISIL Ratings; ICRA; CARE Ratings; India Ratings</w:t>
            </w:r>
          </w:p>
        </w:tc>
        <w:tc>
          <w:tcPr>
            <w:tcW w:type="dxa" w:w="15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5"/>
                <w:szCs w:val="15"/>
              </w:rPr>
              <w:t xml:space="preserve">Agency home pages; each row has its press-release URL</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5"/>
                <w:szCs w:val="15"/>
              </w:rPr>
              <w:t xml:space="preserve">19-10-2026</w:t>
            </w:r>
          </w:p>
        </w:tc>
        <w:tc>
          <w:tcPr>
            <w:tcW w:type="dxa" w:w="19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5"/>
                <w:szCs w:val="15"/>
              </w:rPr>
              <w:t xml:space="preserve">Rating actions typed from agency press releases, Apr 2018–Mar 2022, 24 issuers</w:t>
            </w:r>
          </w:p>
        </w:tc>
        <w:tc>
          <w:tcPr>
            <w:tcW w:type="dxa" w:w="6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5"/>
                <w:szCs w:val="15"/>
              </w:rPr>
              <w:t xml:space="preserve">N</w:t>
            </w:r>
          </w:p>
        </w:tc>
      </w:tr>
      <w:tr>
        <w:trPr>
          <w:cantSplit/>
        </w:trPr>
        <w:tc>
          <w:tcPr>
            <w:tcW w:type="dxa" w:w="7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5"/>
                <w:szCs w:val="15"/>
              </w:rPr>
              <w:t xml:space="preserve">MST01</w:t>
            </w:r>
          </w:p>
        </w:tc>
        <w:tc>
          <w:tcPr>
            <w:tcW w:type="dxa" w:w="20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5"/>
                <w:szCs w:val="15"/>
              </w:rPr>
              <w:t xml:space="preserve">data/raw/master/bond_master.csv</w:t>
            </w:r>
          </w:p>
        </w:tc>
        <w:tc>
          <w:tcPr>
            <w:tcW w:type="dxa" w:w="13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5"/>
                <w:szCs w:val="15"/>
              </w:rPr>
              <w:t xml:space="preserve">NSDL India Bond Info</w:t>
            </w:r>
          </w:p>
        </w:tc>
        <w:tc>
          <w:tcPr>
            <w:tcW w:type="dxa" w:w="15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5"/>
                <w:szCs w:val="15"/>
              </w:rPr>
              <w:t xml:space="preserve">https://www.indiabondinfo.nsdl.com</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5"/>
                <w:szCs w:val="15"/>
              </w:rPr>
              <w:t xml:space="preserve">19-10-2026</w:t>
            </w:r>
          </w:p>
        </w:tc>
        <w:tc>
          <w:tcPr>
            <w:tcW w:type="dxa" w:w="19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5"/>
                <w:szCs w:val="15"/>
              </w:rPr>
              <w:t xml:space="preserve">Bond terms for 36 sample ISINs</w:t>
            </w:r>
          </w:p>
        </w:tc>
        <w:tc>
          <w:tcPr>
            <w:tcW w:type="dxa" w:w="6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5"/>
                <w:szCs w:val="15"/>
              </w:rPr>
              <w:t xml:space="preserve">N</w:t>
            </w:r>
          </w:p>
        </w:tc>
      </w:tr>
      <w:tr>
        <w:trPr>
          <w:cantSplit/>
        </w:trPr>
        <w:tc>
          <w:tcPr>
            <w:tcW w:type="dxa" w:w="7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5"/>
                <w:szCs w:val="15"/>
              </w:rPr>
              <w:t xml:space="preserve">NSE01</w:t>
            </w:r>
          </w:p>
        </w:tc>
        <w:tc>
          <w:tcPr>
            <w:tcW w:type="dxa" w:w="20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5"/>
                <w:szCs w:val="15"/>
              </w:rPr>
              <w:t xml:space="preserve">data/raw/trades/nse_INE…_FY2019.csv</w:t>
            </w:r>
          </w:p>
        </w:tc>
        <w:tc>
          <w:tcPr>
            <w:tcW w:type="dxa" w:w="13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5"/>
                <w:szCs w:val="15"/>
              </w:rPr>
              <w:t xml:space="preserve">National Stock Exchange of India</w:t>
            </w:r>
          </w:p>
        </w:tc>
        <w:tc>
          <w:tcPr>
            <w:tcW w:type="dxa" w:w="15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5"/>
                <w:szCs w:val="15"/>
              </w:rPr>
              <w:t xml:space="preserve">https://www.nseindia.com/historical/security-wise-trades-data</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5"/>
                <w:szCs w:val="15"/>
              </w:rPr>
              <w:t xml:space="preserve">19-10-2026</w:t>
            </w:r>
          </w:p>
        </w:tc>
        <w:tc>
          <w:tcPr>
            <w:tcW w:type="dxa" w:w="19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5"/>
                <w:szCs w:val="15"/>
              </w:rPr>
              <w:t xml:space="preserve">Security-wise trades, ISIN INE…, Apr 2018–Mar 2019</w:t>
            </w:r>
          </w:p>
        </w:tc>
        <w:tc>
          <w:tcPr>
            <w:tcW w:type="dxa" w:w="6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5"/>
                <w:szCs w:val="15"/>
              </w:rPr>
              <w:t xml:space="preserve">N</w:t>
            </w:r>
          </w:p>
        </w:tc>
      </w:tr>
      <w:tr>
        <w:trPr>
          <w:cantSplit/>
        </w:trPr>
        <w:tc>
          <w:tcPr>
            <w:tcW w:type="dxa" w:w="7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5"/>
                <w:szCs w:val="15"/>
              </w:rPr>
              <w:t xml:space="preserve">FBIL01</w:t>
            </w:r>
          </w:p>
        </w:tc>
        <w:tc>
          <w:tcPr>
            <w:tcW w:type="dxa" w:w="20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5"/>
                <w:szCs w:val="15"/>
              </w:rPr>
              <w:t xml:space="preserve">data/raw/gsec/fbil_par_2018_2022.csv</w:t>
            </w:r>
          </w:p>
        </w:tc>
        <w:tc>
          <w:tcPr>
            <w:tcW w:type="dxa" w:w="13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5"/>
                <w:szCs w:val="15"/>
              </w:rPr>
              <w:t xml:space="preserve">Financial Benchmarks India Pvt Ltd</w:t>
            </w:r>
          </w:p>
        </w:tc>
        <w:tc>
          <w:tcPr>
            <w:tcW w:type="dxa" w:w="15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5"/>
                <w:szCs w:val="15"/>
              </w:rPr>
              <w:t xml:space="preserve">https://www.fbil.org.in (exact page)</w:t>
            </w:r>
          </w:p>
        </w:tc>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5"/>
                <w:szCs w:val="15"/>
              </w:rPr>
              <w:t xml:space="preserve">19-10-2026</w:t>
            </w:r>
          </w:p>
        </w:tc>
        <w:tc>
          <w:tcPr>
            <w:tcW w:type="dxa" w:w="19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5"/>
                <w:szCs w:val="15"/>
              </w:rPr>
              <w:t xml:space="preserve">G-Sec par yield curve, weekly (Fridays), semi-annual basis</w:t>
            </w:r>
          </w:p>
        </w:tc>
        <w:tc>
          <w:tcPr>
            <w:tcW w:type="dxa" w:w="6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5"/>
                <w:szCs w:val="15"/>
              </w:rPr>
              <w:t xml:space="preserve">N</w:t>
            </w:r>
          </w:p>
        </w:tc>
      </w:tr>
    </w:tbl>
    <w:p>
      <w:pPr>
        <w:spacing w:after="120"/>
      </w:pPr>
    </w:p>
    <w:p>
      <w:pPr>
        <w:pStyle w:val="ListParagraph"/>
        <w:numPr>
          <w:ilvl w:val="0"/>
          <w:numId w:val="3"/>
        </w:numPr>
        <w:spacing w:after="60" w:line="264"/>
      </w:pPr>
      <w:r>
        <w:rPr>
          <w:b/>
          <w:bCs/>
        </w:rPr>
        <w:t xml:space="preserve">source_id</w:t>
      </w:r>
      <w:r>
        <w:t xml:space="preserve"> – any short unique code.</w:t>
      </w:r>
    </w:p>
    <w:p>
      <w:pPr>
        <w:pStyle w:val="ListParagraph"/>
        <w:numPr>
          <w:ilvl w:val="0"/>
          <w:numId w:val="3"/>
        </w:numPr>
        <w:spacing w:after="60" w:line="264"/>
      </w:pPr>
      <w:r>
        <w:rPr>
          <w:b/>
          <w:bCs/>
        </w:rPr>
        <w:t xml:space="preserve">url</w:t>
      </w:r>
      <w:r>
        <w:t xml:space="preserve"> – the exact page you downloaded from (copy it from the browser address bar).</w:t>
      </w:r>
    </w:p>
    <w:p>
      <w:pPr>
        <w:pStyle w:val="ListParagraph"/>
        <w:numPr>
          <w:ilvl w:val="0"/>
          <w:numId w:val="3"/>
        </w:numPr>
        <w:spacing w:after="60" w:line="264"/>
      </w:pPr>
      <w:r>
        <w:rPr>
          <w:b/>
          <w:bCs/>
        </w:rPr>
        <w:t xml:space="preserve">date_pulled</w:t>
      </w:r>
      <w:r>
        <w:t xml:space="preserve"> – the day you downloaded it.</w:t>
      </w:r>
    </w:p>
    <w:p>
      <w:pPr>
        <w:pStyle w:val="ListParagraph"/>
        <w:numPr>
          <w:ilvl w:val="0"/>
          <w:numId w:val="3"/>
        </w:numPr>
        <w:spacing w:after="60" w:line="264"/>
      </w:pPr>
      <w:r>
        <w:rPr>
          <w:b/>
          <w:bCs/>
        </w:rPr>
        <w:t xml:space="preserve">synthetic</w:t>
      </w:r>
      <w:r>
        <w:t xml:space="preserve"> – always N for real data.</w:t>
      </w:r>
    </w:p>
    <w:p>
      <w:pPr>
        <w:pStyle w:val="ListParagraph"/>
        <w:numPr>
          <w:ilvl w:val="0"/>
          <w:numId w:val="3"/>
        </w:numPr>
        <w:spacing w:after="60" w:line="264"/>
      </w:pPr>
      <w:r>
        <w:t xml:space="preserve">If you forget a file, </w:t>
      </w:r>
      <w:r>
        <w:rPr>
          <w:rFonts w:ascii="Courier New" w:cs="Courier New" w:eastAsia="Courier New" w:hAnsi="Courier New"/>
          <w:color w:val="7B241C"/>
          <w:sz w:val="19"/>
          <w:szCs w:val="19"/>
        </w:rPr>
        <w:t xml:space="preserve">ingest.py</w:t>
      </w:r>
      <w:r>
        <w:t xml:space="preserve"> stops and names the file. Add the row and run it again.</w:t>
      </w:r>
    </w:p>
    <w:p>
      <w:pPr>
        <w:pStyle w:val="ListParagraph"/>
        <w:numPr>
          <w:ilvl w:val="0"/>
          <w:numId w:val="3"/>
        </w:numPr>
        <w:spacing w:after="60" w:line="264"/>
      </w:pPr>
      <w:r>
        <w:t xml:space="preserve">Every source in </w:t>
      </w:r>
      <w:r>
        <w:rPr>
          <w:rFonts w:ascii="Courier New" w:cs="Courier New" w:eastAsia="Courier New" w:hAnsi="Courier New"/>
          <w:color w:val="7B241C"/>
          <w:sz w:val="19"/>
          <w:szCs w:val="19"/>
        </w:rPr>
        <w:t xml:space="preserve">sources.csv</w:t>
      </w:r>
      <w:r>
        <w:t xml:space="preserve"> must also appear in the report’s bibliography (submission checklist).</w:t>
      </w:r>
    </w:p>
    <w:p>
      <w:pPr>
        <w:pStyle w:val="Heading1"/>
        <w:pageBreakBefore/>
      </w:pPr>
      <w:bookmarkStart w:name="_Toc24" w:id="24"/>
      <w:r>
        <w:t xml:space="preserve">7. Running the model</w:t>
      </w:r>
      <w:bookmarkEnd w:id="24"/>
    </w:p>
    <w:p>
      <w:pPr>
        <w:pStyle w:val="Heading2"/>
      </w:pPr>
      <w:bookmarkStart w:name="_Toc25" w:id="25"/>
      <w:r>
        <w:t xml:space="preserve">7.1 One-time setup (both laptops)</w:t>
      </w:r>
      <w:bookmarkEnd w:id="25"/>
    </w:p>
    <w:p>
      <w:pPr>
        <w:spacing w:after="120" w:line="276"/>
      </w:pPr>
      <w:r>
        <w:t xml:space="preserve">You need Python 3.10 or newer (</w:t>
      </w:r>
      <w:hyperlink w:history="1" r:id="rIddawuh_axc0ggc3-jtracd">
        <w:r>
          <w:rPr>
            <w:rStyle w:val="Hyperlink"/>
          </w:rPr>
          <w:t xml:space="preserve">https://www.python.org/downloads/</w:t>
        </w:r>
      </w:hyperlink>
      <w:r>
        <w:t xml:space="preserve">). Open Terminal (Mac) or Command Prompt (Windows) in the SpreadWatch folder: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3864" w:sz="18"/>
              <w:bottom w:val="single" w:color="BFBFBF" w:sz="4"/>
              <w:right w:val="single" w:color="BFBFBF" w:sz="4"/>
            </w:tcBorders>
            <w:shd w:fill="F4F4F4" w:color="auto" w:val="clear"/>
            <w:tcMar>
              <w:top w:type="dxa" w:w="80"/>
              <w:left w:type="dxa" w:w="160"/>
              <w:bottom w:type="dxa" w:w="80"/>
              <w:right w:type="dxa" w:w="120"/>
            </w:tcMar>
          </w:tcPr>
          <w:p>
            <w:pPr>
              <w:spacing w:after="0"/>
            </w:pPr>
            <w:r>
              <w:rPr>
                <w:rFonts w:ascii="Courier New" w:cs="Courier New" w:eastAsia="Courier New" w:hAnsi="Courier New"/>
                <w:sz w:val="18"/>
                <w:szCs w:val="18"/>
              </w:rPr>
              <w:t xml:space="preserve"># Mac</w:t>
            </w:r>
          </w:p>
          <w:p>
            <w:pPr>
              <w:spacing w:after="0"/>
            </w:pPr>
            <w:r>
              <w:rPr>
                <w:rFonts w:ascii="Courier New" w:cs="Courier New" w:eastAsia="Courier New" w:hAnsi="Courier New"/>
                <w:sz w:val="18"/>
                <w:szCs w:val="18"/>
              </w:rPr>
              <w:t xml:space="preserve">python3 -m venv .venv</w:t>
            </w:r>
          </w:p>
          <w:p>
            <w:pPr>
              <w:spacing w:after="0"/>
            </w:pPr>
            <w:r>
              <w:rPr>
                <w:rFonts w:ascii="Courier New" w:cs="Courier New" w:eastAsia="Courier New" w:hAnsi="Courier New"/>
                <w:sz w:val="18"/>
                <w:szCs w:val="18"/>
              </w:rPr>
              <w:t xml:space="preserve">source .venv/bin/activate</w:t>
            </w:r>
          </w:p>
          <w:p>
            <w:pPr>
              <w:spacing w:after="0"/>
            </w:pPr>
            <w:r>
              <w:rPr>
                <w:rFonts w:ascii="Courier New" w:cs="Courier New" w:eastAsia="Courier New" w:hAnsi="Courier New"/>
                <w:sz w:val="18"/>
                <w:szCs w:val="18"/>
              </w:rPr>
              <w:t xml:space="preserve">pip install -r requirements.txt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Windows</w:t>
            </w:r>
          </w:p>
          <w:p>
            <w:pPr>
              <w:spacing w:after="0"/>
            </w:pPr>
            <w:r>
              <w:rPr>
                <w:rFonts w:ascii="Courier New" w:cs="Courier New" w:eastAsia="Courier New" w:hAnsi="Courier New"/>
                <w:sz w:val="18"/>
                <w:szCs w:val="18"/>
              </w:rPr>
              <w:t xml:space="preserve">py -m venv .venv</w:t>
            </w:r>
          </w:p>
          <w:p>
            <w:pPr>
              <w:spacing w:after="0"/>
            </w:pPr>
            <w:r>
              <w:rPr>
                <w:rFonts w:ascii="Courier New" w:cs="Courier New" w:eastAsia="Courier New" w:hAnsi="Courier New"/>
                <w:sz w:val="18"/>
                <w:szCs w:val="18"/>
              </w:rPr>
              <w:t xml:space="preserve">.venv\Scripts\activate</w:t>
            </w:r>
          </w:p>
          <w:p>
            <w:pPr>
              <w:spacing w:after="0"/>
            </w:pPr>
            <w:r>
              <w:rPr>
                <w:rFonts w:ascii="Courier New" w:cs="Courier New" w:eastAsia="Courier New" w:hAnsi="Courier New"/>
                <w:sz w:val="18"/>
                <w:szCs w:val="18"/>
              </w:rPr>
              <w:t xml:space="preserve">pip install -r requirements.txt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check everything works (all tests must pass)</w:t>
            </w:r>
          </w:p>
          <w:p>
            <w:pPr>
              <w:spacing w:after="0"/>
            </w:pPr>
            <w:r>
              <w:rPr>
                <w:rFonts w:ascii="Courier New" w:cs="Courier New" w:eastAsia="Courier New" w:hAnsi="Courier New"/>
                <w:sz w:val="18"/>
                <w:szCs w:val="18"/>
              </w:rPr>
              <w:t xml:space="preserve">python -m pytest</w:t>
            </w:r>
          </w:p>
          <w:p>
            <w:pPr>
              <w:spacing w:after="0"/>
            </w:pPr>
            <w:r>
              <w:rPr>
                <w:rFonts w:ascii="Courier New" w:cs="Courier New" w:eastAsia="Courier New" w:hAnsi="Courier New"/>
                <w:sz w:val="18"/>
                <w:szCs w:val="18"/>
              </w:rPr>
              <w:t xml:space="preserve">python run_pipeline.py --mode sample</w:t>
            </w:r>
          </w:p>
          <w:p>
            <w:pPr>
              <w:spacing w:after="0"/>
            </w:pPr>
            <w:r>
              <w:rPr>
                <w:rFonts w:ascii="Courier New" w:cs="Courier New" w:eastAsia="Courier New" w:hAnsi="Courier New"/>
                <w:sz w:val="18"/>
                <w:szCs w:val="18"/>
              </w:rPr>
              <w:t xml:space="preserve">streamlit run app.py</w:t>
            </w:r>
          </w:p>
        </w:tc>
      </w:tr>
    </w:tbl>
    <w:p>
      <w:pPr>
        <w:spacing w:after="120"/>
      </w:pPr>
    </w:p>
    <w:p>
      <w:pPr>
        <w:spacing w:after="120" w:line="276"/>
      </w:pPr>
      <w:r>
        <w:t xml:space="preserve">The app opens in your browser. You will see a yellow SYNTHETIC banner, which is correct at this stage.</w:t>
      </w:r>
    </w:p>
    <w:p>
      <w:pPr>
        <w:pStyle w:val="Heading2"/>
      </w:pPr>
      <w:bookmarkStart w:name="_Toc26" w:id="26"/>
      <w:r>
        <w:t xml:space="preserve">7.2 Run on your real data</w:t>
      </w:r>
      <w:bookmarkEnd w:id="2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1F3864" w:sz="18"/>
              <w:bottom w:val="single" w:color="BFBFBF" w:sz="4"/>
              <w:right w:val="single" w:color="BFBFBF" w:sz="4"/>
            </w:tcBorders>
            <w:shd w:fill="F4F4F4" w:color="auto" w:val="clear"/>
            <w:tcMar>
              <w:top w:type="dxa" w:w="80"/>
              <w:left w:type="dxa" w:w="160"/>
              <w:bottom w:type="dxa" w:w="80"/>
              <w:right w:type="dxa" w:w="120"/>
            </w:tcMar>
          </w:tcPr>
          <w:p>
            <w:pPr>
              <w:spacing w:after="0"/>
            </w:pPr>
            <w:r>
              <w:rPr>
                <w:rFonts w:ascii="Courier New" w:cs="Courier New" w:eastAsia="Courier New" w:hAnsi="Courier New"/>
                <w:sz w:val="18"/>
                <w:szCs w:val="18"/>
              </w:rPr>
              <w:t xml:space="preserve">python prepare_curve.py            # only if you used G-sec Option B</w:t>
            </w:r>
          </w:p>
          <w:p>
            <w:pPr>
              <w:spacing w:after="0"/>
            </w:pPr>
            <w:r>
              <w:rPr>
                <w:rFonts w:ascii="Courier New" w:cs="Courier New" w:eastAsia="Courier New" w:hAnsi="Courier New"/>
                <w:sz w:val="18"/>
                <w:szCs w:val="18"/>
              </w:rPr>
              <w:t xml:space="preserve">python ingest.py --mode real       # checks sources.csv, builds data/real/</w:t>
            </w:r>
          </w:p>
          <w:p>
            <w:pPr>
              <w:spacing w:after="0"/>
            </w:pPr>
            <w:r>
              <w:rPr>
                <w:rFonts w:ascii="Courier New" w:cs="Courier New" w:eastAsia="Courier New" w:hAnsi="Courier New"/>
                <w:sz w:val="18"/>
                <w:szCs w:val="18"/>
              </w:rPr>
              <w:t xml:space="preserve">python run_pipeline.py --mode real # the engine -&gt; outputs/real/</w:t>
            </w:r>
          </w:p>
          <w:p>
            <w:pPr>
              <w:spacing w:after="0"/>
            </w:pPr>
            <w:r>
              <w:rPr>
                <w:rFonts w:ascii="Courier New" w:cs="Courier New" w:eastAsia="Courier New" w:hAnsi="Courier New"/>
                <w:sz w:val="18"/>
                <w:szCs w:val="18"/>
              </w:rPr>
              <w:t xml:space="preserve">python commentary.py --mode real   # verified commentary</w:t>
            </w:r>
          </w:p>
          <w:p>
            <w:pPr>
              <w:spacing w:after="0"/>
            </w:pPr>
            <w:r>
              <w:rPr>
                <w:rFonts w:ascii="Courier New" w:cs="Courier New" w:eastAsia="Courier New" w:hAnsi="Courier New"/>
                <w:sz w:val="18"/>
                <w:szCs w:val="18"/>
              </w:rPr>
              <w:t xml:space="preserve">python report.py --mode real       # annexure + figures</w:t>
            </w:r>
          </w:p>
          <w:p>
            <w:pPr>
              <w:spacing w:after="0"/>
            </w:pPr>
            <w:r>
              <w:rPr>
                <w:rFonts w:ascii="Courier New" w:cs="Courier New" w:eastAsia="Courier New" w:hAnsi="Courier New"/>
                <w:sz w:val="18"/>
                <w:szCs w:val="18"/>
              </w:rPr>
              <w:t xml:space="preserve">streamlit run app.py               # choose 'Real data' in the sidebar</w:t>
            </w:r>
          </w:p>
        </w:tc>
      </w:tr>
    </w:tbl>
    <w:p>
      <w:pPr>
        <w:spacing w:after="120"/>
      </w:pPr>
    </w:p>
    <w:p>
      <w:pPr>
        <w:pStyle w:val="Heading2"/>
      </w:pPr>
      <w:bookmarkStart w:name="_Toc27" w:id="27"/>
      <w:r>
        <w:t xml:space="preserve">7.3 Check these before you write anything</w:t>
      </w:r>
      <w:bookmarkEnd w:id="2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306"/>
        <w:gridCol w:w="2707"/>
        <w:gridCol w:w="2208"/>
      </w:tblGrid>
      <w:tr>
        <w:trPr>
          <w:cantSplit/>
          <w:tblHeader/>
        </w:trPr>
        <w:tc>
          <w:tcPr>
            <w:tcW w:type="dxa" w:w="180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8"/>
                <w:szCs w:val="18"/>
              </w:rPr>
              <w:t xml:space="preserve">Check</w:t>
            </w:r>
          </w:p>
        </w:tc>
        <w:tc>
          <w:tcPr>
            <w:tcW w:type="dxa" w:w="230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8"/>
                <w:szCs w:val="18"/>
              </w:rPr>
              <w:t xml:space="preserve">Where</w:t>
            </w:r>
          </w:p>
        </w:tc>
        <w:tc>
          <w:tcPr>
            <w:tcW w:type="dxa" w:w="270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8"/>
                <w:szCs w:val="18"/>
              </w:rPr>
              <w:t xml:space="preserve">What good looks like</w:t>
            </w:r>
          </w:p>
        </w:tc>
        <w:tc>
          <w:tcPr>
            <w:tcW w:type="dxa" w:w="220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8"/>
                <w:szCs w:val="18"/>
              </w:rPr>
              <w:t xml:space="preserve">If not</w:t>
            </w:r>
          </w:p>
        </w:tc>
      </w:tr>
      <w:tr>
        <w:trPr>
          <w:cantSplit/>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Validation pass rate</w:t>
            </w:r>
          </w:p>
        </w:tc>
        <w:tc>
          <w:tcPr>
            <w:tcW w:type="dxa" w:w="2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App tab 4, or </w:t>
            </w:r>
            <w:r>
              <w:rPr>
                <w:rFonts w:ascii="Courier New" w:cs="Courier New" w:eastAsia="Courier New" w:hAnsi="Courier New"/>
                <w:color w:val="7B241C"/>
                <w:sz w:val="18"/>
                <w:szCs w:val="18"/>
              </w:rPr>
              <w:t xml:space="preserve">summary.json</w:t>
            </w:r>
            <w:r>
              <w:rPr>
                <w:sz w:val="18"/>
                <w:szCs w:val="18"/>
              </w:rPr>
              <w:t xml:space="preserve"> → validation</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Above 90% within ±5 bps</w:t>
            </w:r>
          </w:p>
        </w:tc>
        <w:tc>
          <w:tcPr>
            <w:tcW w:type="dxa" w:w="22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Section 8 rows 4–5</w:t>
            </w:r>
          </w:p>
        </w:tc>
      </w:tr>
      <w:tr>
        <w:trPr>
          <w:cantSplit/>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Rejected rows</w:t>
            </w:r>
          </w:p>
        </w:tc>
        <w:tc>
          <w:tcPr>
            <w:tcW w:type="dxa" w:w="2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color w:val="7B241C"/>
                <w:sz w:val="18"/>
                <w:szCs w:val="18"/>
              </w:rPr>
              <w:t xml:space="preserve">rejected_trades.csv</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A small share, each with a reason you can explain</w:t>
            </w:r>
          </w:p>
        </w:tc>
        <w:tc>
          <w:tcPr>
            <w:tcW w:type="dxa" w:w="22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Section 8 row 3</w:t>
            </w:r>
          </w:p>
        </w:tc>
      </w:tr>
      <w:tr>
        <w:trPr>
          <w:cantSplit/>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Usable events</w:t>
            </w:r>
          </w:p>
        </w:tc>
        <w:tc>
          <w:tcPr>
            <w:tcW w:type="dxa" w:w="2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App tab 1</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At least 8 usable downgrade episodes</w:t>
            </w:r>
          </w:p>
        </w:tc>
        <w:tc>
          <w:tcPr>
            <w:tcW w:type="dxa" w:w="22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Add bonds that trade more often, or more companies</w:t>
            </w:r>
          </w:p>
        </w:tc>
      </w:tr>
      <w:tr>
        <w:trPr>
          <w:cantSplit/>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Every company appears</w:t>
            </w:r>
          </w:p>
        </w:tc>
        <w:tc>
          <w:tcPr>
            <w:tcW w:type="dxa" w:w="2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App tab 2 issuer list</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All 24 names present</w:t>
            </w:r>
          </w:p>
        </w:tc>
        <w:tc>
          <w:tcPr>
            <w:tcW w:type="dxa" w:w="22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Name mismatch (Section 8 row 6)</w:t>
            </w:r>
          </w:p>
        </w:tc>
      </w:tr>
      <w:tr>
        <w:trPr>
          <w:cantSplit/>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Transition matrix</w:t>
            </w:r>
          </w:p>
        </w:tc>
        <w:tc>
          <w:tcPr>
            <w:tcW w:type="dxa" w:w="2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App tab 3</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Rows for AAA to BBB filled; n shown per row</w:t>
            </w:r>
          </w:p>
        </w:tc>
        <w:tc>
          <w:tcPr>
            <w:tcW w:type="dxa" w:w="22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Starting ratings missing (Section 5.1)</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9A227" w:sz="24"/>
              <w:bottom w:val="none" w:color="FFFFFF" w:sz="0"/>
              <w:right w:val="none" w:color="FFFFFF" w:sz="0"/>
            </w:tcBorders>
            <w:shd w:fill="FFF4D6" w:color="auto" w:val="clear"/>
            <w:tcMar>
              <w:top w:type="dxa" w:w="100"/>
              <w:left w:type="dxa" w:w="180"/>
              <w:bottom w:type="dxa" w:w="100"/>
              <w:right w:type="dxa" w:w="140"/>
            </w:tcMar>
          </w:tcPr>
          <w:p>
            <w:pPr>
              <w:spacing w:after="60" w:line="264"/>
            </w:pPr>
            <w:r>
              <w:rPr>
                <w:b/>
                <w:bCs/>
              </w:rPr>
              <w:t xml:space="preserve">Do not change </w:t>
            </w:r>
            <w:r>
              <w:rPr>
                <w:rFonts w:ascii="Courier New" w:cs="Courier New" w:eastAsia="Courier New" w:hAnsi="Courier New"/>
                <w:b/>
                <w:bCs/>
                <w:color w:val="7B241C"/>
                <w:sz w:val="19"/>
                <w:szCs w:val="19"/>
              </w:rPr>
              <w:t xml:space="preserve">config.py</w:t>
            </w:r>
            <w:r>
              <w:rPr>
                <w:b/>
                <w:bCs/>
              </w:rPr>
              <w:t xml:space="preserve"> windows or thresholds after you see the real answer.</w:t>
            </w:r>
            <w:r>
              <w:t xml:space="preserve"> If you change anything, record it and the reason in </w:t>
            </w:r>
            <w:r>
              <w:rPr>
                <w:rFonts w:ascii="Courier New" w:cs="Courier New" w:eastAsia="Courier New" w:hAnsi="Courier New"/>
                <w:color w:val="7B241C"/>
                <w:sz w:val="19"/>
                <w:szCs w:val="19"/>
              </w:rPr>
              <w:t xml:space="preserve">governance.md</w:t>
            </w:r>
            <w:r>
              <w:t xml:space="preserve"> section 7. Changing settings until you get the answer you want is data dredging, and examiners look for it.</w:t>
            </w:r>
          </w:p>
        </w:tc>
      </w:tr>
    </w:tbl>
    <w:p>
      <w:pPr>
        <w:spacing w:after="120"/>
      </w:pPr>
    </w:p>
    <w:p>
      <w:pPr>
        <w:pStyle w:val="Heading1"/>
        <w:pageBreakBefore/>
      </w:pPr>
      <w:bookmarkStart w:name="_Toc28" w:id="28"/>
      <w:r>
        <w:t xml:space="preserve">8. Common problems and fixes</w:t>
      </w:r>
      <w:bookmarkEnd w:id="2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1"/>
        <w:gridCol w:w="2607"/>
        <w:gridCol w:w="2908"/>
        <w:gridCol w:w="3110"/>
      </w:tblGrid>
      <w:tr>
        <w:trPr>
          <w:cantSplit/>
          <w:tblHeader/>
        </w:trPr>
        <w:tc>
          <w:tcPr>
            <w:tcW w:type="dxa" w:w="40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7"/>
                <w:szCs w:val="17"/>
              </w:rPr>
              <w:t xml:space="preserve">#</w:t>
            </w:r>
          </w:p>
        </w:tc>
        <w:tc>
          <w:tcPr>
            <w:tcW w:type="dxa" w:w="260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7"/>
                <w:szCs w:val="17"/>
              </w:rPr>
              <w:t xml:space="preserve">What you see</w:t>
            </w:r>
          </w:p>
        </w:tc>
        <w:tc>
          <w:tcPr>
            <w:tcW w:type="dxa" w:w="290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7"/>
                <w:szCs w:val="17"/>
              </w:rPr>
              <w:t xml:space="preserve">Cause</w:t>
            </w:r>
          </w:p>
        </w:tc>
        <w:tc>
          <w:tcPr>
            <w:tcW w:type="dxa" w:w="311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7"/>
                <w:szCs w:val="17"/>
              </w:rPr>
              <w:t xml:space="preserve">Fix</w:t>
            </w:r>
          </w:p>
        </w:tc>
      </w:tr>
      <w:tr>
        <w:trPr>
          <w:cantSplit/>
        </w:trPr>
        <w:tc>
          <w:tcPr>
            <w:tcW w:type="dxa" w:w="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1</w:t>
            </w:r>
          </w:p>
        </w:tc>
        <w:tc>
          <w:tcPr>
            <w:tcW w:type="dxa" w:w="26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INGEST REFUSED: These raw files are not registered in sources.csv</w:t>
            </w:r>
          </w:p>
        </w:tc>
        <w:tc>
          <w:tcPr>
            <w:tcW w:type="dxa" w:w="29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A file in </w:t>
            </w:r>
            <w:r>
              <w:rPr>
                <w:rFonts w:ascii="Courier New" w:cs="Courier New" w:eastAsia="Courier New" w:hAnsi="Courier New"/>
                <w:color w:val="7B241C"/>
                <w:sz w:val="17"/>
                <w:szCs w:val="17"/>
              </w:rPr>
              <w:t xml:space="preserve">data/raw/</w:t>
            </w:r>
            <w:r>
              <w:rPr>
                <w:sz w:val="17"/>
                <w:szCs w:val="17"/>
              </w:rPr>
              <w:t xml:space="preserve"> has no row in </w:t>
            </w:r>
            <w:r>
              <w:rPr>
                <w:rFonts w:ascii="Courier New" w:cs="Courier New" w:eastAsia="Courier New" w:hAnsi="Courier New"/>
                <w:color w:val="7B241C"/>
                <w:sz w:val="17"/>
                <w:szCs w:val="17"/>
              </w:rPr>
              <w:t xml:space="preserve">sources.csv</w:t>
            </w:r>
          </w:p>
        </w:tc>
        <w:tc>
          <w:tcPr>
            <w:tcW w:type="dxa" w:w="3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Add the row; the </w:t>
            </w:r>
            <w:r>
              <w:rPr>
                <w:rFonts w:ascii="Courier New" w:cs="Courier New" w:eastAsia="Courier New" w:hAnsi="Courier New"/>
                <w:color w:val="7B241C"/>
                <w:sz w:val="17"/>
                <w:szCs w:val="17"/>
              </w:rPr>
              <w:t xml:space="preserve">file</w:t>
            </w:r>
            <w:r>
              <w:rPr>
                <w:sz w:val="17"/>
                <w:szCs w:val="17"/>
              </w:rPr>
              <w:t xml:space="preserve"> value must match the path exactly (forward slashes)</w:t>
            </w:r>
          </w:p>
        </w:tc>
      </w:tr>
      <w:tr>
        <w:trPr>
          <w:cantSplit/>
        </w:trPr>
        <w:tc>
          <w:tcPr>
            <w:tcW w:type="dxa" w:w="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2</w:t>
            </w:r>
          </w:p>
        </w:tc>
        <w:tc>
          <w:tcPr>
            <w:tcW w:type="dxa" w:w="26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trade file is missing required columns</w:t>
            </w:r>
          </w:p>
        </w:tc>
        <w:tc>
          <w:tcPr>
            <w:tcW w:type="dxa" w:w="29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The trade file headers were not recognised, or coupon/maturity are missing</w:t>
            </w:r>
          </w:p>
        </w:tc>
        <w:tc>
          <w:tcPr>
            <w:tcW w:type="dxa" w:w="3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Add the bond master (5.2). If headers are unusual, send them to me (Section 10)</w:t>
            </w:r>
          </w:p>
        </w:tc>
      </w:tr>
      <w:tr>
        <w:trPr>
          <w:cantSplit/>
        </w:trPr>
        <w:tc>
          <w:tcPr>
            <w:tcW w:type="dxa" w:w="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3</w:t>
            </w:r>
          </w:p>
        </w:tc>
        <w:tc>
          <w:tcPr>
            <w:tcW w:type="dxa" w:w="26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Many rows rejected: “no G-sec curve on or before …” or “… stale”</w:t>
            </w:r>
          </w:p>
        </w:tc>
        <w:tc>
          <w:tcPr>
            <w:tcW w:type="dxa" w:w="29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Gaps in the curve files longer than 7 days</w:t>
            </w:r>
          </w:p>
        </w:tc>
        <w:tc>
          <w:tcPr>
            <w:tcW w:type="dxa" w:w="3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Download the missing weeks of the curve</w:t>
            </w:r>
          </w:p>
        </w:tc>
      </w:tr>
      <w:tr>
        <w:trPr>
          <w:cantSplit/>
        </w:trPr>
        <w:tc>
          <w:tcPr>
            <w:tcW w:type="dxa" w:w="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4</w:t>
            </w:r>
          </w:p>
        </w:tc>
        <w:tc>
          <w:tcPr>
            <w:tcW w:type="dxa" w:w="26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Low validation pass rate for one bond only</w:t>
            </w:r>
          </w:p>
        </w:tc>
        <w:tc>
          <w:tcPr>
            <w:tcW w:type="dxa" w:w="29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Wrong coupon frequency (semi-annual bond marked annual) or wrong coupon/maturity</w:t>
            </w:r>
          </w:p>
        </w:tc>
        <w:tc>
          <w:tcPr>
            <w:tcW w:type="dxa" w:w="3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Correct the bond master row from NSDL</w:t>
            </w:r>
          </w:p>
        </w:tc>
      </w:tr>
      <w:tr>
        <w:trPr>
          <w:cantSplit/>
        </w:trPr>
        <w:tc>
          <w:tcPr>
            <w:tcW w:type="dxa" w:w="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5</w:t>
            </w:r>
          </w:p>
        </w:tc>
        <w:tc>
          <w:tcPr>
            <w:tcW w:type="dxa" w:w="26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Low pass rate for all bonds</w:t>
            </w:r>
          </w:p>
        </w:tc>
        <w:tc>
          <w:tcPr>
            <w:tcW w:type="dxa" w:w="29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The exchange price is not clean price per 100, or yields use a different convention</w:t>
            </w:r>
          </w:p>
        </w:tc>
        <w:tc>
          <w:tcPr>
            <w:tcW w:type="dxa" w:w="3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Send me one trade row and the bond terms (Section 10)</w:t>
            </w:r>
          </w:p>
        </w:tc>
      </w:tr>
      <w:tr>
        <w:trPr>
          <w:cantSplit/>
        </w:trPr>
        <w:tc>
          <w:tcPr>
            <w:tcW w:type="dxa" w:w="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6</w:t>
            </w:r>
          </w:p>
        </w:tc>
        <w:tc>
          <w:tcPr>
            <w:tcW w:type="dxa" w:w="26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A company has trades but no rating actions in the app</w:t>
            </w:r>
          </w:p>
        </w:tc>
        <w:tc>
          <w:tcPr>
            <w:tcW w:type="dxa" w:w="29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The issuer name differs between the bond master and the rating file</w:t>
            </w:r>
          </w:p>
        </w:tc>
        <w:tc>
          <w:tcPr>
            <w:tcW w:type="dxa" w:w="3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Make the two names identical</w:t>
            </w:r>
          </w:p>
        </w:tc>
      </w:tr>
      <w:tr>
        <w:trPr>
          <w:cantSplit/>
        </w:trPr>
        <w:tc>
          <w:tcPr>
            <w:tcW w:type="dxa" w:w="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7</w:t>
            </w:r>
          </w:p>
        </w:tc>
        <w:tc>
          <w:tcPr>
            <w:tcW w:type="dxa" w:w="26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Verdict: INSUFFICIENT DATA</w:t>
            </w:r>
          </w:p>
        </w:tc>
        <w:tc>
          <w:tcPr>
            <w:tcW w:type="dxa" w:w="29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Fewer than 3 usable downgrade episodes (too few trades before each event)</w:t>
            </w:r>
          </w:p>
        </w:tc>
        <w:tc>
          <w:tcPr>
            <w:tcW w:type="dxa" w:w="3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Add more liquid ISINs / more companies; otherwise report this honestly as a finding</w:t>
            </w:r>
          </w:p>
        </w:tc>
      </w:tr>
      <w:tr>
        <w:trPr>
          <w:cantSplit/>
        </w:trPr>
        <w:tc>
          <w:tcPr>
            <w:tcW w:type="dxa" w:w="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8</w:t>
            </w:r>
          </w:p>
        </w:tc>
        <w:tc>
          <w:tcPr>
            <w:tcW w:type="dxa" w:w="26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Matrix rows for B or C are empty</w:t>
            </w:r>
          </w:p>
        </w:tc>
        <w:tc>
          <w:tcPr>
            <w:tcW w:type="dxa" w:w="29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No company rated B or C at a cohort start</w:t>
            </w:r>
          </w:p>
        </w:tc>
        <w:tc>
          <w:tcPr>
            <w:tcW w:type="dxa" w:w="3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Normal for a small sample; say so in Chapter 9</w:t>
            </w:r>
          </w:p>
        </w:tc>
      </w:tr>
      <w:tr>
        <w:trPr>
          <w:cantSplit/>
        </w:trPr>
        <w:tc>
          <w:tcPr>
            <w:tcW w:type="dxa" w:w="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9</w:t>
            </w:r>
          </w:p>
        </w:tc>
        <w:tc>
          <w:tcPr>
            <w:tcW w:type="dxa" w:w="26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Excel changed my dates or ISINs</w:t>
            </w:r>
          </w:p>
        </w:tc>
        <w:tc>
          <w:tcPr>
            <w:tcW w:type="dxa" w:w="29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Excel auto-formatting (e.g. ISIN read as a number, dates flipped)</w:t>
            </w:r>
          </w:p>
        </w:tc>
        <w:tc>
          <w:tcPr>
            <w:tcW w:type="dxa" w:w="31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7"/>
                <w:szCs w:val="17"/>
              </w:rPr>
              <w:t xml:space="preserve">Save as CSV UTF-8; check the ISIN still has 12 characters; use DD-MM-YYYY</w:t>
            </w:r>
          </w:p>
        </w:tc>
      </w:tr>
    </w:tbl>
    <w:p>
      <w:pPr>
        <w:spacing w:after="120"/>
      </w:pPr>
    </w:p>
    <w:p>
      <w:pPr>
        <w:pStyle w:val="Heading1"/>
        <w:pageBreakBefore/>
      </w:pPr>
      <w:bookmarkStart w:name="_Toc29" w:id="29"/>
      <w:r>
        <w:t xml:space="preserve">9. Integrity checklist (tick before submission)</w:t>
      </w:r>
      <w:bookmarkEnd w:id="29"/>
    </w:p>
    <w:p>
      <w:pPr>
        <w:pStyle w:val="ListParagraph"/>
        <w:numPr>
          <w:ilvl w:val="0"/>
          <w:numId w:val="3"/>
        </w:numPr>
        <w:spacing w:after="60" w:line="264"/>
      </w:pPr>
      <w:r>
        <w:t xml:space="preserve">Every file in </w:t>
      </w:r>
      <w:r>
        <w:rPr>
          <w:rFonts w:ascii="Courier New" w:cs="Courier New" w:eastAsia="Courier New" w:hAnsi="Courier New"/>
          <w:color w:val="7B241C"/>
          <w:sz w:val="19"/>
          <w:szCs w:val="19"/>
        </w:rPr>
        <w:t xml:space="preserve">data/raw/</w:t>
      </w:r>
      <w:r>
        <w:t xml:space="preserve"> has a row in </w:t>
      </w:r>
      <w:r>
        <w:rPr>
          <w:rFonts w:ascii="Courier New" w:cs="Courier New" w:eastAsia="Courier New" w:hAnsi="Courier New"/>
          <w:color w:val="7B241C"/>
          <w:sz w:val="19"/>
          <w:szCs w:val="19"/>
        </w:rPr>
        <w:t xml:space="preserve">sources.csv</w:t>
      </w:r>
      <w:r>
        <w:t xml:space="preserve">, with the exact URL and the date pulled.</w:t>
      </w:r>
    </w:p>
    <w:p>
      <w:pPr>
        <w:pStyle w:val="ListParagraph"/>
        <w:numPr>
          <w:ilvl w:val="0"/>
          <w:numId w:val="3"/>
        </w:numPr>
        <w:spacing w:after="60" w:line="264"/>
      </w:pPr>
      <w:r>
        <w:t xml:space="preserve">Every source in </w:t>
      </w:r>
      <w:r>
        <w:rPr>
          <w:rFonts w:ascii="Courier New" w:cs="Courier New" w:eastAsia="Courier New" w:hAnsi="Courier New"/>
          <w:color w:val="7B241C"/>
          <w:sz w:val="19"/>
          <w:szCs w:val="19"/>
        </w:rPr>
        <w:t xml:space="preserve">sources.csv</w:t>
      </w:r>
      <w:r>
        <w:t xml:space="preserve"> is in the bibliography, and </w:t>
      </w:r>
      <w:r>
        <w:rPr>
          <w:rFonts w:ascii="Courier New" w:cs="Courier New" w:eastAsia="Courier New" w:hAnsi="Courier New"/>
          <w:color w:val="7B241C"/>
          <w:sz w:val="19"/>
          <w:szCs w:val="19"/>
        </w:rPr>
        <w:t xml:space="preserve">sources.csv</w:t>
      </w:r>
      <w:r>
        <w:t xml:space="preserve"> is printed in the annexure.</w:t>
      </w:r>
    </w:p>
    <w:p>
      <w:pPr>
        <w:pStyle w:val="ListParagraph"/>
        <w:numPr>
          <w:ilvl w:val="0"/>
          <w:numId w:val="3"/>
        </w:numPr>
        <w:spacing w:after="60" w:line="264"/>
      </w:pPr>
      <w:r>
        <w:t xml:space="preserve">No synthetic number (anything with SYN or from </w:t>
      </w:r>
      <w:r>
        <w:rPr>
          <w:rFonts w:ascii="Courier New" w:cs="Courier New" w:eastAsia="Courier New" w:hAnsi="Courier New"/>
          <w:color w:val="7B241C"/>
          <w:sz w:val="19"/>
          <w:szCs w:val="19"/>
        </w:rPr>
        <w:t xml:space="preserve">outputs/sample/</w:t>
      </w:r>
      <w:r>
        <w:t xml:space="preserve">) appears in the report or slides.</w:t>
      </w:r>
    </w:p>
    <w:p>
      <w:pPr>
        <w:pStyle w:val="ListParagraph"/>
        <w:numPr>
          <w:ilvl w:val="0"/>
          <w:numId w:val="3"/>
        </w:numPr>
        <w:spacing w:after="60" w:line="264"/>
      </w:pPr>
      <w:r>
        <w:t xml:space="preserve">Every number in Chapters 6, 11 and 12 can be found in </w:t>
      </w:r>
      <w:r>
        <w:rPr>
          <w:rFonts w:ascii="Courier New" w:cs="Courier New" w:eastAsia="Courier New" w:hAnsi="Courier New"/>
          <w:color w:val="7B241C"/>
          <w:sz w:val="19"/>
          <w:szCs w:val="19"/>
        </w:rPr>
        <w:t xml:space="preserve">outputs/real/</w:t>
      </w:r>
      <w:r>
        <w:t xml:space="preserve"> or in a source file.</w:t>
      </w:r>
    </w:p>
    <w:p>
      <w:pPr>
        <w:pStyle w:val="ListParagraph"/>
        <w:numPr>
          <w:ilvl w:val="0"/>
          <w:numId w:val="3"/>
        </w:numPr>
        <w:spacing w:after="60" w:line="264"/>
      </w:pPr>
      <w:r>
        <w:t xml:space="preserve">Rating rows carry the press-release URL; you can open any one of them in the viva.</w:t>
      </w:r>
    </w:p>
    <w:p>
      <w:pPr>
        <w:pStyle w:val="ListParagraph"/>
        <w:numPr>
          <w:ilvl w:val="0"/>
          <w:numId w:val="3"/>
        </w:numPr>
        <w:spacing w:after="60" w:line="264"/>
      </w:pPr>
      <w:r>
        <w:t xml:space="preserve">No value in a downloaded file was edited; filtering and renaming are described in </w:t>
      </w:r>
      <w:r>
        <w:rPr>
          <w:rFonts w:ascii="Courier New" w:cs="Courier New" w:eastAsia="Courier New" w:hAnsi="Courier New"/>
          <w:color w:val="7B241C"/>
          <w:sz w:val="19"/>
          <w:szCs w:val="19"/>
        </w:rPr>
        <w:t xml:space="preserve">sources.csv</w:t>
      </w:r>
      <w:r>
        <w:t xml:space="preserve">.</w:t>
      </w:r>
    </w:p>
    <w:p>
      <w:pPr>
        <w:pStyle w:val="ListParagraph"/>
        <w:numPr>
          <w:ilvl w:val="0"/>
          <w:numId w:val="3"/>
        </w:numPr>
        <w:spacing w:after="60" w:line="264"/>
      </w:pPr>
      <w:r>
        <w:t xml:space="preserve">The methodology states: the G-sec source and compounding basis; the 5-bp tolerance; the windows; the benchmark; that the study is not investment advice.</w:t>
      </w:r>
    </w:p>
    <w:p>
      <w:pPr>
        <w:pStyle w:val="ListParagraph"/>
        <w:numPr>
          <w:ilvl w:val="0"/>
          <w:numId w:val="3"/>
        </w:numPr>
        <w:spacing w:after="60" w:line="264"/>
      </w:pPr>
      <w:r>
        <w:t xml:space="preserve">Chapter 9 lists the limitations (thin trading, small sample, selection of downgraded companies, investing.com if used).</w:t>
      </w:r>
    </w:p>
    <w:p>
      <w:pPr>
        <w:pStyle w:val="ListParagraph"/>
        <w:numPr>
          <w:ilvl w:val="0"/>
          <w:numId w:val="3"/>
        </w:numPr>
        <w:spacing w:after="60" w:line="264"/>
      </w:pPr>
      <w:r>
        <w:t xml:space="preserve">The report is written in your own words (similarity index 20% or lower).</w:t>
      </w:r>
    </w:p>
    <w:p>
      <w:pPr>
        <w:pStyle w:val="ListParagraph"/>
        <w:numPr>
          <w:ilvl w:val="0"/>
          <w:numId w:val="3"/>
        </w:numPr>
        <w:spacing w:after="60" w:line="264"/>
      </w:pPr>
      <w:r>
        <w:t xml:space="preserve">The project is in a public GitHub repository, with commits made by you as you work (do not backdate).</w:t>
      </w:r>
    </w:p>
    <w:p>
      <w:pPr>
        <w:pStyle w:val="Heading1"/>
        <w:pageBreakBefore/>
      </w:pPr>
      <w:bookmarkStart w:name="_Toc30" w:id="30"/>
      <w:r>
        <w:t xml:space="preserve">10. When to ask for help, and what to send</w:t>
      </w:r>
      <w:bookmarkEnd w:id="30"/>
    </w:p>
    <w:p>
      <w:pPr>
        <w:spacing w:after="120" w:line="276"/>
      </w:pPr>
      <w:r>
        <w:t xml:space="preserve">You can do everything above yourselves. Ask for help only if a step fails and Section 8 doesn’t solve it. To fix it quickly, send:</w:t>
      </w:r>
    </w:p>
    <w:p>
      <w:pPr>
        <w:pStyle w:val="ListParagraph"/>
        <w:numPr>
          <w:ilvl w:val="0"/>
          <w:numId w:val="3"/>
        </w:numPr>
        <w:spacing w:after="60" w:line="264"/>
      </w:pPr>
      <w:r>
        <w:t xml:space="preserve">the </w:t>
      </w:r>
      <w:r>
        <w:rPr>
          <w:b/>
          <w:bCs/>
        </w:rPr>
        <w:t xml:space="preserve">exact error message</w:t>
      </w:r>
      <w:r>
        <w:t xml:space="preserve"> (copy the last 15 lines from the terminal);</w:t>
      </w:r>
    </w:p>
    <w:p>
      <w:pPr>
        <w:pStyle w:val="ListParagraph"/>
        <w:numPr>
          <w:ilvl w:val="0"/>
          <w:numId w:val="3"/>
        </w:numPr>
        <w:spacing w:after="60" w:line="264"/>
      </w:pPr>
      <w:r>
        <w:t xml:space="preserve">the </w:t>
      </w:r>
      <w:r>
        <w:rPr>
          <w:b/>
          <w:bCs/>
        </w:rPr>
        <w:t xml:space="preserve">first 5 lines</w:t>
      </w:r>
      <w:r>
        <w:t xml:space="preserve"> of the file involved (open in a text editor and copy, or a screenshot of the Excel headers);</w:t>
      </w:r>
    </w:p>
    <w:p>
      <w:pPr>
        <w:pStyle w:val="ListParagraph"/>
        <w:numPr>
          <w:ilvl w:val="0"/>
          <w:numId w:val="3"/>
        </w:numPr>
        <w:spacing w:after="60" w:line="264"/>
      </w:pPr>
      <w:r>
        <w:t xml:space="preserve">for validation problems: </w:t>
      </w:r>
      <w:r>
        <w:rPr>
          <w:b/>
          <w:bCs/>
        </w:rPr>
        <w:t xml:space="preserve">one trade row</w:t>
      </w:r>
      <w:r>
        <w:t xml:space="preserve"> plus that bond’s coupon, maturity and frequency.</w:t>
      </w:r>
    </w:p>
    <w:p>
      <w:pPr>
        <w:spacing w:after="120" w:line="276"/>
      </w:pPr>
      <w:r>
        <w:t xml:space="preserve">Format problems are usually a two-minute change to the column mapping in </w:t>
      </w:r>
      <w:r>
        <w:rPr>
          <w:rFonts w:ascii="Courier New" w:cs="Courier New" w:eastAsia="Courier New" w:hAnsi="Courier New"/>
          <w:color w:val="7B241C"/>
          <w:sz w:val="19"/>
          <w:szCs w:val="19"/>
        </w:rPr>
        <w:t xml:space="preserve">ingest.py</w:t>
      </w:r>
      <w:r>
        <w:t xml:space="preserve">. Once the real results exist, I can also help you interpret them, draft Chapters 10–13 and build the slides from the figures.</w:t>
      </w:r>
    </w:p>
    <w:p>
      <w:pPr>
        <w:pStyle w:val="Heading1"/>
        <w:pageBreakBefore/>
      </w:pPr>
      <w:bookmarkStart w:name="_Toc31" w:id="31"/>
      <w:r>
        <w:t xml:space="preserve">11. From outputs to the report and the slides</w:t>
      </w:r>
      <w:bookmarkEnd w:id="31"/>
    </w:p>
    <w:p>
      <w:pPr>
        <w:pStyle w:val="Heading2"/>
      </w:pPr>
      <w:bookmarkStart w:name="_Toc32" w:id="32"/>
      <w:r>
        <w:t xml:space="preserve">11.1 Report chapters</w:t>
      </w:r>
      <w:bookmarkEnd w:id="3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5"/>
        <w:gridCol w:w="4613"/>
        <w:gridCol w:w="2408"/>
      </w:tblGrid>
      <w:tr>
        <w:trPr>
          <w:cantSplit/>
          <w:tblHeader/>
        </w:trPr>
        <w:tc>
          <w:tcPr>
            <w:tcW w:type="dxa" w:w="200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8"/>
                <w:szCs w:val="18"/>
              </w:rPr>
              <w:t xml:space="preserve">Chapter</w:t>
            </w:r>
          </w:p>
        </w:tc>
        <w:tc>
          <w:tcPr>
            <w:tcW w:type="dxa" w:w="461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8"/>
                <w:szCs w:val="18"/>
              </w:rPr>
              <w:t xml:space="preserve">What to write</w:t>
            </w:r>
          </w:p>
        </w:tc>
        <w:tc>
          <w:tcPr>
            <w:tcW w:type="dxa" w:w="240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8"/>
                <w:szCs w:val="18"/>
              </w:rPr>
              <w:t xml:space="preserve">Take it from</w:t>
            </w:r>
          </w:p>
        </w:tc>
      </w:tr>
      <w:tr>
        <w:trPr>
          <w:cantSplit/>
        </w:trPr>
        <w:tc>
          <w:tcPr>
            <w:tcW w:type="dxa" w:w="20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6. Executive summary</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The question; the verdict with its key number (mean widening, p-value, hit rate vs false alarm, median lead time)</w:t>
            </w:r>
          </w:p>
        </w:tc>
        <w:tc>
          <w:tcPr>
            <w:tcW w:type="dxa" w:w="24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color w:val="7B241C"/>
                <w:sz w:val="18"/>
                <w:szCs w:val="18"/>
              </w:rPr>
              <w:t xml:space="preserve">summary.json</w:t>
            </w:r>
            <w:r>
              <w:rPr>
                <w:sz w:val="18"/>
                <w:szCs w:val="18"/>
              </w:rPr>
              <w:t xml:space="preserve">, app tab 1</w:t>
            </w:r>
          </w:p>
        </w:tc>
      </w:tr>
      <w:tr>
        <w:trPr>
          <w:cantSplit/>
        </w:trPr>
        <w:tc>
          <w:tcPr>
            <w:tcW w:type="dxa" w:w="20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7. Introduction</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How credit monitoring is done today (agency ratings, analyst watch lists); why timeliness matters (IL&amp;FS 2018)</w:t>
            </w:r>
          </w:p>
        </w:tc>
        <w:tc>
          <w:tcPr>
            <w:tcW w:type="dxa" w:w="24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Desk research, cited</w:t>
            </w:r>
          </w:p>
        </w:tc>
      </w:tr>
      <w:tr>
        <w:trPr>
          <w:cantSplit/>
        </w:trPr>
        <w:tc>
          <w:tcPr>
            <w:tcW w:type="dxa" w:w="20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8. Objectives</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The research question exactly as printed; sub-objectives: measure spreads, validate them, test pre-downgrade widening, build the transition matrix</w:t>
            </w:r>
          </w:p>
        </w:tc>
        <w:tc>
          <w:tcPr>
            <w:tcW w:type="dxa" w:w="24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Capstone brief</w:t>
            </w:r>
          </w:p>
        </w:tc>
      </w:tr>
      <w:tr>
        <w:trPr>
          <w:cantSplit/>
        </w:trPr>
        <w:tc>
          <w:tcPr>
            <w:tcW w:type="dxa" w:w="20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9. Scope &amp; limitations</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Period, 24 companies, thin trading, cohort method, LGD assumption, data source caveats</w:t>
            </w:r>
          </w:p>
        </w:tc>
        <w:tc>
          <w:tcPr>
            <w:tcW w:type="dxa" w:w="24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color w:val="7B241C"/>
                <w:sz w:val="18"/>
                <w:szCs w:val="18"/>
              </w:rPr>
              <w:t xml:space="preserve">assumptions.md</w:t>
            </w:r>
            <w:r>
              <w:rPr>
                <w:sz w:val="18"/>
                <w:szCs w:val="18"/>
              </w:rPr>
              <w:t xml:space="preserve">, </w:t>
            </w:r>
            <w:r>
              <w:rPr>
                <w:rFonts w:ascii="Courier New" w:cs="Courier New" w:eastAsia="Courier New" w:hAnsi="Courier New"/>
                <w:color w:val="7B241C"/>
                <w:sz w:val="18"/>
                <w:szCs w:val="18"/>
              </w:rPr>
              <w:t xml:space="preserve">governance.md</w:t>
            </w:r>
            <w:r>
              <w:rPr>
                <w:sz w:val="18"/>
                <w:szCs w:val="18"/>
              </w:rPr>
              <w:t xml:space="preserve"> §5</w:t>
            </w:r>
          </w:p>
        </w:tc>
      </w:tr>
      <w:tr>
        <w:trPr>
          <w:cantSplit/>
        </w:trPr>
        <w:tc>
          <w:tcPr>
            <w:tcW w:type="dxa" w:w="20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10. Methodology</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The five layers; data sources; sample selection rules (Section 4); validation design; event-study design; extraction accuracy</w:t>
            </w:r>
          </w:p>
        </w:tc>
        <w:tc>
          <w:tcPr>
            <w:tcW w:type="dxa" w:w="24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Sections 3–5 of this guide, </w:t>
            </w:r>
            <w:r>
              <w:rPr>
                <w:rFonts w:ascii="Courier New" w:cs="Courier New" w:eastAsia="Courier New" w:hAnsi="Courier New"/>
                <w:color w:val="7B241C"/>
                <w:sz w:val="18"/>
                <w:szCs w:val="18"/>
              </w:rPr>
              <w:t xml:space="preserve">sources.csv</w:t>
            </w:r>
          </w:p>
        </w:tc>
      </w:tr>
      <w:tr>
        <w:trPr>
          <w:cantSplit/>
        </w:trPr>
        <w:tc>
          <w:tcPr>
            <w:tcW w:type="dxa" w:w="20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11. Analysis (10 marks, the longest)</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Validation result + Figure 4; spread behaviour; event study Figure 1 + test table; sensitivity table; transition matrix Figure 3 vs CRISIL’s; implied vs historical PD Figure 5</w:t>
            </w:r>
          </w:p>
        </w:tc>
        <w:tc>
          <w:tcPr>
            <w:tcW w:type="dxa" w:w="24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color w:val="7B241C"/>
                <w:sz w:val="18"/>
                <w:szCs w:val="18"/>
              </w:rPr>
              <w:t xml:space="preserve">outputs/real/</w:t>
            </w:r>
            <w:r>
              <w:rPr>
                <w:sz w:val="18"/>
                <w:szCs w:val="18"/>
              </w:rPr>
              <w:t xml:space="preserve"> tables and </w:t>
            </w:r>
            <w:r>
              <w:rPr>
                <w:rFonts w:ascii="Courier New" w:cs="Courier New" w:eastAsia="Courier New" w:hAnsi="Courier New"/>
                <w:color w:val="7B241C"/>
                <w:sz w:val="18"/>
                <w:szCs w:val="18"/>
              </w:rPr>
              <w:t xml:space="preserve">figures/</w:t>
            </w:r>
          </w:p>
        </w:tc>
      </w:tr>
      <w:tr>
        <w:trPr>
          <w:cantSplit/>
        </w:trPr>
        <w:tc>
          <w:tcPr>
            <w:tcW w:type="dxa" w:w="20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12. Findings &amp; discussion</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The answer with its limits; one case study (Figure 2); what the PD gap means</w:t>
            </w:r>
          </w:p>
        </w:tc>
        <w:tc>
          <w:tcPr>
            <w:tcW w:type="dxa" w:w="24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color w:val="7B241C"/>
                <w:sz w:val="18"/>
                <w:szCs w:val="18"/>
              </w:rPr>
              <w:t xml:space="preserve">events.csv</w:t>
            </w:r>
            <w:r>
              <w:rPr>
                <w:sz w:val="18"/>
                <w:szCs w:val="18"/>
              </w:rPr>
              <w:t xml:space="preserve">, </w:t>
            </w:r>
            <w:r>
              <w:rPr>
                <w:rFonts w:ascii="Courier New" w:cs="Courier New" w:eastAsia="Courier New" w:hAnsi="Courier New"/>
                <w:color w:val="7B241C"/>
                <w:sz w:val="18"/>
                <w:szCs w:val="18"/>
              </w:rPr>
              <w:t xml:space="preserve">commentary.md</w:t>
            </w:r>
            <w:r>
              <w:rPr>
                <w:sz w:val="18"/>
                <w:szCs w:val="18"/>
              </w:rPr>
              <w:t xml:space="preserve"> (rewrite in your own words)</w:t>
            </w:r>
          </w:p>
        </w:tc>
      </w:tr>
      <w:tr>
        <w:trPr>
          <w:cantSplit/>
        </w:trPr>
        <w:tc>
          <w:tcPr>
            <w:tcW w:type="dxa" w:w="20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13. Conclusion &amp; suggestions</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What a fund/treasury desk should do: use spread-based early warning alongside ratings; cost is near zero (free data, open-source code)</w:t>
            </w:r>
          </w:p>
        </w:tc>
        <w:tc>
          <w:tcPr>
            <w:tcW w:type="dxa" w:w="24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Your interpretation</w:t>
            </w:r>
          </w:p>
        </w:tc>
      </w:tr>
      <w:tr>
        <w:trPr>
          <w:cantSplit/>
        </w:trPr>
        <w:tc>
          <w:tcPr>
            <w:tcW w:type="dxa" w:w="20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15. Annexures</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Generated annexure, app screenshots, repository link, </w:t>
            </w:r>
            <w:r>
              <w:rPr>
                <w:rFonts w:ascii="Courier New" w:cs="Courier New" w:eastAsia="Courier New" w:hAnsi="Courier New"/>
                <w:color w:val="7B241C"/>
                <w:sz w:val="18"/>
                <w:szCs w:val="18"/>
              </w:rPr>
              <w:t xml:space="preserve">sources.csv</w:t>
            </w:r>
          </w:p>
        </w:tc>
        <w:tc>
          <w:tcPr>
            <w:tcW w:type="dxa" w:w="24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color w:val="7B241C"/>
                <w:sz w:val="18"/>
                <w:szCs w:val="18"/>
              </w:rPr>
              <w:t xml:space="preserve">SpreadWatch_Annexure.html</w:t>
            </w:r>
            <w:r>
              <w:rPr>
                <w:sz w:val="18"/>
                <w:szCs w:val="18"/>
              </w:rPr>
              <w:t xml:space="preserve"> (print to PDF)</w:t>
            </w:r>
          </w:p>
        </w:tc>
      </w:tr>
    </w:tbl>
    <w:p>
      <w:pPr>
        <w:spacing w:after="120"/>
      </w:pPr>
    </w:p>
    <w:p>
      <w:pPr>
        <w:pStyle w:val="Heading2"/>
      </w:pPr>
      <w:bookmarkStart w:name="_Toc33" w:id="33"/>
      <w:r>
        <w:t xml:space="preserve">11.2 Ten-slide deck</w:t>
      </w:r>
      <w:bookmarkEnd w:id="33"/>
    </w:p>
    <w:p>
      <w:pPr>
        <w:pStyle w:val="ListParagraph"/>
        <w:numPr>
          <w:ilvl w:val="0"/>
          <w:numId w:val="7"/>
        </w:numPr>
        <w:spacing w:after="80" w:line="264"/>
      </w:pPr>
      <w:r>
        <w:t xml:space="preserve">Title, group, research question</w:t>
      </w:r>
    </w:p>
    <w:p>
      <w:pPr>
        <w:pStyle w:val="ListParagraph"/>
        <w:numPr>
          <w:ilvl w:val="0"/>
          <w:numId w:val="7"/>
        </w:numPr>
        <w:spacing w:after="80" w:line="264"/>
      </w:pPr>
      <w:r>
        <w:t xml:space="preserve">Why it matters: the IL&amp;FS 2018 episode and the role of ratings in investment mandates</w:t>
      </w:r>
    </w:p>
    <w:p>
      <w:pPr>
        <w:pStyle w:val="ListParagraph"/>
        <w:numPr>
          <w:ilvl w:val="0"/>
          <w:numId w:val="7"/>
        </w:numPr>
        <w:spacing w:after="80" w:line="264"/>
      </w:pPr>
      <w:r>
        <w:t xml:space="preserve">Data sources and sample (the 24 companies, the period, </w:t>
      </w:r>
      <w:r>
        <w:rPr>
          <w:rFonts w:ascii="Courier New" w:cs="Courier New" w:eastAsia="Courier New" w:hAnsi="Courier New"/>
          <w:color w:val="7B241C"/>
          <w:sz w:val="19"/>
          <w:szCs w:val="19"/>
        </w:rPr>
        <w:t xml:space="preserve">sources.csv</w:t>
      </w:r>
      <w:r>
        <w:t xml:space="preserve">)</w:t>
      </w:r>
    </w:p>
    <w:p>
      <w:pPr>
        <w:pStyle w:val="ListParagraph"/>
        <w:numPr>
          <w:ilvl w:val="0"/>
          <w:numId w:val="7"/>
        </w:numPr>
        <w:spacing w:after="80" w:line="264"/>
      </w:pPr>
      <w:r>
        <w:t xml:space="preserve">The system: five layers, one diagram</w:t>
      </w:r>
    </w:p>
    <w:p>
      <w:pPr>
        <w:pStyle w:val="ListParagraph"/>
        <w:numPr>
          <w:ilvl w:val="0"/>
          <w:numId w:val="7"/>
        </w:numPr>
        <w:spacing w:after="80" w:line="264"/>
      </w:pPr>
      <w:r>
        <w:t xml:space="preserve">Validation: recomputed vs printed yield (Figure 4)</w:t>
      </w:r>
    </w:p>
    <w:p>
      <w:pPr>
        <w:pStyle w:val="ListParagraph"/>
        <w:numPr>
          <w:ilvl w:val="0"/>
          <w:numId w:val="7"/>
        </w:numPr>
        <w:spacing w:after="80" w:line="264"/>
      </w:pPr>
      <w:r>
        <w:t xml:space="preserve">The answer: event-study chart (Figure 1) and verdict</w:t>
      </w:r>
    </w:p>
    <w:p>
      <w:pPr>
        <w:pStyle w:val="ListParagraph"/>
        <w:numPr>
          <w:ilvl w:val="0"/>
          <w:numId w:val="7"/>
        </w:numPr>
        <w:spacing w:after="80" w:line="264"/>
      </w:pPr>
      <w:r>
        <w:t xml:space="preserve">Robustness: the sensitivity table</w:t>
      </w:r>
    </w:p>
    <w:p>
      <w:pPr>
        <w:pStyle w:val="ListParagraph"/>
        <w:numPr>
          <w:ilvl w:val="0"/>
          <w:numId w:val="7"/>
        </w:numPr>
        <w:spacing w:after="80" w:line="264"/>
      </w:pPr>
      <w:r>
        <w:t xml:space="preserve">Rating migration: transition matrix (Figure 3) and implied vs historical PD (Figure 5)</w:t>
      </w:r>
    </w:p>
    <w:p>
      <w:pPr>
        <w:pStyle w:val="ListParagraph"/>
        <w:numPr>
          <w:ilvl w:val="0"/>
          <w:numId w:val="7"/>
        </w:numPr>
        <w:spacing w:after="80" w:line="264"/>
      </w:pPr>
      <w:r>
        <w:t xml:space="preserve">Case study: one company (Figure 2) and the agency’s stated reason</w:t>
      </w:r>
    </w:p>
    <w:p>
      <w:pPr>
        <w:pStyle w:val="ListParagraph"/>
        <w:numPr>
          <w:ilvl w:val="0"/>
          <w:numId w:val="7"/>
        </w:numPr>
        <w:spacing w:after="80" w:line="264"/>
      </w:pPr>
      <w:r>
        <w:t xml:space="preserve">Conclusions, limitations, recommendation, disclaimer</w:t>
      </w:r>
    </w:p>
    <w:p>
      <w:pPr>
        <w:pStyle w:val="Heading1"/>
        <w:pageBreakBefore/>
      </w:pPr>
      <w:bookmarkStart w:name="_Toc34" w:id="34"/>
      <w:r>
        <w:t xml:space="preserve">Appendix A. Source directory</w:t>
      </w:r>
      <w:bookmarkEnd w:id="3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4312"/>
        <w:gridCol w:w="2007"/>
      </w:tblGrid>
      <w:tr>
        <w:trPr>
          <w:cantSplit/>
          <w:tblHeader/>
        </w:trPr>
        <w:tc>
          <w:tcPr>
            <w:tcW w:type="dxa" w:w="270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6"/>
                <w:szCs w:val="16"/>
              </w:rPr>
              <w:t xml:space="preserve">Source</w:t>
            </w:r>
          </w:p>
        </w:tc>
        <w:tc>
          <w:tcPr>
            <w:tcW w:type="dxa" w:w="431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6"/>
                <w:szCs w:val="16"/>
              </w:rPr>
              <w:t xml:space="preserve">URL</w:t>
            </w:r>
          </w:p>
        </w:tc>
        <w:tc>
          <w:tcPr>
            <w:tcW w:type="dxa" w:w="200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6"/>
                <w:szCs w:val="16"/>
              </w:rPr>
              <w:t xml:space="preserve">Used for</w:t>
            </w:r>
          </w:p>
        </w:tc>
      </w:tr>
      <w:tr>
        <w:trPr>
          <w:cantSplit/>
        </w:trP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NSE – Security-wise trades (corporate bonds)</w:t>
            </w:r>
          </w:p>
        </w:tc>
        <w:tc>
          <w:tcPr>
            <w:tcW w:type="dxa" w:w="43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hyperlink w:history="1" r:id="rIdfgfhdagejdwbbr0auhfw7">
              <w:r>
                <w:rPr>
                  <w:rStyle w:val="Hyperlink"/>
                  <w:sz w:val="16"/>
                  <w:szCs w:val="16"/>
                </w:rPr>
                <w:t xml:space="preserve">https://www.nseindia.com/historical/security-wise-trades-data</w:t>
              </w:r>
            </w:hyperlink>
          </w:p>
        </w:tc>
        <w:tc>
          <w:tcPr>
            <w:tcW w:type="dxa" w:w="20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Bond trades by ISIN</w:t>
            </w:r>
          </w:p>
        </w:tc>
      </w:tr>
      <w:tr>
        <w:trPr>
          <w:cantSplit/>
        </w:trP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NSE – Historical trade reporting (NTRP + CBRICS)</w:t>
            </w:r>
          </w:p>
        </w:tc>
        <w:tc>
          <w:tcPr>
            <w:tcW w:type="dxa" w:w="43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hyperlink w:history="1" r:id="rIdcs_1tj4ckec7nf-zpq0qv">
              <w:r>
                <w:rPr>
                  <w:rStyle w:val="Hyperlink"/>
                  <w:sz w:val="16"/>
                  <w:szCs w:val="16"/>
                </w:rPr>
                <w:t xml:space="preserve">https://www.nseindia.com/report-detail/cbm-trades-archives</w:t>
              </w:r>
            </w:hyperlink>
          </w:p>
        </w:tc>
        <w:tc>
          <w:tcPr>
            <w:tcW w:type="dxa" w:w="20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Bond trades by date range</w:t>
            </w:r>
          </w:p>
        </w:tc>
      </w:tr>
      <w:tr>
        <w:trPr>
          <w:cantSplit/>
        </w:trP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BSE</w:t>
            </w:r>
          </w:p>
        </w:tc>
        <w:tc>
          <w:tcPr>
            <w:tcW w:type="dxa" w:w="43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hyperlink w:history="1" r:id="rIdf3dyymolaxgtzrreosa0q">
              <w:r>
                <w:rPr>
                  <w:rStyle w:val="Hyperlink"/>
                  <w:sz w:val="16"/>
                  <w:szCs w:val="16"/>
                </w:rPr>
                <w:t xml:space="preserve">https://www.bseindia.com</w:t>
              </w:r>
            </w:hyperlink>
          </w:p>
        </w:tc>
        <w:tc>
          <w:tcPr>
            <w:tcW w:type="dxa" w:w="20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Alternative trade data; company rating disclosures</w:t>
            </w:r>
          </w:p>
        </w:tc>
      </w:tr>
      <w:tr>
        <w:trPr>
          <w:cantSplit/>
        </w:trP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FBIL</w:t>
            </w:r>
          </w:p>
        </w:tc>
        <w:tc>
          <w:tcPr>
            <w:tcW w:type="dxa" w:w="43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hyperlink w:history="1" r:id="rId4ez7o48ktdqq322kymfia">
              <w:r>
                <w:rPr>
                  <w:rStyle w:val="Hyperlink"/>
                  <w:sz w:val="16"/>
                  <w:szCs w:val="16"/>
                </w:rPr>
                <w:t xml:space="preserve">https://www.fbil.org.in</w:t>
              </w:r>
            </w:hyperlink>
          </w:p>
        </w:tc>
        <w:tc>
          <w:tcPr>
            <w:tcW w:type="dxa" w:w="20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G-sec par yield curve (official)</w:t>
            </w:r>
          </w:p>
        </w:tc>
      </w:tr>
      <w:tr>
        <w:trPr>
          <w:cantSplit/>
        </w:trP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investing.com</w:t>
            </w:r>
          </w:p>
        </w:tc>
        <w:tc>
          <w:tcPr>
            <w:tcW w:type="dxa" w:w="43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hyperlink w:history="1" r:id="rIdim18y6_uw_8ffglhww1zn">
              <w:r>
                <w:rPr>
                  <w:rStyle w:val="Hyperlink"/>
                  <w:sz w:val="16"/>
                  <w:szCs w:val="16"/>
                </w:rPr>
                <w:t xml:space="preserve">https://www.investing.com</w:t>
              </w:r>
            </w:hyperlink>
          </w:p>
        </w:tc>
        <w:tc>
          <w:tcPr>
            <w:tcW w:type="dxa" w:w="20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G-sec yields by maturity (fallback)</w:t>
            </w:r>
          </w:p>
        </w:tc>
      </w:tr>
      <w:tr>
        <w:trPr>
          <w:cantSplit/>
        </w:trP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NSDL India Bond Info</w:t>
            </w:r>
          </w:p>
        </w:tc>
        <w:tc>
          <w:tcPr>
            <w:tcW w:type="dxa" w:w="43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hyperlink w:history="1" r:id="rIddumfvo9vve5vteing7_7s">
              <w:r>
                <w:rPr>
                  <w:rStyle w:val="Hyperlink"/>
                  <w:sz w:val="16"/>
                  <w:szCs w:val="16"/>
                </w:rPr>
                <w:t xml:space="preserve">https://www.indiabondinfo.nsdl.com</w:t>
              </w:r>
            </w:hyperlink>
          </w:p>
        </w:tc>
        <w:tc>
          <w:tcPr>
            <w:tcW w:type="dxa" w:w="20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ISIN, coupon, maturity, frequency</w:t>
            </w:r>
          </w:p>
        </w:tc>
      </w:tr>
      <w:tr>
        <w:trPr>
          <w:cantSplit/>
        </w:trP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CRISIL Ratings</w:t>
            </w:r>
          </w:p>
        </w:tc>
        <w:tc>
          <w:tcPr>
            <w:tcW w:type="dxa" w:w="43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hyperlink w:history="1" r:id="rId41ghxrflhre0qsyrkrrni">
              <w:r>
                <w:rPr>
                  <w:rStyle w:val="Hyperlink"/>
                  <w:sz w:val="16"/>
                  <w:szCs w:val="16"/>
                </w:rPr>
                <w:t xml:space="preserve">https://www.crisilratings.com</w:t>
              </w:r>
            </w:hyperlink>
          </w:p>
        </w:tc>
        <w:tc>
          <w:tcPr>
            <w:tcW w:type="dxa" w:w="20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Rating rationales</w:t>
            </w:r>
          </w:p>
        </w:tc>
      </w:tr>
      <w:tr>
        <w:trPr>
          <w:cantSplit/>
        </w:trP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ICRA</w:t>
            </w:r>
          </w:p>
        </w:tc>
        <w:tc>
          <w:tcPr>
            <w:tcW w:type="dxa" w:w="43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hyperlink w:history="1" r:id="rIdyfpvurtj20erkzxfp5vam">
              <w:r>
                <w:rPr>
                  <w:rStyle w:val="Hyperlink"/>
                  <w:sz w:val="16"/>
                  <w:szCs w:val="16"/>
                </w:rPr>
                <w:t xml:space="preserve">https://www.icra.in</w:t>
              </w:r>
            </w:hyperlink>
          </w:p>
        </w:tc>
        <w:tc>
          <w:tcPr>
            <w:tcW w:type="dxa" w:w="20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Rating rationales</w:t>
            </w:r>
          </w:p>
        </w:tc>
      </w:tr>
      <w:tr>
        <w:trPr>
          <w:cantSplit/>
        </w:trP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CARE Ratings</w:t>
            </w:r>
          </w:p>
        </w:tc>
        <w:tc>
          <w:tcPr>
            <w:tcW w:type="dxa" w:w="43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hyperlink w:history="1" r:id="rIdlovptdgvnrdmgiml6z6vk">
              <w:r>
                <w:rPr>
                  <w:rStyle w:val="Hyperlink"/>
                  <w:sz w:val="16"/>
                  <w:szCs w:val="16"/>
                </w:rPr>
                <w:t xml:space="preserve">https://www.careratings.com</w:t>
              </w:r>
            </w:hyperlink>
          </w:p>
        </w:tc>
        <w:tc>
          <w:tcPr>
            <w:tcW w:type="dxa" w:w="20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Rating rationales</w:t>
            </w:r>
          </w:p>
        </w:tc>
      </w:tr>
      <w:tr>
        <w:trPr>
          <w:cantSplit/>
        </w:trP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India Ratings &amp; Research</w:t>
            </w:r>
          </w:p>
        </w:tc>
        <w:tc>
          <w:tcPr>
            <w:tcW w:type="dxa" w:w="43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hyperlink w:history="1" r:id="rIdccgdogteb8eg1ygctitea">
              <w:r>
                <w:rPr>
                  <w:rStyle w:val="Hyperlink"/>
                  <w:sz w:val="16"/>
                  <w:szCs w:val="16"/>
                </w:rPr>
                <w:t xml:space="preserve">https://www.indiaratings.co.in</w:t>
              </w:r>
            </w:hyperlink>
          </w:p>
        </w:tc>
        <w:tc>
          <w:tcPr>
            <w:tcW w:type="dxa" w:w="20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Rating rationales</w:t>
            </w:r>
          </w:p>
        </w:tc>
      </w:tr>
      <w:tr>
        <w:trPr>
          <w:cantSplit/>
        </w:trP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Acuité Ratings</w:t>
            </w:r>
          </w:p>
        </w:tc>
        <w:tc>
          <w:tcPr>
            <w:tcW w:type="dxa" w:w="43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hyperlink w:history="1" r:id="rIdgk0ajde3dki9u3ehg8_4l">
              <w:r>
                <w:rPr>
                  <w:rStyle w:val="Hyperlink"/>
                  <w:sz w:val="16"/>
                  <w:szCs w:val="16"/>
                </w:rPr>
                <w:t xml:space="preserve">https://www.acuite.in</w:t>
              </w:r>
            </w:hyperlink>
          </w:p>
        </w:tc>
        <w:tc>
          <w:tcPr>
            <w:tcW w:type="dxa" w:w="20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Rating rationales (Srei)</w:t>
            </w:r>
          </w:p>
        </w:tc>
      </w:tr>
      <w:tr>
        <w:trPr>
          <w:cantSplit/>
        </w:trP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Axis Trustee (debenture trustee)</w:t>
            </w:r>
          </w:p>
        </w:tc>
        <w:tc>
          <w:tcPr>
            <w:tcW w:type="dxa" w:w="43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hyperlink w:history="1" r:id="rId4zw0l1jomh819tx3z9wx4">
              <w:r>
                <w:rPr>
                  <w:rStyle w:val="Hyperlink"/>
                  <w:sz w:val="16"/>
                  <w:szCs w:val="16"/>
                </w:rPr>
                <w:t xml:space="preserve">https://www.axistrustee.in</w:t>
              </w:r>
            </w:hyperlink>
          </w:p>
        </w:tc>
        <w:tc>
          <w:tcPr>
            <w:tcW w:type="dxa" w:w="20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Backup copies of rating letters</w:t>
            </w:r>
          </w:p>
        </w:tc>
      </w:tr>
      <w:tr>
        <w:trPr>
          <w:cantSplit/>
        </w:trP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CRISIL default &amp; transition study FY2024</w:t>
            </w:r>
          </w:p>
        </w:tc>
        <w:tc>
          <w:tcPr>
            <w:tcW w:type="dxa" w:w="43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hyperlink w:history="1" r:id="rIdhiqeziosjmuao_5pd1xmy">
              <w:r>
                <w:rPr>
                  <w:rStyle w:val="Hyperlink"/>
                  <w:sz w:val="16"/>
                  <w:szCs w:val="16"/>
                </w:rPr>
                <w:t xml:space="preserve">https://crisil.com/content/dam/crisil/our-analysis/publications/default-study/crisil-ratings-annual-default-and-ratings-transition-study-fy-2024.pdf</w:t>
              </w:r>
            </w:hyperlink>
          </w:p>
        </w:tc>
        <w:tc>
          <w:tcPr>
            <w:tcW w:type="dxa" w:w="20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Benchmark transition matrix</w:t>
            </w:r>
          </w:p>
        </w:tc>
      </w:tr>
      <w:tr>
        <w:trPr>
          <w:cantSplit/>
        </w:trPr>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SEBI</w:t>
            </w:r>
          </w:p>
        </w:tc>
        <w:tc>
          <w:tcPr>
            <w:tcW w:type="dxa" w:w="43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hyperlink w:history="1" r:id="rIdmmu0m8cnptr3k2wijffkm">
              <w:r>
                <w:rPr>
                  <w:rStyle w:val="Hyperlink"/>
                  <w:sz w:val="16"/>
                  <w:szCs w:val="16"/>
                </w:rPr>
                <w:t xml:space="preserve">https://www.sebi.gov.in</w:t>
              </w:r>
            </w:hyperlink>
          </w:p>
        </w:tc>
        <w:tc>
          <w:tcPr>
            <w:tcW w:type="dxa" w:w="20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6"/>
                <w:szCs w:val="16"/>
              </w:rPr>
              <w:t xml:space="preserve">CRA Regulations 1999, LODR, Research Analyst Regulations 2014 (cite in Ch. 7/9)</w:t>
            </w:r>
          </w:p>
        </w:tc>
      </w:tr>
    </w:tbl>
    <w:p>
      <w:pPr>
        <w:spacing w:after="120"/>
      </w:pPr>
    </w:p>
    <w:p>
      <w:pPr>
        <w:spacing w:after="120" w:line="276"/>
      </w:pPr>
      <w:r>
        <w:t xml:space="preserve">Website menus change. If a link has moved, search the site for the page name given in Section 5, and record the URL you actually used.</w:t>
      </w:r>
    </w:p>
    <w:p>
      <w:pPr>
        <w:pStyle w:val="Heading1"/>
        <w:pageBreakBefore/>
      </w:pPr>
      <w:bookmarkStart w:name="_Toc35" w:id="35"/>
      <w:r>
        <w:t xml:space="preserve">Appendix B. Folder and column reference</w:t>
      </w:r>
      <w:bookmarkEnd w:id="3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2707"/>
        <w:gridCol w:w="4113"/>
      </w:tblGrid>
      <w:tr>
        <w:trPr>
          <w:cantSplit/>
          <w:tblHeader/>
        </w:trPr>
        <w:tc>
          <w:tcPr>
            <w:tcW w:type="dxa" w:w="220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8"/>
                <w:szCs w:val="18"/>
              </w:rPr>
              <w:t xml:space="preserve">Folder</w:t>
            </w:r>
          </w:p>
        </w:tc>
        <w:tc>
          <w:tcPr>
            <w:tcW w:type="dxa" w:w="270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8"/>
                <w:szCs w:val="18"/>
              </w:rPr>
              <w:t xml:space="preserve">File(s)</w:t>
            </w:r>
          </w:p>
        </w:tc>
        <w:tc>
          <w:tcPr>
            <w:tcW w:type="dxa" w:w="411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8"/>
                <w:szCs w:val="18"/>
              </w:rPr>
              <w:t xml:space="preserve">Columns the model needs</w:t>
            </w:r>
          </w:p>
        </w:tc>
      </w:tr>
      <w:tr>
        <w:trPr>
          <w:cantSplit/>
        </w:trP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color w:val="7B241C"/>
                <w:sz w:val="18"/>
                <w:szCs w:val="18"/>
              </w:rPr>
              <w:t xml:space="preserve">data/raw/ratings/</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rating_actions_*.csv</w:t>
            </w:r>
          </w:p>
        </w:tc>
        <w:tc>
          <w:tcPr>
            <w:tcW w:type="dxa" w:w="41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issuer, agency, action_date, rating_to (+ rating_from, instrument, outlook, url)</w:t>
            </w:r>
          </w:p>
        </w:tc>
      </w:tr>
      <w:tr>
        <w:trPr>
          <w:cantSplit/>
        </w:trP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color w:val="7B241C"/>
                <w:sz w:val="18"/>
                <w:szCs w:val="18"/>
              </w:rPr>
              <w:t xml:space="preserve">data/raw/master/</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bond_master.csv</w:t>
            </w:r>
          </w:p>
        </w:tc>
        <w:tc>
          <w:tcPr>
            <w:tcW w:type="dxa" w:w="41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isin, issuer, coupon_pct, maturity_date, coupon_freq</w:t>
            </w:r>
          </w:p>
        </w:tc>
      </w:tr>
      <w:tr>
        <w:trPr>
          <w:cantSplit/>
        </w:trP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color w:val="7B241C"/>
                <w:sz w:val="18"/>
                <w:szCs w:val="18"/>
              </w:rPr>
              <w:t xml:space="preserve">data/raw/trades/</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one or more trade files</w:t>
            </w:r>
          </w:p>
        </w:tc>
        <w:tc>
          <w:tcPr>
            <w:tcW w:type="dxa" w:w="41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trade date, ISIN, price (+ yield, value; coupon/maturity if no master)</w:t>
            </w:r>
          </w:p>
        </w:tc>
      </w:tr>
      <w:tr>
        <w:trPr>
          <w:cantSplit/>
        </w:trP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color w:val="7B241C"/>
                <w:sz w:val="18"/>
                <w:szCs w:val="18"/>
              </w:rPr>
              <w:t xml:space="preserve">data/raw/gsec/</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curve file(s)</w:t>
            </w:r>
          </w:p>
        </w:tc>
        <w:tc>
          <w:tcPr>
            <w:tcW w:type="dxa" w:w="41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date + one column per maturity, or date, tenor, yield</w:t>
            </w:r>
          </w:p>
        </w:tc>
      </w:tr>
      <w:tr>
        <w:trPr>
          <w:cantSplit/>
        </w:trP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color w:val="7B241C"/>
                <w:sz w:val="18"/>
                <w:szCs w:val="18"/>
              </w:rPr>
              <w:t xml:space="preserve">data/raw/gsec_tenors/</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per-maturity files (Option B only)</w:t>
            </w:r>
          </w:p>
        </w:tc>
        <w:tc>
          <w:tcPr>
            <w:tcW w:type="dxa" w:w="41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Date, Price (maturity in the file name)</w:t>
            </w:r>
          </w:p>
        </w:tc>
      </w:tr>
      <w:tr>
        <w:trPr>
          <w:cantSplit/>
        </w:trP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color w:val="7B241C"/>
                <w:sz w:val="18"/>
                <w:szCs w:val="18"/>
              </w:rPr>
              <w:t xml:space="preserve">data/raw/rationales/</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PDF / HTML / TXT</w:t>
            </w:r>
          </w:p>
        </w:tc>
        <w:tc>
          <w:tcPr>
            <w:tcW w:type="dxa" w:w="41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w:t>
            </w:r>
          </w:p>
        </w:tc>
      </w:tr>
      <w:tr>
        <w:trPr>
          <w:cantSplit/>
        </w:trP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urier New" w:cs="Courier New" w:eastAsia="Courier New" w:hAnsi="Courier New"/>
                <w:color w:val="7B241C"/>
                <w:sz w:val="18"/>
                <w:szCs w:val="18"/>
              </w:rPr>
              <w:t xml:space="preserve">data/raw/original/</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untouched downloads (not read by the model)</w:t>
            </w:r>
          </w:p>
        </w:tc>
        <w:tc>
          <w:tcPr>
            <w:tcW w:type="dxa" w:w="41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w:t>
            </w:r>
          </w:p>
        </w:tc>
      </w:tr>
    </w:tbl>
    <w:p>
      <w:pPr>
        <w:spacing w:after="120"/>
      </w:pPr>
    </w:p>
    <w:p>
      <w:pPr>
        <w:pStyle w:val="Heading1"/>
        <w:pageBreakBefore/>
      </w:pPr>
      <w:bookmarkStart w:name="_Toc36" w:id="36"/>
      <w:r>
        <w:t xml:space="preserve">Appendix C. Glossary</w:t>
      </w:r>
      <w:bookmarkEnd w:id="3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6820"/>
      </w:tblGrid>
      <w:tr>
        <w:trPr>
          <w:cantSplit/>
          <w:tblHeader/>
        </w:trPr>
        <w:tc>
          <w:tcPr>
            <w:tcW w:type="dxa" w:w="220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8"/>
                <w:szCs w:val="18"/>
              </w:rPr>
              <w:t xml:space="preserve">Term</w:t>
            </w:r>
          </w:p>
        </w:tc>
        <w:tc>
          <w:tcPr>
            <w:tcW w:type="dxa" w:w="682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8"/>
                <w:szCs w:val="18"/>
              </w:rPr>
              <w:t xml:space="preserve">Meaning</w:t>
            </w:r>
          </w:p>
        </w:tc>
      </w:tr>
      <w:tr>
        <w:trPr>
          <w:cantSplit/>
        </w:trP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Basis point (bp)</w:t>
            </w:r>
          </w:p>
        </w:tc>
        <w:tc>
          <w:tcPr>
            <w:tcW w:type="dxa" w:w="6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0.01 percentage point. 1.00% = 100 bps.</w:t>
            </w:r>
          </w:p>
        </w:tc>
      </w:tr>
      <w:tr>
        <w:trPr>
          <w:cantSplit/>
        </w:trP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Credit spread</w:t>
            </w:r>
          </w:p>
        </w:tc>
        <w:tc>
          <w:tcPr>
            <w:tcW w:type="dxa" w:w="6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Corporate bond yield minus the government bond yield of the same maturity.</w:t>
            </w:r>
          </w:p>
        </w:tc>
      </w:tr>
      <w:tr>
        <w:trPr>
          <w:cantSplit/>
        </w:trP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Abnormal spread</w:t>
            </w:r>
          </w:p>
        </w:tc>
        <w:tc>
          <w:tcPr>
            <w:tcW w:type="dxa" w:w="6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A company’s spread minus the weekly median spread of stable companies.</w:t>
            </w:r>
          </w:p>
        </w:tc>
      </w:tr>
      <w:tr>
        <w:trPr>
          <w:cantSplit/>
        </w:trP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ISIN</w:t>
            </w:r>
          </w:p>
        </w:tc>
        <w:tc>
          <w:tcPr>
            <w:tcW w:type="dxa" w:w="6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12-character code identifying one security (Indian corporate bonds start with INE).</w:t>
            </w:r>
          </w:p>
        </w:tc>
      </w:tr>
      <w:tr>
        <w:trPr>
          <w:cantSplit/>
        </w:trP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NCD</w:t>
            </w:r>
          </w:p>
        </w:tc>
        <w:tc>
          <w:tcPr>
            <w:tcW w:type="dxa" w:w="6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Non-convertible debenture: the usual form of an Indian corporate bond.</w:t>
            </w:r>
          </w:p>
        </w:tc>
      </w:tr>
      <w:tr>
        <w:trPr>
          <w:cantSplit/>
        </w:trP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G-sec</w:t>
            </w:r>
          </w:p>
        </w:tc>
        <w:tc>
          <w:tcPr>
            <w:tcW w:type="dxa" w:w="6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Government of India security (government bond): the risk-free benchmark.</w:t>
            </w:r>
          </w:p>
        </w:tc>
      </w:tr>
      <w:tr>
        <w:trPr>
          <w:cantSplit/>
        </w:trP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Par yield curve</w:t>
            </w:r>
          </w:p>
        </w:tc>
        <w:tc>
          <w:tcPr>
            <w:tcW w:type="dxa" w:w="6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Yields at which government bonds of each maturity would be priced at 100.</w:t>
            </w:r>
          </w:p>
        </w:tc>
      </w:tr>
      <w:tr>
        <w:trPr>
          <w:cantSplit/>
        </w:trP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Clean / dirty price</w:t>
            </w:r>
          </w:p>
        </w:tc>
        <w:tc>
          <w:tcPr>
            <w:tcW w:type="dxa" w:w="6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Dirty price includes accrued interest; clean price excludes it. Trades are quoted clean.</w:t>
            </w:r>
          </w:p>
        </w:tc>
      </w:tr>
      <w:tr>
        <w:trPr>
          <w:cantSplit/>
        </w:trP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Notch</w:t>
            </w:r>
          </w:p>
        </w:tc>
        <w:tc>
          <w:tcPr>
            <w:tcW w:type="dxa" w:w="6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One step on the rating scale (AA+ → AA is one notch).</w:t>
            </w:r>
          </w:p>
        </w:tc>
      </w:tr>
      <w:tr>
        <w:trPr>
          <w:cantSplit/>
        </w:trP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Transition matrix</w:t>
            </w:r>
          </w:p>
        </w:tc>
        <w:tc>
          <w:tcPr>
            <w:tcW w:type="dxa" w:w="6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Table of the share of companies moving from each rating to each other rating in one year.</w:t>
            </w:r>
          </w:p>
        </w:tc>
      </w:tr>
      <w:tr>
        <w:trPr>
          <w:cantSplit/>
        </w:trP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PD / LGD</w:t>
            </w:r>
          </w:p>
        </w:tc>
        <w:tc>
          <w:tcPr>
            <w:tcW w:type="dxa" w:w="6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Probability of default / loss given default (share of the investment lost on default).</w:t>
            </w:r>
          </w:p>
        </w:tc>
      </w:tr>
      <w:tr>
        <w:trPr>
          <w:cantSplit/>
        </w:trP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Placebo test</w:t>
            </w:r>
          </w:p>
        </w:tc>
        <w:tc>
          <w:tcPr>
            <w:tcW w:type="dxa" w:w="6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The same measurement on random dates; tells you how often the signal fires by chance.</w:t>
            </w:r>
          </w:p>
        </w:tc>
      </w:tr>
      <w:tr>
        <w:trPr>
          <w:cantSplit/>
        </w:trPr>
        <w:tc>
          <w:tcPr>
            <w:tcW w:type="dxa" w:w="2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z-score</w:t>
            </w:r>
          </w:p>
        </w:tc>
        <w:tc>
          <w:tcPr>
            <w:tcW w:type="dxa" w:w="6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How many standard deviations a value is from its normal level.</w:t>
            </w:r>
          </w:p>
        </w:tc>
      </w:tr>
    </w:tbl>
    <w:p>
      <w:pPr>
        <w:spacing w:after="120"/>
      </w:pPr>
    </w:p>
    <w:p>
      <w:pPr>
        <w:spacing w:after="120" w:line="276"/>
      </w:pPr>
    </w:p>
    <w:p>
      <w:pPr>
        <w:spacing w:after="120" w:line="276"/>
      </w:pPr>
      <w:r>
        <w:rPr>
          <w:i/>
          <w:iCs/>
          <w:color w:val="595959"/>
          <w:sz w:val="18"/>
          <w:szCs w:val="18"/>
        </w:rPr>
        <w:t xml:space="preserve">Educational use only. SpreadWatch is an academic project; nothing in this guide or the system is investment advice or a recommendation to buy, sell or hold any security (SEBI (Research Analysts) Regulations, 2014).</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r>
    <w:r>
      <w:rPr>
        <w:color w:val="595959"/>
        <w:sz w:val="16"/>
        <w:szCs w:val="16"/>
      </w:rPr>
      <w:instrText xml:space="preserve">PAGE</w:instrText>
    </w:r>
    <w:r>
      <w:rPr>
        <w:color w:val="595959"/>
        <w:sz w:val="16"/>
        <w:szCs w:val="16"/>
      </w:rPr>
      <w:fldChar w:fldCharType="separate"/>
    </w:r>
    <w:r>
      <w:rPr>
        <w:color w:val="595959"/>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SpreadWatch · Data &amp; Operations Guidebook · Group 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lvlOverride w:ilvl="1">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227" w:sz="8" w:space="4"/>
      </w:pBdr>
      <w:spacing w:after="200" w:before="1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333333"/>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gicm0jajpidwws9g_liep" Type="http://schemas.openxmlformats.org/officeDocument/2006/relationships/hyperlink" Target="https://www.crisilratings.com" TargetMode="External"/><Relationship Id="rIdglophzbxehtkb1pmoj2vu" Type="http://schemas.openxmlformats.org/officeDocument/2006/relationships/hyperlink" Target="https://www.icra.in" TargetMode="External"/><Relationship Id="rIdeclhuxfhyf-unakxmmhmg" Type="http://schemas.openxmlformats.org/officeDocument/2006/relationships/hyperlink" Target="https://www.careratings.com" TargetMode="External"/><Relationship Id="rIde_-f5d-2sbq5aiiljcetg" Type="http://schemas.openxmlformats.org/officeDocument/2006/relationships/hyperlink" Target="https://www.indiaratings.co.in" TargetMode="External"/><Relationship Id="rIdi6vfcvsz33q26g7eo3vlt" Type="http://schemas.openxmlformats.org/officeDocument/2006/relationships/hyperlink" Target="https://www.acuite.in" TargetMode="External"/><Relationship Id="rIdlv9czkufzbcb0sdum1som" Type="http://schemas.openxmlformats.org/officeDocument/2006/relationships/hyperlink" Target="https://www.axistrustee.in" TargetMode="External"/><Relationship Id="rIdv0wnjt5xnfk6auzk_lg4b" Type="http://schemas.openxmlformats.org/officeDocument/2006/relationships/hyperlink" Target="https://www.bseindia.com" TargetMode="External"/><Relationship Id="rId45zh3thd73vr6nmud8giu" Type="http://schemas.openxmlformats.org/officeDocument/2006/relationships/hyperlink" Target="https://www.nseindia.com" TargetMode="External"/><Relationship Id="rIddwnywsfqdszokp-ji-9gj" Type="http://schemas.openxmlformats.org/officeDocument/2006/relationships/hyperlink" Target="https://www.indiabondinfo.nsdl.com" TargetMode="External"/><Relationship Id="rIdjq7mr49soqwcjv1kk6khp" Type="http://schemas.openxmlformats.org/officeDocument/2006/relationships/hyperlink" Target="https://www.nseindia.com/historical/security-wise-trades-data" TargetMode="External"/><Relationship Id="rIdqm9qdrcsttiut5org8w2d" Type="http://schemas.openxmlformats.org/officeDocument/2006/relationships/hyperlink" Target="https://www.nseindia.com/report-detail/cbm-trades-archives" TargetMode="External"/><Relationship Id="rIdqxz-vakxiaewevo81l0im" Type="http://schemas.openxmlformats.org/officeDocument/2006/relationships/hyperlink" Target="https://www.bseindia.com" TargetMode="External"/><Relationship Id="rIdldap4nm5mvhxfibpr69vo" Type="http://schemas.openxmlformats.org/officeDocument/2006/relationships/hyperlink" Target="https://www.fbil.org.in" TargetMode="External"/><Relationship Id="rIddov5kxqyhf58rndzzoyvj" Type="http://schemas.openxmlformats.org/officeDocument/2006/relationships/hyperlink" Target="https://www.investing.com" TargetMode="External"/><Relationship Id="rIdsxjo2hvq_opgtjkk8c2wm" Type="http://schemas.openxmlformats.org/officeDocument/2006/relationships/hyperlink" Target="https://crisil.com/content/dam/crisil/our-analysis/publications/default-study/crisil-ratings-annual-default-and-ratings-transition-study-fy-2024.pdf" TargetMode="External"/><Relationship Id="rIddawuh_axc0ggc3-jtracd" Type="http://schemas.openxmlformats.org/officeDocument/2006/relationships/hyperlink" Target="https://www.python.org/downloads/" TargetMode="External"/><Relationship Id="rIdfgfhdagejdwbbr0auhfw7" Type="http://schemas.openxmlformats.org/officeDocument/2006/relationships/hyperlink" Target="https://www.nseindia.com/historical/security-wise-trades-data" TargetMode="External"/><Relationship Id="rIdcs_1tj4ckec7nf-zpq0qv" Type="http://schemas.openxmlformats.org/officeDocument/2006/relationships/hyperlink" Target="https://www.nseindia.com/report-detail/cbm-trades-archives" TargetMode="External"/><Relationship Id="rIdf3dyymolaxgtzrreosa0q" Type="http://schemas.openxmlformats.org/officeDocument/2006/relationships/hyperlink" Target="https://www.bseindia.com" TargetMode="External"/><Relationship Id="rId4ez7o48ktdqq322kymfia" Type="http://schemas.openxmlformats.org/officeDocument/2006/relationships/hyperlink" Target="https://www.fbil.org.in" TargetMode="External"/><Relationship Id="rIdim18y6_uw_8ffglhww1zn" Type="http://schemas.openxmlformats.org/officeDocument/2006/relationships/hyperlink" Target="https://www.investing.com" TargetMode="External"/><Relationship Id="rIddumfvo9vve5vteing7_7s" Type="http://schemas.openxmlformats.org/officeDocument/2006/relationships/hyperlink" Target="https://www.indiabondinfo.nsdl.com" TargetMode="External"/><Relationship Id="rId41ghxrflhre0qsyrkrrni" Type="http://schemas.openxmlformats.org/officeDocument/2006/relationships/hyperlink" Target="https://www.crisilratings.com" TargetMode="External"/><Relationship Id="rIdyfpvurtj20erkzxfp5vam" Type="http://schemas.openxmlformats.org/officeDocument/2006/relationships/hyperlink" Target="https://www.icra.in" TargetMode="External"/><Relationship Id="rIdlovptdgvnrdmgiml6z6vk" Type="http://schemas.openxmlformats.org/officeDocument/2006/relationships/hyperlink" Target="https://www.careratings.com" TargetMode="External"/><Relationship Id="rIdccgdogteb8eg1ygctitea" Type="http://schemas.openxmlformats.org/officeDocument/2006/relationships/hyperlink" Target="https://www.indiaratings.co.in" TargetMode="External"/><Relationship Id="rIdgk0ajde3dki9u3ehg8_4l" Type="http://schemas.openxmlformats.org/officeDocument/2006/relationships/hyperlink" Target="https://www.acuite.in" TargetMode="External"/><Relationship Id="rId4zw0l1jomh819tx3z9wx4" Type="http://schemas.openxmlformats.org/officeDocument/2006/relationships/hyperlink" Target="https://www.axistrustee.in" TargetMode="External"/><Relationship Id="rIdhiqeziosjmuao_5pd1xmy" Type="http://schemas.openxmlformats.org/officeDocument/2006/relationships/hyperlink" Target="https://crisil.com/content/dam/crisil/our-analysis/publications/default-study/crisil-ratings-annual-default-and-ratings-transition-study-fy-2024.pdf" TargetMode="External"/><Relationship Id="rIdmmu0m8cnptr3k2wijffkm" Type="http://schemas.openxmlformats.org/officeDocument/2006/relationships/hyperlink" Target="https://www.sebi.gov.in" TargetMode="External"/><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SpreadWatch Data &amp; Operations Guidebook</dc:title>
  <dc:creator>SpreadWatch project</dc:creator>
  <cp:lastModifiedBy>Un-named</cp:lastModifiedBy>
  <cp:revision>1</cp:revision>
  <dcterms:created xsi:type="dcterms:W3CDTF">2026-10-17T20:26:23.682Z</dcterms:created>
  <dcterms:modified xsi:type="dcterms:W3CDTF">2026-10-17T20:26:23.682Z</dcterms:modified>
</cp:coreProperties>
</file>

<file path=docProps/custom.xml><?xml version="1.0" encoding="utf-8"?>
<Properties xmlns="http://schemas.openxmlformats.org/officeDocument/2006/custom-properties" xmlns:vt="http://schemas.openxmlformats.org/officeDocument/2006/docPropsVTypes"/>
</file>