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PulseGuard Messaging Platform v3</w:t>
      </w:r>
    </w:p>
    <w:p>
      <w:pPr>
        <w:pStyle w:val="Heading1"/>
      </w:pPr>
      <w:r>
        <w:t xml:space="preserve">Executive Summary</w:t>
      </w:r>
    </w:p>
    <w:p>
      <w:r>
        <w:t xml:space="preserve">This messaging platform defines the go-to-market positioning for PulseGuard, the ambulatory cardiac monitoring device developed by Acme Medical. Version 3 captures the strategy team's working direction ahead of the client review scheduled for the fourth quarter. It is an internal draft and has not yet been reviewed or approved by the client. The recommendations here should be treated as a starting point for that conversation rather than a settled position.</w:t>
      </w:r>
    </w:p>
    <w:p>
      <w:pPr>
        <w:pStyle w:val="Heading1"/>
      </w:pPr>
      <w:r>
        <w:t xml:space="preserve">Positioning Statement</w:t>
      </w:r>
    </w:p>
    <w:p>
      <w:r>
        <w:t xml:space="preserve">PulseGuard will pursue a premium positioning strategy anchored in price leadership. The device is priced above the competitive set to signal category leadership and to protect the perception of superior engineering. We frame PulseGuard as the premium tier of ambulatory cardiac monitoring, reserved for clinicians and health systems that will not compromise on hardware quality.</w:t>
      </w:r>
    </w:p>
    <w:p>
      <w:pPr>
        <w:pStyle w:val="Heading1"/>
      </w:pPr>
      <w:r>
        <w:t xml:space="preserve">Key Messages</w:t>
      </w:r>
    </w:p>
    <w:p>
      <w:r>
        <w:t xml:space="preserve">First, PulseGuard is built to the highest hardware standard in its class. Second, a premium price is a proxy for premium reliability. Third, buyers who select PulseGuard are choosing the reference standard rather than a budget alternative. The messaging leans on exclusivity and on the confidence that comes from paying for the best available instrument.</w:t>
      </w:r>
    </w:p>
    <w:p>
      <w:pPr>
        <w:pStyle w:val="Heading1"/>
      </w:pPr>
      <w:r>
        <w:t xml:space="preserve">Proof Points</w:t>
      </w:r>
    </w:p>
    <w:p>
      <w:r>
        <w:t xml:space="preserve">PulseGuard reports a 98.6 percent arrhythmia detection rate in internal bench testing. Battery life exceeds fourteen days on a single charge. The device carries a three year hardware warranty. These proof points support the premium narrative and should be quoted in sales collateral once validated by the clinical affairs team.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PulseGuard Messaging Platform v3</dc:title>
  <dc:creator>Agency Builder</dc:creator>
  <cp:lastModifiedBy>Un-named</cp:lastModifiedBy>
  <cp:revision>1</cp:revision>
  <dcterms:created xsi:type="dcterms:W3CDTF">2026-07-21T07:41:17.373Z</dcterms:created>
  <dcterms:modified xsi:type="dcterms:W3CDTF">2026-07-21T07:41:17.373Z</dcterms:modified>
</cp:coreProperties>
</file>

<file path=docProps/custom.xml><?xml version="1.0" encoding="utf-8"?>
<Properties xmlns="http://schemas.openxmlformats.org/officeDocument/2006/custom-properties" xmlns:vt="http://schemas.openxmlformats.org/officeDocument/2006/docPropsVTypes"/>
</file>