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PulseGuard Messaging Platform v4 FINAL</w:t>
      </w:r>
    </w:p>
    <w:p>
      <w:pPr>
        <w:pStyle w:val="Heading1"/>
      </w:pPr>
      <w:r>
        <w:t xml:space="preserve">Executive Summary</w:t>
      </w:r>
    </w:p>
    <w:p>
      <w:r>
        <w:t xml:space="preserve">This is the final client-approved messaging platform for PulseGuard, the ambulatory cardiac monitoring device from Acme Medical. It supersedes all earlier drafts, including version 3. Approved by client 2025-11-02. Following the client review, the premium price-leadership direction explored in version 3 was retired in favor of a value narrative that the client believes better matches how health systems actually purchase monitoring hardware.</w:t>
      </w:r>
    </w:p>
    <w:p>
      <w:pPr>
        <w:pStyle w:val="Heading1"/>
      </w:pPr>
      <w:r>
        <w:t xml:space="preserve">Positioning Statement</w:t>
      </w:r>
    </w:p>
    <w:p>
      <w:r>
        <w:t xml:space="preserve">PulseGuard will pursue a value positioning strategy anchored in outcomes per dollar. Rather than competing on prestige, PulseGuard competes on the clinical and economic return it delivers for every dollar a health system spends. The device is positioned as the most defensible investment for budget-conscious cardiology programs that still demand dependable data.</w:t>
      </w:r>
    </w:p>
    <w:p>
      <w:pPr>
        <w:pStyle w:val="Heading1"/>
      </w:pPr>
      <w:r>
        <w:t xml:space="preserve">Key Messages</w:t>
      </w:r>
    </w:p>
    <w:p>
      <w:r>
        <w:t xml:space="preserve">First, PulseGuard delivers measurable outcomes per dollar rather than prestige. Second, its total cost of ownership is lower than comparable monitors over a three year horizon. Third, procurement teams can justify PulseGuard on economic grounds without sacrificing diagnostic dependability. The tone is pragmatic and evidence-led rather than aspirational.</w:t>
      </w:r>
    </w:p>
    <w:p>
      <w:pPr>
        <w:pStyle w:val="Heading1"/>
      </w:pPr>
      <w:r>
        <w:t xml:space="preserve">Proof Points</w:t>
      </w:r>
    </w:p>
    <w:p>
      <w:r>
        <w:t xml:space="preserve">PulseGuard reports a 98.6 percent arrhythmia detection rate in internal bench testing. Battery life exceeds fourteen days on a single charge. Independent modeling shows a lower cost per monitored patient day than the two leading competitors. These proof points anchor the value story and are cleared for use in approved collateral.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PulseGuard Messaging Platform v4 FINAL</dc:title>
  <dc:creator>Agency Builder</dc:creator>
  <cp:lastModifiedBy>Un-named</cp:lastModifiedBy>
  <cp:revision>1</cp:revision>
  <dcterms:created xsi:type="dcterms:W3CDTF">2026-07-21T07:41:17.449Z</dcterms:created>
  <dcterms:modified xsi:type="dcterms:W3CDTF">2026-07-21T07:41:17.449Z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